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宋体" w:cs="Times New Roman"/>
          <w:sz w:val="24"/>
        </w:rPr>
      </w:pPr>
    </w:p>
    <w:p>
      <w:pPr>
        <w:widowControl/>
        <w:rPr>
          <w:rFonts w:ascii="方正小标宋_GBK" w:hAnsi="方正小标宋_GBK" w:eastAsia="方正小标宋_GBK" w:cs="方正小标宋_GBK"/>
          <w:sz w:val="44"/>
          <w:szCs w:val="44"/>
        </w:rPr>
      </w:pPr>
    </w:p>
    <w:p>
      <w:pPr>
        <w:widowControl/>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2022年服务区文明创建提升改造项目</w:t>
      </w:r>
    </w:p>
    <w:p>
      <w:pPr>
        <w:widowControl/>
        <w:jc w:val="center"/>
        <w:rPr>
          <w:rFonts w:ascii="Times New Roman" w:hAnsi="Times New Roman" w:cs="Times New Roman"/>
          <w:sz w:val="32"/>
          <w:szCs w:val="32"/>
        </w:rPr>
      </w:pPr>
      <w:r>
        <w:rPr>
          <w:rFonts w:hint="eastAsia" w:ascii="方正小标宋_GBK" w:hAnsi="方正小标宋_GBK" w:eastAsia="方正小标宋_GBK" w:cs="方正小标宋_GBK"/>
          <w:sz w:val="44"/>
          <w:szCs w:val="44"/>
        </w:rPr>
        <w:t>劳务</w:t>
      </w:r>
      <w:r>
        <w:rPr>
          <w:rFonts w:hint="eastAsia" w:ascii="Times New Roman" w:hAnsi="Times New Roman" w:eastAsia="宋体" w:cs="Times New Roman"/>
          <w:b/>
          <w:bCs/>
          <w:color w:val="000000"/>
          <w:kern w:val="0"/>
          <w:sz w:val="44"/>
          <w:szCs w:val="44"/>
        </w:rPr>
        <w:t>采购</w:t>
      </w:r>
    </w:p>
    <w:p>
      <w:pPr>
        <w:spacing w:line="540" w:lineRule="exact"/>
        <w:ind w:firstLine="420"/>
        <w:rPr>
          <w:rFonts w:ascii="Times New Roman" w:hAnsi="Times New Roman" w:cs="Times New Roman"/>
          <w:szCs w:val="21"/>
        </w:rPr>
      </w:pPr>
    </w:p>
    <w:p>
      <w:pPr>
        <w:pStyle w:val="2"/>
        <w:rPr>
          <w:rFonts w:ascii="Times New Roman" w:hAnsi="Times New Roman" w:cs="Times New Roman"/>
          <w:szCs w:val="21"/>
        </w:rPr>
      </w:pPr>
    </w:p>
    <w:p>
      <w:pPr>
        <w:pStyle w:val="2"/>
        <w:rPr>
          <w:rFonts w:ascii="Times New Roman" w:hAnsi="Times New Roman" w:cs="Times New Roman"/>
          <w:szCs w:val="21"/>
        </w:rPr>
      </w:pPr>
    </w:p>
    <w:p>
      <w:pPr>
        <w:pStyle w:val="2"/>
        <w:rPr>
          <w:rFonts w:ascii="Times New Roman" w:hAnsi="Times New Roman" w:cs="Times New Roman"/>
          <w:szCs w:val="21"/>
        </w:rPr>
      </w:pPr>
    </w:p>
    <w:p>
      <w:pPr>
        <w:spacing w:line="540" w:lineRule="exact"/>
        <w:ind w:firstLine="420"/>
        <w:rPr>
          <w:rFonts w:ascii="Times New Roman" w:hAnsi="Times New Roman" w:cs="Times New Roman"/>
          <w:szCs w:val="21"/>
        </w:rPr>
      </w:pPr>
    </w:p>
    <w:p>
      <w:pPr>
        <w:jc w:val="center"/>
        <w:rPr>
          <w:rFonts w:ascii="Times New Roman" w:hAnsi="Times New Roman" w:eastAsia="黑体" w:cs="Times New Roman"/>
          <w:sz w:val="72"/>
          <w:szCs w:val="72"/>
        </w:rPr>
      </w:pPr>
      <w:r>
        <w:rPr>
          <w:rFonts w:hint="eastAsia" w:ascii="Times New Roman" w:hAnsi="Times New Roman" w:eastAsia="黑体" w:cs="Times New Roman"/>
          <w:sz w:val="72"/>
          <w:szCs w:val="72"/>
        </w:rPr>
        <w:t>采 购</w:t>
      </w:r>
      <w:r>
        <w:rPr>
          <w:rFonts w:ascii="Times New Roman" w:hAnsi="Times New Roman" w:eastAsia="黑体" w:cs="Times New Roman"/>
          <w:sz w:val="72"/>
          <w:szCs w:val="72"/>
        </w:rPr>
        <w:t xml:space="preserve">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640"/>
        <w:rPr>
          <w:rFonts w:ascii="Times New Roman" w:hAnsi="Times New Roman" w:eastAsia="黑体" w:cs="Times New Roman"/>
          <w:sz w:val="32"/>
          <w:szCs w:val="32"/>
        </w:rPr>
      </w:pPr>
    </w:p>
    <w:p>
      <w:pPr>
        <w:spacing w:line="540" w:lineRule="exact"/>
        <w:ind w:left="1896" w:leftChars="903"/>
        <w:rPr>
          <w:rFonts w:ascii="Times New Roman" w:hAnsi="Times New Roman" w:cs="Times New Roman"/>
          <w:szCs w:val="21"/>
        </w:rPr>
      </w:pPr>
    </w:p>
    <w:p>
      <w:pPr>
        <w:snapToGrid w:val="0"/>
        <w:ind w:left="2100" w:leftChars="1000"/>
        <w:rPr>
          <w:rFonts w:ascii="Times New Roman" w:hAnsi="Times New Roman" w:eastAsia="黑体"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u w:val="single"/>
        </w:rPr>
        <w:t>安徽省经工建设集团有限公司</w:t>
      </w:r>
    </w:p>
    <w:p>
      <w:pPr>
        <w:snapToGrid w:val="0"/>
        <w:ind w:left="2100" w:leftChars="1000"/>
        <w:rPr>
          <w:rFonts w:ascii="Times New Roman" w:hAnsi="Times New Roman" w:cs="Times New Roman"/>
          <w:sz w:val="32"/>
          <w:szCs w:val="32"/>
        </w:rPr>
      </w:pPr>
      <w:r>
        <w:rPr>
          <w:rFonts w:ascii="Times New Roman" w:hAnsi="Times New Roman" w:cs="Times New Roman"/>
          <w:sz w:val="32"/>
          <w:szCs w:val="32"/>
        </w:rPr>
        <w:t xml:space="preserve"> </w:t>
      </w:r>
    </w:p>
    <w:p>
      <w:pPr>
        <w:ind w:left="2100" w:leftChars="1000"/>
        <w:rPr>
          <w:rFonts w:ascii="Times New Roman" w:hAnsi="Times New Roman" w:cs="Times New Roman"/>
          <w:sz w:val="32"/>
          <w:szCs w:val="32"/>
        </w:rPr>
      </w:pPr>
      <w:r>
        <w:rPr>
          <w:rFonts w:ascii="Times New Roman" w:hAnsi="Times New Roman" w:eastAsia="黑体" w:cs="Times New Roman"/>
          <w:sz w:val="32"/>
          <w:szCs w:val="32"/>
        </w:rPr>
        <w:t>日    期</w:t>
      </w:r>
      <w:r>
        <w:rPr>
          <w:rFonts w:ascii="Times New Roman" w:hAnsi="Times New Roman" w:cs="Times New Roman"/>
          <w:sz w:val="32"/>
          <w:szCs w:val="32"/>
        </w:rPr>
        <w:t>：</w:t>
      </w:r>
      <w:r>
        <w:rPr>
          <w:rFonts w:hint="eastAsia" w:ascii="Times New Roman" w:hAnsi="Times New Roman" w:eastAsia="黑体" w:cs="Times New Roman"/>
          <w:sz w:val="32"/>
          <w:szCs w:val="32"/>
          <w:u w:val="single"/>
        </w:rPr>
        <w:t>2022</w:t>
      </w:r>
      <w:r>
        <w:rPr>
          <w:rFonts w:ascii="Times New Roman" w:hAnsi="Times New Roman" w:cs="Times New Roman"/>
          <w:sz w:val="32"/>
          <w:szCs w:val="32"/>
        </w:rPr>
        <w:t>年</w:t>
      </w:r>
      <w:r>
        <w:rPr>
          <w:rFonts w:hint="eastAsia" w:ascii="Times New Roman" w:hAnsi="Times New Roman" w:eastAsia="黑体" w:cs="Times New Roman"/>
          <w:sz w:val="32"/>
          <w:szCs w:val="32"/>
          <w:u w:val="single"/>
        </w:rPr>
        <w:t>5</w:t>
      </w:r>
      <w:r>
        <w:rPr>
          <w:rFonts w:ascii="Times New Roman" w:hAnsi="Times New Roman" w:cs="Times New Roman"/>
          <w:sz w:val="32"/>
          <w:szCs w:val="32"/>
        </w:rPr>
        <w:t>月</w:t>
      </w:r>
    </w:p>
    <w:p>
      <w:pPr>
        <w:pStyle w:val="3"/>
        <w:spacing w:before="312" w:after="312"/>
        <w:rPr>
          <w:rFonts w:ascii="Times New Roman" w:hAnsi="Times New Roman" w:eastAsia="宋体" w:cs="Times New Roman"/>
        </w:rPr>
      </w:pPr>
      <w:bookmarkStart w:id="0" w:name="_Toc27606_WPSOffice_Level1"/>
      <w:r>
        <w:rPr>
          <w:rFonts w:ascii="Times New Roman" w:hAnsi="Times New Roman" w:eastAsia="宋体" w:cs="Times New Roman"/>
        </w:rPr>
        <w:t>采购公告</w:t>
      </w:r>
      <w:bookmarkEnd w:id="0"/>
    </w:p>
    <w:p>
      <w:pPr>
        <w:pStyle w:val="4"/>
        <w:snapToGrid w:val="0"/>
        <w:spacing w:before="120" w:after="120" w:line="240" w:lineRule="auto"/>
        <w:ind w:firstLine="403"/>
        <w:rPr>
          <w:rFonts w:ascii="Times New Roman" w:hAnsi="Times New Roman" w:eastAsia="黑体" w:cs="Times New Roman"/>
          <w:bCs w:val="0"/>
          <w:color w:val="000000"/>
          <w:sz w:val="22"/>
          <w:szCs w:val="15"/>
        </w:rPr>
      </w:pPr>
      <w:bookmarkStart w:id="1" w:name="_Toc4489_WPSOffice_Level2"/>
      <w:bookmarkStart w:id="2" w:name="_Toc525632585"/>
      <w:bookmarkStart w:id="3" w:name="_Toc10395_WPSOffice_Level2"/>
      <w:bookmarkStart w:id="4" w:name="_Toc6496_WPSOffice_Level2"/>
      <w:bookmarkStart w:id="5" w:name="_Toc12765"/>
      <w:bookmarkStart w:id="6" w:name="_Toc13871"/>
      <w:bookmarkStart w:id="7" w:name="_Toc24354_WPSOffice_Level2"/>
      <w:r>
        <w:rPr>
          <w:rFonts w:ascii="Times New Roman" w:hAnsi="Times New Roman" w:eastAsia="黑体" w:cs="Times New Roman"/>
          <w:bCs w:val="0"/>
          <w:color w:val="000000"/>
          <w:sz w:val="22"/>
          <w:szCs w:val="15"/>
        </w:rPr>
        <w:t>项目简介</w:t>
      </w:r>
      <w:bookmarkEnd w:id="1"/>
      <w:bookmarkEnd w:id="2"/>
      <w:bookmarkEnd w:id="3"/>
      <w:bookmarkEnd w:id="4"/>
      <w:bookmarkEnd w:id="5"/>
      <w:bookmarkEnd w:id="6"/>
      <w:bookmarkEnd w:id="7"/>
    </w:p>
    <w:p>
      <w:pPr>
        <w:numPr>
          <w:ilvl w:val="1"/>
          <w:numId w:val="3"/>
        </w:num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项目名称：</w:t>
      </w:r>
      <w:r>
        <w:rPr>
          <w:rFonts w:ascii="Times New Roman" w:hAnsi="Times New Roman" w:cs="Times New Roman"/>
          <w:szCs w:val="22"/>
          <w:u w:val="single"/>
        </w:rPr>
        <w:t>2022年服务区文明创建提升改造项目劳务</w:t>
      </w:r>
    </w:p>
    <w:p>
      <w:pPr>
        <w:numPr>
          <w:ilvl w:val="1"/>
          <w:numId w:val="3"/>
        </w:num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采 购 人：</w:t>
      </w:r>
      <w:r>
        <w:rPr>
          <w:rFonts w:hint="eastAsia" w:ascii="Times New Roman" w:hAnsi="Times New Roman" w:cs="Times New Roman"/>
          <w:szCs w:val="22"/>
          <w:u w:val="single"/>
        </w:rPr>
        <w:t>安徽省经工建设集团有限公司</w:t>
      </w:r>
      <w:r>
        <w:rPr>
          <w:rFonts w:ascii="Times New Roman" w:hAnsi="Times New Roman" w:cs="Times New Roman"/>
          <w:szCs w:val="22"/>
          <w:u w:val="single"/>
        </w:rPr>
        <w:t xml:space="preserve"> </w:t>
      </w:r>
    </w:p>
    <w:p>
      <w:pPr>
        <w:pStyle w:val="4"/>
        <w:numPr>
          <w:ilvl w:val="1"/>
          <w:numId w:val="3"/>
        </w:numPr>
        <w:snapToGrid w:val="0"/>
        <w:spacing w:before="120" w:after="120" w:line="440" w:lineRule="exact"/>
        <w:ind w:firstLine="420" w:firstLineChars="200"/>
        <w:rPr>
          <w:rFonts w:ascii="Times New Roman" w:hAnsi="Times New Roman" w:cs="Times New Roman"/>
          <w:b w:val="0"/>
          <w:bCs w:val="0"/>
          <w:sz w:val="21"/>
          <w:szCs w:val="22"/>
          <w:u w:val="single"/>
        </w:rPr>
      </w:pPr>
      <w:r>
        <w:rPr>
          <w:rFonts w:ascii="Times New Roman" w:hAnsi="Times New Roman" w:cs="Times New Roman"/>
          <w:sz w:val="21"/>
          <w:szCs w:val="22"/>
        </w:rPr>
        <w:t>项目概况：</w:t>
      </w:r>
      <w:bookmarkStart w:id="8" w:name="_Toc23266_WPSOffice_Level2"/>
      <w:bookmarkStart w:id="9" w:name="_Toc17858_WPSOffice_Level2"/>
      <w:bookmarkStart w:id="10" w:name="_Toc10274"/>
      <w:bookmarkStart w:id="11" w:name="_Toc8128_WPSOffice_Level2"/>
      <w:bookmarkStart w:id="12" w:name="_Toc18453"/>
      <w:bookmarkStart w:id="13" w:name="_Toc525632586"/>
      <w:bookmarkStart w:id="14" w:name="_Toc18367_WPSOffice_Level2"/>
      <w:r>
        <w:rPr>
          <w:rFonts w:ascii="Times New Roman" w:hAnsi="Times New Roman" w:cs="Times New Roman"/>
          <w:b w:val="0"/>
          <w:bCs w:val="0"/>
          <w:sz w:val="21"/>
          <w:szCs w:val="22"/>
          <w:u w:val="single"/>
        </w:rPr>
        <w:t>本项目施工范围涉及到驿达公司所属服务区 90 余对，主要施工内容为服务区综合楼及宿舍楼的局部墙地砖更新、装饰修缮、经营用房和员工宿舍卫生间防水，室内外给排水管道修缮、广场板块坑槽修复，员工晾衣房新建、治安岗亭新建、无障碍设施新建</w:t>
      </w:r>
      <w:r>
        <w:rPr>
          <w:rFonts w:hint="eastAsia" w:ascii="Times New Roman" w:hAnsi="Times New Roman" w:cs="Times New Roman"/>
          <w:b w:val="0"/>
          <w:bCs w:val="0"/>
          <w:sz w:val="21"/>
          <w:szCs w:val="22"/>
          <w:u w:val="single"/>
        </w:rPr>
        <w:t>、</w:t>
      </w:r>
      <w:r>
        <w:rPr>
          <w:rFonts w:ascii="Times New Roman" w:hAnsi="Times New Roman" w:cs="Times New Roman"/>
          <w:b w:val="0"/>
          <w:bCs w:val="0"/>
          <w:sz w:val="21"/>
          <w:szCs w:val="22"/>
          <w:u w:val="single"/>
        </w:rPr>
        <w:t>停车棚修建等内容（具体内容详见项目任务书和模拟清单）。</w:t>
      </w:r>
    </w:p>
    <w:p>
      <w:pPr>
        <w:pStyle w:val="4"/>
        <w:snapToGrid w:val="0"/>
        <w:spacing w:before="120" w:after="120" w:line="240" w:lineRule="auto"/>
        <w:ind w:firstLine="403"/>
        <w:rPr>
          <w:rFonts w:ascii="Times New Roman" w:hAnsi="Times New Roman" w:eastAsia="黑体" w:cs="Times New Roman"/>
          <w:bCs w:val="0"/>
          <w:color w:val="000000"/>
          <w:sz w:val="22"/>
          <w:szCs w:val="15"/>
        </w:rPr>
      </w:pPr>
      <w:r>
        <w:rPr>
          <w:rFonts w:ascii="Times New Roman" w:hAnsi="Times New Roman" w:eastAsia="黑体" w:cs="Times New Roman"/>
          <w:bCs w:val="0"/>
          <w:color w:val="000000"/>
          <w:sz w:val="22"/>
          <w:szCs w:val="15"/>
        </w:rPr>
        <w:t>采购说明</w:t>
      </w:r>
      <w:bookmarkEnd w:id="8"/>
      <w:bookmarkEnd w:id="9"/>
      <w:bookmarkEnd w:id="10"/>
      <w:bookmarkEnd w:id="11"/>
      <w:bookmarkEnd w:id="12"/>
      <w:bookmarkEnd w:id="13"/>
      <w:bookmarkEnd w:id="14"/>
    </w:p>
    <w:p>
      <w:pPr>
        <w:snapToGrid w:val="0"/>
        <w:spacing w:line="440" w:lineRule="exact"/>
        <w:ind w:firstLine="420" w:firstLineChars="200"/>
        <w:rPr>
          <w:rFonts w:ascii="Times New Roman" w:hAnsi="Times New Roman" w:cs="Times New Roman"/>
          <w:szCs w:val="22"/>
          <w:u w:val="single"/>
        </w:rPr>
      </w:pPr>
      <w:bookmarkStart w:id="15" w:name="_Toc4489_WPSOffice_Level3"/>
      <w:r>
        <w:rPr>
          <w:rFonts w:ascii="Times New Roman" w:hAnsi="Times New Roman" w:cs="Times New Roman"/>
          <w:szCs w:val="22"/>
        </w:rPr>
        <w:t>2.1 采购方式：</w:t>
      </w:r>
      <w:bookmarkEnd w:id="15"/>
      <w:r>
        <w:rPr>
          <w:rFonts w:ascii="Times New Roman" w:hAnsi="Times New Roman" w:cs="Times New Roman"/>
          <w:szCs w:val="22"/>
          <w:u w:val="single"/>
        </w:rPr>
        <w:t>询比采购</w:t>
      </w:r>
    </w:p>
    <w:p>
      <w:pPr>
        <w:snapToGrid w:val="0"/>
        <w:spacing w:line="440" w:lineRule="exact"/>
        <w:ind w:firstLine="420" w:firstLineChars="200"/>
        <w:rPr>
          <w:rFonts w:ascii="Times New Roman" w:hAnsi="Times New Roman" w:cs="Times New Roman"/>
          <w:szCs w:val="22"/>
          <w:u w:val="single"/>
        </w:rPr>
      </w:pPr>
      <w:bookmarkStart w:id="16" w:name="_Toc23266_WPSOffice_Level3"/>
      <w:r>
        <w:rPr>
          <w:rFonts w:ascii="Times New Roman" w:hAnsi="Times New Roman" w:cs="Times New Roman"/>
          <w:szCs w:val="22"/>
        </w:rPr>
        <w:t>2.2 资金来源及比例：</w:t>
      </w:r>
      <w:bookmarkEnd w:id="16"/>
      <w:bookmarkStart w:id="17" w:name="_Toc22379_WPSOffice_Level3"/>
      <w:r>
        <w:rPr>
          <w:rFonts w:ascii="Times New Roman" w:hAnsi="Times New Roman" w:cs="Times New Roman"/>
          <w:szCs w:val="22"/>
          <w:u w:val="single"/>
        </w:rPr>
        <w:t>企业自筹</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 xml:space="preserve">2.3 </w:t>
      </w:r>
      <w:r>
        <w:rPr>
          <w:rFonts w:hint="eastAsia" w:ascii="Times New Roman" w:hAnsi="Times New Roman" w:cs="Times New Roman"/>
          <w:szCs w:val="22"/>
        </w:rPr>
        <w:t>采购范围：</w:t>
      </w:r>
      <w:r>
        <w:rPr>
          <w:rFonts w:hint="eastAsia" w:ascii="Times New Roman" w:hAnsi="Times New Roman" w:cs="Times New Roman"/>
          <w:szCs w:val="22"/>
          <w:u w:val="single"/>
        </w:rPr>
        <w:t>涉及本工程项目的货物采购与施工</w:t>
      </w:r>
    </w:p>
    <w:p>
      <w:pPr>
        <w:snapToGrid w:val="0"/>
        <w:spacing w:line="440" w:lineRule="exact"/>
        <w:ind w:firstLine="420" w:firstLineChars="200"/>
        <w:rPr>
          <w:rFonts w:ascii="Times New Roman" w:hAnsi="Times New Roman" w:cs="Times New Roman"/>
          <w:szCs w:val="22"/>
          <w:u w:val="single"/>
        </w:rPr>
      </w:pPr>
      <w:r>
        <w:rPr>
          <w:rFonts w:hint="eastAsia" w:ascii="Times New Roman" w:hAnsi="Times New Roman" w:cs="Times New Roman"/>
          <w:szCs w:val="22"/>
        </w:rPr>
        <w:t xml:space="preserve">2.4 </w:t>
      </w:r>
      <w:r>
        <w:rPr>
          <w:rFonts w:ascii="Times New Roman" w:hAnsi="Times New Roman" w:cs="Times New Roman"/>
          <w:szCs w:val="22"/>
        </w:rPr>
        <w:t>合同包划分：</w:t>
      </w:r>
      <w:r>
        <w:rPr>
          <w:rFonts w:ascii="Times New Roman" w:hAnsi="Times New Roman" w:cs="Times New Roman"/>
          <w:szCs w:val="22"/>
          <w:u w:val="single"/>
        </w:rPr>
        <w:t>本项目共分为</w:t>
      </w:r>
      <w:r>
        <w:rPr>
          <w:rFonts w:hint="eastAsia" w:ascii="Times New Roman" w:hAnsi="Times New Roman" w:cs="Times New Roman"/>
          <w:szCs w:val="22"/>
          <w:u w:val="single"/>
        </w:rPr>
        <w:t>6</w:t>
      </w:r>
      <w:r>
        <w:rPr>
          <w:rFonts w:ascii="Times New Roman" w:hAnsi="Times New Roman" w:cs="Times New Roman"/>
          <w:szCs w:val="22"/>
          <w:u w:val="single"/>
        </w:rPr>
        <w:t>个标段</w:t>
      </w:r>
    </w:p>
    <w:p>
      <w:pPr>
        <w:snapToGrid w:val="0"/>
        <w:spacing w:line="440" w:lineRule="exact"/>
        <w:ind w:firstLine="420" w:firstLineChars="200"/>
        <w:rPr>
          <w:rFonts w:ascii="Times New Roman" w:hAnsi="Times New Roman" w:cs="Times New Roman"/>
          <w:szCs w:val="22"/>
          <w:u w:val="single"/>
        </w:rPr>
      </w:pPr>
      <w:r>
        <w:rPr>
          <w:rFonts w:ascii="Times New Roman" w:hAnsi="Times New Roman" w:cs="Times New Roman"/>
          <w:szCs w:val="22"/>
        </w:rPr>
        <w:t>2.</w:t>
      </w:r>
      <w:r>
        <w:rPr>
          <w:rFonts w:hint="eastAsia" w:ascii="Times New Roman" w:hAnsi="Times New Roman" w:cs="Times New Roman"/>
          <w:szCs w:val="22"/>
        </w:rPr>
        <w:t>5</w:t>
      </w:r>
      <w:r>
        <w:rPr>
          <w:rFonts w:ascii="Times New Roman" w:hAnsi="Times New Roman" w:cs="Times New Roman"/>
          <w:szCs w:val="22"/>
        </w:rPr>
        <w:t xml:space="preserve"> 最高限价：</w:t>
      </w:r>
      <w:bookmarkEnd w:id="17"/>
      <w:r>
        <w:rPr>
          <w:rFonts w:ascii="Times New Roman" w:hAnsi="Times New Roman" w:cs="Times New Roman"/>
          <w:szCs w:val="22"/>
          <w:u w:val="single"/>
        </w:rPr>
        <w:t>一标</w:t>
      </w:r>
      <w:r>
        <w:rPr>
          <w:rFonts w:hint="eastAsia" w:ascii="Times New Roman" w:hAnsi="Times New Roman" w:cs="Times New Roman"/>
          <w:szCs w:val="22"/>
          <w:u w:val="single"/>
          <w:lang w:val="en-US" w:eastAsia="zh-CN"/>
        </w:rPr>
        <w:t>255.93</w:t>
      </w:r>
      <w:r>
        <w:rPr>
          <w:rFonts w:ascii="Times New Roman" w:hAnsi="Times New Roman" w:cs="Times New Roman"/>
          <w:szCs w:val="22"/>
          <w:u w:val="single"/>
        </w:rPr>
        <w:t>万元、二标236.81万元、三标257.07万元、四标2</w:t>
      </w:r>
      <w:r>
        <w:rPr>
          <w:rFonts w:hint="eastAsia" w:ascii="Times New Roman" w:hAnsi="Times New Roman" w:cs="Times New Roman"/>
          <w:szCs w:val="22"/>
          <w:u w:val="single"/>
          <w:lang w:val="en-US" w:eastAsia="zh-CN"/>
        </w:rPr>
        <w:t>41.</w:t>
      </w:r>
      <w:r>
        <w:rPr>
          <w:rFonts w:ascii="Times New Roman" w:hAnsi="Times New Roman" w:cs="Times New Roman"/>
          <w:szCs w:val="22"/>
          <w:u w:val="single"/>
        </w:rPr>
        <w:t>03万元、五标243.89万元、六标272.60万元</w:t>
      </w:r>
      <w:r>
        <w:rPr>
          <w:rFonts w:hint="eastAsia" w:ascii="Times New Roman" w:hAnsi="Times New Roman" w:cs="Times New Roman"/>
          <w:szCs w:val="22"/>
          <w:u w:val="single"/>
        </w:rPr>
        <w:t>。</w:t>
      </w:r>
      <w:bookmarkStart w:id="101" w:name="_GoBack"/>
      <w:bookmarkEnd w:id="101"/>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2.</w:t>
      </w:r>
      <w:r>
        <w:rPr>
          <w:rFonts w:hint="eastAsia" w:ascii="Times New Roman" w:hAnsi="Times New Roman" w:cs="Times New Roman"/>
          <w:szCs w:val="22"/>
        </w:rPr>
        <w:t>6</w:t>
      </w:r>
      <w:r>
        <w:rPr>
          <w:rFonts w:ascii="Times New Roman" w:hAnsi="Times New Roman" w:cs="Times New Roman"/>
          <w:szCs w:val="22"/>
        </w:rPr>
        <w:t xml:space="preserve"> 计划工期：</w:t>
      </w:r>
      <w:r>
        <w:rPr>
          <w:rFonts w:ascii="Times New Roman" w:hAnsi="Times New Roman" w:cs="Times New Roman"/>
          <w:szCs w:val="22"/>
          <w:u w:val="single"/>
        </w:rPr>
        <w:t>总工期 210 天，具体开工时间以对应单体项目下达开工时间为准。缺陷责任期为 24 个月，以项目的验收合格时间为起始时间。</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2.</w:t>
      </w:r>
      <w:r>
        <w:rPr>
          <w:rFonts w:hint="eastAsia" w:ascii="Times New Roman" w:hAnsi="Times New Roman" w:cs="Times New Roman"/>
          <w:szCs w:val="22"/>
        </w:rPr>
        <w:t>7</w:t>
      </w:r>
      <w:r>
        <w:rPr>
          <w:rFonts w:ascii="Times New Roman" w:hAnsi="Times New Roman" w:cs="Times New Roman"/>
          <w:szCs w:val="22"/>
        </w:rPr>
        <w:t xml:space="preserve"> 每个供应商最多可同时对</w:t>
      </w:r>
      <w:r>
        <w:rPr>
          <w:rFonts w:ascii="Times New Roman" w:hAnsi="Times New Roman" w:cs="Times New Roman"/>
          <w:szCs w:val="22"/>
          <w:u w:val="single"/>
        </w:rPr>
        <w:t xml:space="preserve"> </w:t>
      </w:r>
      <w:r>
        <w:rPr>
          <w:rFonts w:hint="eastAsia" w:ascii="Times New Roman" w:hAnsi="Times New Roman" w:cs="Times New Roman"/>
          <w:szCs w:val="22"/>
          <w:u w:val="single"/>
        </w:rPr>
        <w:t>6</w:t>
      </w:r>
      <w:r>
        <w:rPr>
          <w:rFonts w:ascii="Times New Roman" w:hAnsi="Times New Roman" w:cs="Times New Roman"/>
          <w:szCs w:val="22"/>
          <w:u w:val="single"/>
        </w:rPr>
        <w:t xml:space="preserve"> </w:t>
      </w:r>
      <w:r>
        <w:rPr>
          <w:rFonts w:ascii="Times New Roman" w:hAnsi="Times New Roman" w:cs="Times New Roman"/>
          <w:szCs w:val="22"/>
        </w:rPr>
        <w:t>（具体数量）合同包进行报价，并允许最多成交</w:t>
      </w:r>
      <w:r>
        <w:rPr>
          <w:rFonts w:ascii="Times New Roman" w:hAnsi="Times New Roman" w:cs="Times New Roman"/>
          <w:szCs w:val="22"/>
          <w:u w:val="single"/>
        </w:rPr>
        <w:t xml:space="preserve">  </w:t>
      </w:r>
      <w:r>
        <w:rPr>
          <w:rFonts w:hint="eastAsia" w:ascii="Times New Roman" w:hAnsi="Times New Roman" w:cs="Times New Roman"/>
          <w:szCs w:val="22"/>
          <w:u w:val="single"/>
        </w:rPr>
        <w:t>1</w:t>
      </w:r>
      <w:r>
        <w:rPr>
          <w:rFonts w:ascii="Times New Roman" w:hAnsi="Times New Roman" w:cs="Times New Roman"/>
          <w:szCs w:val="22"/>
          <w:u w:val="single"/>
        </w:rPr>
        <w:t xml:space="preserve">  </w:t>
      </w:r>
      <w:r>
        <w:rPr>
          <w:rFonts w:ascii="Times New Roman" w:hAnsi="Times New Roman" w:cs="Times New Roman"/>
          <w:szCs w:val="22"/>
        </w:rPr>
        <w:t>个合同包</w:t>
      </w:r>
      <w:r>
        <w:rPr>
          <w:rFonts w:hint="eastAsia" w:ascii="Times New Roman" w:hAnsi="Times New Roman" w:cs="Times New Roman"/>
          <w:szCs w:val="22"/>
        </w:rPr>
        <w:t>；多合同包的成交原则：</w:t>
      </w:r>
      <w:r>
        <w:rPr>
          <w:rFonts w:hint="eastAsia" w:ascii="Times New Roman" w:hAnsi="Times New Roman" w:cs="Times New Roman"/>
          <w:szCs w:val="22"/>
          <w:u w:val="single"/>
        </w:rPr>
        <w:t>当供应商人在多个合同包综合得分排名均为第一名时，评审委员会将按报价优惠最低的原则推荐各标段供应商。</w:t>
      </w:r>
    </w:p>
    <w:p>
      <w:pPr>
        <w:pStyle w:val="4"/>
        <w:snapToGrid w:val="0"/>
        <w:spacing w:before="120" w:after="120" w:line="240" w:lineRule="auto"/>
        <w:ind w:firstLine="403"/>
        <w:rPr>
          <w:rFonts w:ascii="Times New Roman" w:hAnsi="Times New Roman" w:eastAsia="黑体" w:cs="Times New Roman"/>
          <w:bCs w:val="0"/>
          <w:color w:val="000000"/>
          <w:sz w:val="22"/>
          <w:szCs w:val="15"/>
        </w:rPr>
      </w:pPr>
      <w:bookmarkStart w:id="18" w:name="_Toc22379_WPSOffice_Level2"/>
      <w:bookmarkStart w:id="19" w:name="_Toc1622_WPSOffice_Level2"/>
      <w:bookmarkStart w:id="20" w:name="_Toc6388"/>
      <w:bookmarkStart w:id="21" w:name="_Toc29516_WPSOffice_Level2"/>
      <w:bookmarkStart w:id="22" w:name="_Toc525632587"/>
      <w:bookmarkStart w:id="23" w:name="_Toc31673_WPSOffice_Level2"/>
      <w:bookmarkStart w:id="24" w:name="_Toc3714"/>
      <w:r>
        <w:rPr>
          <w:rFonts w:ascii="Times New Roman" w:hAnsi="Times New Roman" w:eastAsia="黑体" w:cs="Times New Roman"/>
          <w:bCs w:val="0"/>
          <w:color w:val="000000"/>
          <w:sz w:val="22"/>
          <w:szCs w:val="15"/>
        </w:rPr>
        <w:t>供应商资格条件</w:t>
      </w:r>
      <w:bookmarkEnd w:id="18"/>
      <w:bookmarkEnd w:id="19"/>
      <w:bookmarkEnd w:id="20"/>
      <w:bookmarkEnd w:id="21"/>
      <w:bookmarkEnd w:id="22"/>
      <w:bookmarkEnd w:id="23"/>
      <w:bookmarkEnd w:id="24"/>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3.1 本次采购要求供应商须</w:t>
      </w:r>
      <w:r>
        <w:rPr>
          <w:rFonts w:hint="eastAsia" w:ascii="Times New Roman" w:hAnsi="Times New Roman" w:cs="Times New Roman"/>
          <w:szCs w:val="22"/>
        </w:rPr>
        <w:t>同时</w:t>
      </w:r>
      <w:r>
        <w:rPr>
          <w:rFonts w:ascii="Times New Roman" w:hAnsi="Times New Roman" w:cs="Times New Roman"/>
          <w:szCs w:val="22"/>
        </w:rPr>
        <w:t>具备：</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（1）资质最低要求：</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①具备独立法人资格，持有有效的营业执照；</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②持有建设行政主管部门颁发的有效的安全生产许可证。</w:t>
      </w:r>
    </w:p>
    <w:p>
      <w:pPr>
        <w:numPr>
          <w:ilvl w:val="0"/>
          <w:numId w:val="4"/>
        </w:num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业绩最低要求：</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近</w:t>
      </w:r>
      <w:r>
        <w:rPr>
          <w:rFonts w:hint="eastAsia" w:ascii="Times New Roman" w:hAnsi="Times New Roman" w:cs="Times New Roman"/>
          <w:szCs w:val="22"/>
          <w:u w:val="single"/>
        </w:rPr>
        <w:t>3</w:t>
      </w:r>
      <w:r>
        <w:rPr>
          <w:rFonts w:ascii="Times New Roman" w:hAnsi="Times New Roman" w:cs="Times New Roman"/>
          <w:szCs w:val="22"/>
        </w:rPr>
        <w:t>年（指</w:t>
      </w:r>
      <w:r>
        <w:rPr>
          <w:rFonts w:hint="eastAsia" w:ascii="Times New Roman" w:hAnsi="Times New Roman" w:cs="Times New Roman"/>
          <w:szCs w:val="22"/>
          <w:u w:val="single"/>
        </w:rPr>
        <w:t>2019</w:t>
      </w:r>
      <w:r>
        <w:rPr>
          <w:rFonts w:ascii="Times New Roman" w:hAnsi="Times New Roman" w:cs="Times New Roman"/>
          <w:szCs w:val="22"/>
        </w:rPr>
        <w:t>年</w:t>
      </w:r>
      <w:r>
        <w:rPr>
          <w:rFonts w:hint="eastAsia" w:ascii="Times New Roman" w:hAnsi="Times New Roman" w:cs="Times New Roman"/>
          <w:szCs w:val="22"/>
          <w:u w:val="single"/>
        </w:rPr>
        <w:t>1</w:t>
      </w:r>
      <w:r>
        <w:rPr>
          <w:rFonts w:ascii="Times New Roman" w:hAnsi="Times New Roman" w:cs="Times New Roman"/>
          <w:szCs w:val="22"/>
        </w:rPr>
        <w:t>月</w:t>
      </w:r>
      <w:r>
        <w:rPr>
          <w:rFonts w:hint="eastAsia" w:ascii="Times New Roman" w:hAnsi="Times New Roman" w:cs="Times New Roman"/>
          <w:szCs w:val="22"/>
          <w:u w:val="single"/>
        </w:rPr>
        <w:t>1</w:t>
      </w:r>
      <w:r>
        <w:rPr>
          <w:rFonts w:ascii="Times New Roman" w:hAnsi="Times New Roman" w:cs="Times New Roman"/>
          <w:szCs w:val="22"/>
        </w:rPr>
        <w:t>日至响应文件递交截止日期，以</w:t>
      </w:r>
      <w:r>
        <w:rPr>
          <w:rFonts w:hint="eastAsia" w:ascii="Times New Roman" w:hAnsi="Times New Roman" w:cs="Times New Roman"/>
          <w:szCs w:val="22"/>
          <w:u w:val="single"/>
        </w:rPr>
        <w:t>合同签订</w:t>
      </w:r>
      <w:r>
        <w:rPr>
          <w:rFonts w:ascii="Times New Roman" w:hAnsi="Times New Roman" w:cs="Times New Roman"/>
          <w:szCs w:val="22"/>
          <w:u w:val="single"/>
        </w:rPr>
        <w:t>时间</w:t>
      </w:r>
      <w:r>
        <w:rPr>
          <w:rFonts w:ascii="Times New Roman" w:hAnsi="Times New Roman" w:cs="Times New Roman"/>
          <w:szCs w:val="22"/>
        </w:rPr>
        <w:t>为准）具备</w:t>
      </w:r>
      <w:r>
        <w:rPr>
          <w:rFonts w:hint="eastAsia" w:ascii="Times New Roman" w:hAnsi="Times New Roman" w:cs="Times New Roman"/>
          <w:szCs w:val="22"/>
        </w:rPr>
        <w:t>1个</w:t>
      </w:r>
      <w:r>
        <w:rPr>
          <w:rFonts w:ascii="Times New Roman" w:hAnsi="Times New Roman" w:cs="Times New Roman"/>
          <w:szCs w:val="22"/>
        </w:rPr>
        <w:t>20</w:t>
      </w:r>
      <w:r>
        <w:rPr>
          <w:rFonts w:hint="eastAsia" w:ascii="Times New Roman" w:hAnsi="Times New Roman" w:cs="Times New Roman"/>
          <w:szCs w:val="22"/>
        </w:rPr>
        <w:t>0万元以上服务区新建、改扩建或文创项目类似工程业绩</w:t>
      </w:r>
      <w:r>
        <w:rPr>
          <w:rFonts w:ascii="Times New Roman" w:hAnsi="Times New Roman" w:cs="Times New Roman"/>
          <w:szCs w:val="22"/>
        </w:rPr>
        <w:t>。</w:t>
      </w:r>
    </w:p>
    <w:p>
      <w:pPr>
        <w:numPr>
          <w:ilvl w:val="255"/>
          <w:numId w:val="0"/>
        </w:numPr>
        <w:snapToGrid w:val="0"/>
        <w:spacing w:line="440" w:lineRule="exact"/>
        <w:ind w:firstLine="420" w:firstLineChars="200"/>
        <w:rPr>
          <w:rFonts w:hint="default" w:ascii="Times New Roman" w:hAnsi="Times New Roman" w:cs="Times New Roman" w:eastAsiaTheme="minorEastAsia"/>
          <w:szCs w:val="22"/>
          <w:lang w:val="en-US" w:eastAsia="zh-CN"/>
        </w:rPr>
      </w:pPr>
      <w:r>
        <w:rPr>
          <w:rFonts w:hint="eastAsia" w:ascii="Times New Roman" w:hAnsi="Times New Roman" w:cs="Times New Roman"/>
          <w:szCs w:val="22"/>
        </w:rPr>
        <w:t>（3）</w:t>
      </w:r>
      <w:r>
        <w:rPr>
          <w:rFonts w:ascii="Times New Roman" w:hAnsi="Times New Roman" w:cs="Times New Roman"/>
          <w:szCs w:val="22"/>
        </w:rPr>
        <w:t>主要人员最低要求：</w:t>
      </w:r>
      <w:r>
        <w:rPr>
          <w:rFonts w:hint="eastAsia" w:ascii="Times New Roman" w:hAnsi="Times New Roman" w:cs="Times New Roman"/>
          <w:szCs w:val="22"/>
          <w:lang w:val="en-US" w:eastAsia="zh-CN"/>
        </w:rPr>
        <w:t>·</w:t>
      </w:r>
      <w:r>
        <w:rPr>
          <w:rFonts w:hint="eastAsia" w:ascii="Times New Roman" w:hAnsi="Times New Roman" w:cs="Times New Roman"/>
          <w:szCs w:val="22"/>
          <w:lang w:val="en-US" w:eastAsia="zh-CN"/>
        </w:rPr>
        <w:tab/>
      </w:r>
      <w:r>
        <w:rPr>
          <w:rFonts w:hint="eastAsia" w:ascii="Times New Roman" w:hAnsi="Times New Roman" w:cs="Times New Roman"/>
          <w:szCs w:val="22"/>
          <w:lang w:val="en-US" w:eastAsia="zh-CN"/>
        </w:rPr>
        <w:tab/>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项目</w:t>
      </w:r>
      <w:r>
        <w:rPr>
          <w:rFonts w:hint="eastAsia" w:ascii="Times New Roman" w:hAnsi="Times New Roman" w:cs="Times New Roman"/>
          <w:szCs w:val="22"/>
        </w:rPr>
        <w:t>负责人</w:t>
      </w:r>
      <w:r>
        <w:rPr>
          <w:rFonts w:ascii="Times New Roman" w:hAnsi="Times New Roman" w:cs="Times New Roman"/>
          <w:szCs w:val="22"/>
        </w:rPr>
        <w:t>1名，具备以下资格条件：</w:t>
      </w:r>
    </w:p>
    <w:p>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①</w:t>
      </w:r>
      <w:r>
        <w:rPr>
          <w:rFonts w:ascii="Times New Roman" w:hAnsi="Times New Roman" w:cs="Times New Roman"/>
          <w:szCs w:val="22"/>
        </w:rPr>
        <w:t>具备</w:t>
      </w:r>
      <w:r>
        <w:rPr>
          <w:rFonts w:hint="eastAsia" w:ascii="Times New Roman" w:hAnsi="Times New Roman" w:cs="Times New Roman"/>
          <w:szCs w:val="22"/>
        </w:rPr>
        <w:t>建筑工程施工管理经验</w:t>
      </w:r>
      <w:r>
        <w:rPr>
          <w:rFonts w:ascii="Times New Roman" w:hAnsi="Times New Roman" w:cs="Times New Roman"/>
          <w:szCs w:val="22"/>
        </w:rPr>
        <w:t>；</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对供应商其他人员的要求：</w:t>
      </w:r>
      <w:r>
        <w:rPr>
          <w:rFonts w:hint="eastAsia" w:ascii="Times New Roman" w:hAnsi="Times New Roman" w:cs="Times New Roman"/>
          <w:szCs w:val="22"/>
          <w:u w:val="single"/>
        </w:rPr>
        <w:t>技术负责人、施工员、安全员各1名 ，具备相应资格证书</w:t>
      </w:r>
      <w:r>
        <w:rPr>
          <w:rFonts w:hint="eastAsia" w:ascii="Times New Roman" w:hAnsi="Times New Roman" w:cs="Times New Roman"/>
          <w:szCs w:val="22"/>
        </w:rPr>
        <w:t>。</w:t>
      </w:r>
    </w:p>
    <w:p>
      <w:pPr>
        <w:numPr>
          <w:ilvl w:val="255"/>
          <w:numId w:val="0"/>
        </w:num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pPr>
        <w:snapToGrid w:val="0"/>
        <w:spacing w:line="440" w:lineRule="exact"/>
        <w:ind w:firstLine="420" w:firstLineChars="200"/>
      </w:pPr>
      <w:r>
        <w:rPr>
          <w:rFonts w:hint="eastAsia" w:ascii="Times New Roman" w:hAnsi="Times New Roman" w:cs="Times New Roman"/>
          <w:szCs w:val="22"/>
        </w:rPr>
        <w:t>②未进入清算程序，或被宣告破产，或其他丧失履约能力的情形；</w:t>
      </w:r>
    </w:p>
    <w:p>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在国家企业信用信息公示系统（http://www.gsxt.gov.cn）中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向前追溯3年）供应商或其法定代表人、拟委任的项目经理</w:t>
      </w:r>
      <w:r>
        <w:rPr>
          <w:rFonts w:hint="eastAsia" w:ascii="Times New Roman" w:hAnsi="Times New Roman" w:cs="Times New Roman"/>
          <w:szCs w:val="22"/>
        </w:rPr>
        <w:t>未</w:t>
      </w:r>
      <w:r>
        <w:rPr>
          <w:rFonts w:ascii="Times New Roman" w:hAnsi="Times New Roman" w:cs="Times New Roman"/>
          <w:szCs w:val="22"/>
        </w:rPr>
        <w:t>有行贿犯罪行为。</w:t>
      </w:r>
    </w:p>
    <w:p>
      <w:pPr>
        <w:snapToGrid w:val="0"/>
        <w:spacing w:line="440" w:lineRule="exact"/>
        <w:ind w:firstLine="420" w:firstLineChars="200"/>
        <w:rPr>
          <w:rFonts w:ascii="Times New Roman" w:hAnsi="Times New Roman"/>
        </w:rPr>
      </w:pPr>
      <w:r>
        <w:rPr>
          <w:rFonts w:hint="eastAsia" w:ascii="Times New Roman" w:hAnsi="Times New Roman"/>
        </w:rPr>
        <w:t>⑥其他要求：______________。</w:t>
      </w:r>
    </w:p>
    <w:p>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3.2 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3.3 单位负责人为同一人或者存在控股、管理关系的不同单位，不得同时参加同一合同包报价，否则相关响应文件均无效。</w:t>
      </w:r>
    </w:p>
    <w:p>
      <w:pPr>
        <w:pStyle w:val="4"/>
        <w:snapToGrid w:val="0"/>
        <w:spacing w:before="120" w:after="120" w:line="240" w:lineRule="auto"/>
        <w:ind w:firstLine="403"/>
        <w:rPr>
          <w:rFonts w:ascii="Times New Roman" w:hAnsi="Times New Roman" w:eastAsia="黑体" w:cs="Times New Roman"/>
          <w:bCs w:val="0"/>
          <w:color w:val="000000"/>
          <w:sz w:val="22"/>
          <w:szCs w:val="15"/>
        </w:rPr>
      </w:pPr>
      <w:bookmarkStart w:id="25" w:name="_Toc4109_WPSOffice_Level2"/>
      <w:bookmarkStart w:id="26" w:name="_Toc525632588"/>
      <w:bookmarkStart w:id="27" w:name="_Toc4751"/>
      <w:bookmarkStart w:id="28" w:name="_Toc29452_WPSOffice_Level2"/>
      <w:bookmarkStart w:id="29" w:name="_Toc25666_WPSOffice_Level2"/>
      <w:bookmarkStart w:id="30" w:name="_Toc1994"/>
      <w:bookmarkStart w:id="31" w:name="_Toc2996_WPSOffice_Level2"/>
      <w:r>
        <w:rPr>
          <w:rFonts w:hint="eastAsia" w:ascii="Times New Roman" w:hAnsi="Times New Roman" w:eastAsia="黑体" w:cs="Times New Roman"/>
          <w:bCs w:val="0"/>
          <w:color w:val="000000"/>
          <w:sz w:val="22"/>
          <w:szCs w:val="15"/>
        </w:rPr>
        <w:t>询比文件</w:t>
      </w:r>
      <w:r>
        <w:rPr>
          <w:rFonts w:ascii="Times New Roman" w:hAnsi="Times New Roman" w:eastAsia="黑体" w:cs="Times New Roman"/>
          <w:bCs w:val="0"/>
          <w:color w:val="000000"/>
          <w:sz w:val="22"/>
          <w:szCs w:val="15"/>
        </w:rPr>
        <w:t>的获取</w:t>
      </w:r>
      <w:bookmarkEnd w:id="25"/>
      <w:bookmarkEnd w:id="26"/>
      <w:bookmarkEnd w:id="27"/>
      <w:bookmarkEnd w:id="28"/>
      <w:bookmarkEnd w:id="29"/>
      <w:bookmarkEnd w:id="30"/>
      <w:bookmarkEnd w:id="31"/>
    </w:p>
    <w:p>
      <w:pPr>
        <w:spacing w:line="480" w:lineRule="exact"/>
        <w:ind w:firstLine="420" w:firstLineChars="200"/>
        <w:rPr>
          <w:rFonts w:hint="default" w:ascii="仿宋_GB2312" w:hAnsi="仿宋_GB2312" w:eastAsia="仿宋_GB2312" w:cs="仿宋_GB2312"/>
          <w:color w:val="000000"/>
          <w:kern w:val="0"/>
          <w:sz w:val="28"/>
          <w:szCs w:val="28"/>
          <w:lang w:val="en-US" w:eastAsia="zh-CN"/>
        </w:rPr>
      </w:pPr>
      <w:r>
        <w:rPr>
          <w:rFonts w:hint="default" w:ascii="Times New Roman" w:hAnsi="Times New Roman" w:cs="Times New Roman"/>
          <w:color w:val="auto"/>
          <w:sz w:val="21"/>
          <w:szCs w:val="22"/>
          <w:highlight w:val="none"/>
          <w:lang w:val="en-US" w:eastAsia="zh-CN"/>
        </w:rPr>
        <w:t>供应商应在递交响应文件的截止时间前登录</w:t>
      </w:r>
      <w:r>
        <w:rPr>
          <w:rFonts w:hint="default" w:ascii="Times New Roman" w:hAnsi="Times New Roman" w:cs="Times New Roman"/>
          <w:color w:val="auto"/>
          <w:sz w:val="21"/>
          <w:szCs w:val="22"/>
          <w:highlight w:val="none"/>
        </w:rPr>
        <w:t>安徽省经工建设集团有限公司</w:t>
      </w:r>
      <w:r>
        <w:rPr>
          <w:rFonts w:hint="eastAsia" w:ascii="Times New Roman" w:hAnsi="Times New Roman" w:cs="Times New Roman"/>
          <w:color w:val="auto"/>
          <w:sz w:val="21"/>
          <w:szCs w:val="22"/>
          <w:highlight w:val="none"/>
          <w:lang w:val="en-US" w:eastAsia="zh-CN"/>
        </w:rPr>
        <w:t>网站，</w:t>
      </w:r>
      <w:r>
        <w:rPr>
          <w:rFonts w:hint="default" w:ascii="Times New Roman" w:hAnsi="Times New Roman" w:cs="Times New Roman"/>
          <w:color w:val="auto"/>
          <w:sz w:val="21"/>
          <w:szCs w:val="22"/>
          <w:highlight w:val="none"/>
        </w:rPr>
        <w:t>自行下载</w:t>
      </w:r>
      <w:r>
        <w:rPr>
          <w:rFonts w:hint="eastAsia" w:ascii="Times New Roman" w:hAnsi="Times New Roman" w:cs="Times New Roman"/>
          <w:color w:val="auto"/>
          <w:sz w:val="21"/>
          <w:szCs w:val="22"/>
          <w:highlight w:val="none"/>
          <w:lang w:eastAsia="zh-CN"/>
        </w:rPr>
        <w:t>询比文件</w:t>
      </w:r>
      <w:r>
        <w:rPr>
          <w:rFonts w:hint="default" w:ascii="Times New Roman" w:hAnsi="Times New Roman" w:cs="Times New Roman"/>
          <w:color w:val="auto"/>
          <w:sz w:val="21"/>
          <w:szCs w:val="22"/>
          <w:highlight w:val="none"/>
          <w:lang w:val="en-US" w:eastAsia="zh-CN"/>
        </w:rPr>
        <w:t>及相关资料</w:t>
      </w:r>
      <w:r>
        <w:rPr>
          <w:rFonts w:hint="default" w:ascii="Times New Roman" w:hAnsi="Times New Roman" w:cs="Times New Roman"/>
          <w:color w:val="auto"/>
          <w:sz w:val="21"/>
          <w:szCs w:val="22"/>
          <w:highlight w:val="none"/>
        </w:rPr>
        <w:t>。</w:t>
      </w:r>
      <w:r>
        <w:rPr>
          <w:rFonts w:hint="default" w:ascii="Times New Roman" w:hAnsi="Times New Roman" w:cs="Times New Roman"/>
          <w:color w:val="auto"/>
          <w:sz w:val="21"/>
          <w:szCs w:val="22"/>
          <w:highlight w:val="none"/>
          <w:lang w:val="en-US" w:eastAsia="zh-CN"/>
        </w:rPr>
        <w:t>未按规定在</w:t>
      </w:r>
      <w:r>
        <w:rPr>
          <w:rFonts w:hint="default" w:ascii="Times New Roman" w:hAnsi="Times New Roman" w:cs="Times New Roman"/>
          <w:color w:val="auto"/>
          <w:sz w:val="21"/>
          <w:szCs w:val="22"/>
          <w:highlight w:val="none"/>
        </w:rPr>
        <w:t>安徽省经工建设集团有限公司</w:t>
      </w:r>
      <w:r>
        <w:rPr>
          <w:rFonts w:hint="eastAsia" w:ascii="Times New Roman" w:hAnsi="Times New Roman" w:cs="Times New Roman"/>
          <w:color w:val="auto"/>
          <w:sz w:val="21"/>
          <w:szCs w:val="22"/>
          <w:highlight w:val="none"/>
          <w:lang w:val="en-US" w:eastAsia="zh-CN"/>
        </w:rPr>
        <w:t>网站</w:t>
      </w:r>
      <w:r>
        <w:rPr>
          <w:rFonts w:hint="default" w:ascii="Times New Roman" w:hAnsi="Times New Roman" w:cs="Times New Roman"/>
          <w:color w:val="auto"/>
          <w:sz w:val="21"/>
          <w:szCs w:val="22"/>
          <w:highlight w:val="none"/>
          <w:lang w:val="en-US" w:eastAsia="zh-CN"/>
        </w:rPr>
        <w:t>下载</w:t>
      </w:r>
      <w:r>
        <w:rPr>
          <w:rFonts w:hint="eastAsia" w:ascii="Times New Roman" w:hAnsi="Times New Roman" w:cs="Times New Roman"/>
          <w:color w:val="auto"/>
          <w:sz w:val="21"/>
          <w:szCs w:val="22"/>
          <w:highlight w:val="none"/>
          <w:lang w:val="en-US" w:eastAsia="zh-CN"/>
        </w:rPr>
        <w:t>询比文件</w:t>
      </w:r>
      <w:r>
        <w:rPr>
          <w:rFonts w:hint="default" w:ascii="Times New Roman" w:hAnsi="Times New Roman" w:cs="Times New Roman"/>
          <w:color w:val="auto"/>
          <w:sz w:val="21"/>
          <w:szCs w:val="22"/>
          <w:highlight w:val="none"/>
          <w:lang w:val="en-US" w:eastAsia="zh-CN"/>
        </w:rPr>
        <w:t>的，后续将不予接受其响应文件。</w:t>
      </w:r>
    </w:p>
    <w:p>
      <w:pPr>
        <w:pStyle w:val="4"/>
        <w:snapToGrid w:val="0"/>
        <w:spacing w:before="120" w:after="120" w:line="240" w:lineRule="auto"/>
        <w:ind w:firstLine="403"/>
        <w:rPr>
          <w:rFonts w:ascii="Times New Roman" w:hAnsi="Times New Roman" w:eastAsia="黑体" w:cs="Times New Roman"/>
          <w:bCs w:val="0"/>
          <w:color w:val="000000"/>
          <w:sz w:val="22"/>
          <w:szCs w:val="15"/>
        </w:rPr>
      </w:pPr>
      <w:bookmarkStart w:id="32" w:name="_Toc726"/>
      <w:bookmarkStart w:id="33" w:name="_Toc525632589"/>
      <w:r>
        <w:rPr>
          <w:rFonts w:ascii="Times New Roman" w:hAnsi="Times New Roman" w:eastAsia="黑体" w:cs="Times New Roman"/>
          <w:bCs w:val="0"/>
          <w:color w:val="000000"/>
          <w:sz w:val="22"/>
          <w:szCs w:val="15"/>
        </w:rPr>
        <w:t>响应文件的递交</w:t>
      </w:r>
      <w:bookmarkEnd w:id="32"/>
      <w:bookmarkEnd w:id="33"/>
    </w:p>
    <w:p>
      <w:pPr>
        <w:spacing w:line="360" w:lineRule="auto"/>
        <w:ind w:firstLine="420" w:firstLineChars="200"/>
        <w:rPr>
          <w:rFonts w:ascii="Times New Roman" w:hAnsi="Times New Roman" w:cs="Times New Roman"/>
        </w:rPr>
      </w:pPr>
      <w:bookmarkStart w:id="34" w:name="_Toc22719"/>
      <w:bookmarkStart w:id="35" w:name="_Toc525632591"/>
      <w:r>
        <w:rPr>
          <w:rFonts w:hint="default" w:ascii="Times New Roman" w:hAnsi="Times New Roman" w:cs="Times New Roman"/>
          <w:color w:val="auto"/>
          <w:sz w:val="21"/>
          <w:szCs w:val="22"/>
          <w:highlight w:val="none"/>
        </w:rPr>
        <w:t>响应文件递交的截止时间为</w:t>
      </w:r>
      <w:r>
        <w:rPr>
          <w:rFonts w:hint="eastAsia" w:ascii="Times New Roman" w:hAnsi="Times New Roman" w:cs="Times New Roman"/>
          <w:color w:val="auto"/>
          <w:sz w:val="21"/>
          <w:szCs w:val="22"/>
          <w:highlight w:val="none"/>
          <w:lang w:val="en-US" w:eastAsia="zh-CN"/>
        </w:rPr>
        <w:t>2022</w:t>
      </w:r>
      <w:r>
        <w:rPr>
          <w:rFonts w:hint="default" w:ascii="Times New Roman" w:hAnsi="Times New Roman" w:cs="Times New Roman"/>
          <w:color w:val="auto"/>
          <w:sz w:val="21"/>
          <w:szCs w:val="22"/>
          <w:highlight w:val="none"/>
        </w:rPr>
        <w:t>年</w:t>
      </w:r>
      <w:r>
        <w:rPr>
          <w:rFonts w:hint="eastAsia" w:ascii="Times New Roman" w:hAnsi="Times New Roman" w:cs="Times New Roman"/>
          <w:color w:val="auto"/>
          <w:sz w:val="21"/>
          <w:szCs w:val="22"/>
          <w:highlight w:val="none"/>
          <w:lang w:val="en-US" w:eastAsia="zh-CN"/>
        </w:rPr>
        <w:t>6</w:t>
      </w:r>
      <w:r>
        <w:rPr>
          <w:rFonts w:hint="default" w:ascii="Times New Roman" w:hAnsi="Times New Roman" w:cs="Times New Roman"/>
          <w:color w:val="auto"/>
          <w:sz w:val="21"/>
          <w:szCs w:val="22"/>
          <w:highlight w:val="none"/>
        </w:rPr>
        <w:t>月</w:t>
      </w:r>
      <w:r>
        <w:rPr>
          <w:rFonts w:hint="eastAsia" w:ascii="Times New Roman" w:hAnsi="Times New Roman" w:cs="Times New Roman"/>
          <w:color w:val="auto"/>
          <w:sz w:val="21"/>
          <w:szCs w:val="22"/>
          <w:highlight w:val="none"/>
          <w:lang w:val="en-US" w:eastAsia="zh-CN"/>
        </w:rPr>
        <w:t>6</w:t>
      </w:r>
      <w:r>
        <w:rPr>
          <w:rFonts w:hint="default" w:ascii="Times New Roman" w:hAnsi="Times New Roman" w:cs="Times New Roman"/>
          <w:color w:val="auto"/>
          <w:sz w:val="21"/>
          <w:szCs w:val="22"/>
          <w:highlight w:val="none"/>
        </w:rPr>
        <w:t>日</w:t>
      </w:r>
      <w:r>
        <w:rPr>
          <w:rFonts w:hint="eastAsia" w:ascii="Times New Roman" w:hAnsi="Times New Roman" w:cs="Times New Roman"/>
          <w:color w:val="auto"/>
          <w:sz w:val="21"/>
          <w:szCs w:val="22"/>
          <w:highlight w:val="none"/>
          <w:lang w:val="en-US" w:eastAsia="zh-CN"/>
        </w:rPr>
        <w:t>10</w:t>
      </w:r>
      <w:r>
        <w:rPr>
          <w:rFonts w:hint="default" w:ascii="Times New Roman" w:hAnsi="Times New Roman" w:cs="Times New Roman"/>
          <w:color w:val="auto"/>
          <w:sz w:val="21"/>
          <w:szCs w:val="22"/>
          <w:highlight w:val="none"/>
        </w:rPr>
        <w:t>时</w:t>
      </w:r>
      <w:r>
        <w:rPr>
          <w:rFonts w:hint="eastAsia" w:ascii="Times New Roman" w:hAnsi="Times New Roman" w:cs="Times New Roman"/>
          <w:color w:val="auto"/>
          <w:sz w:val="21"/>
          <w:szCs w:val="22"/>
          <w:highlight w:val="none"/>
        </w:rPr>
        <w:t>00</w:t>
      </w:r>
      <w:r>
        <w:rPr>
          <w:rFonts w:hint="default" w:ascii="Times New Roman" w:hAnsi="Times New Roman" w:cs="Times New Roman"/>
          <w:color w:val="auto"/>
          <w:sz w:val="21"/>
          <w:szCs w:val="22"/>
          <w:highlight w:val="none"/>
        </w:rPr>
        <w:t>分，供应商的法定代表人或其授权代理人应于</w:t>
      </w:r>
      <w:r>
        <w:rPr>
          <w:rFonts w:hint="eastAsia" w:ascii="Times New Roman" w:hAnsi="Times New Roman" w:cs="Times New Roman"/>
          <w:color w:val="auto"/>
          <w:sz w:val="21"/>
          <w:szCs w:val="22"/>
          <w:highlight w:val="none"/>
          <w:lang w:val="en-US" w:eastAsia="zh-CN"/>
        </w:rPr>
        <w:t>2022</w:t>
      </w:r>
      <w:r>
        <w:rPr>
          <w:rFonts w:hint="default" w:ascii="Times New Roman" w:hAnsi="Times New Roman" w:cs="Times New Roman"/>
          <w:color w:val="auto"/>
          <w:sz w:val="21"/>
          <w:szCs w:val="22"/>
          <w:highlight w:val="none"/>
        </w:rPr>
        <w:t>年</w:t>
      </w:r>
      <w:r>
        <w:rPr>
          <w:rFonts w:hint="eastAsia" w:ascii="Times New Roman" w:hAnsi="Times New Roman" w:cs="Times New Roman"/>
          <w:color w:val="auto"/>
          <w:sz w:val="21"/>
          <w:szCs w:val="22"/>
          <w:highlight w:val="none"/>
          <w:lang w:val="en-US" w:eastAsia="zh-CN"/>
        </w:rPr>
        <w:t>6</w:t>
      </w:r>
      <w:r>
        <w:rPr>
          <w:rFonts w:hint="default" w:ascii="Times New Roman" w:hAnsi="Times New Roman" w:cs="Times New Roman"/>
          <w:color w:val="auto"/>
          <w:sz w:val="21"/>
          <w:szCs w:val="22"/>
          <w:highlight w:val="none"/>
        </w:rPr>
        <w:t>月</w:t>
      </w:r>
      <w:r>
        <w:rPr>
          <w:rFonts w:hint="eastAsia" w:ascii="Times New Roman" w:hAnsi="Times New Roman" w:cs="Times New Roman"/>
          <w:color w:val="auto"/>
          <w:sz w:val="21"/>
          <w:szCs w:val="22"/>
          <w:highlight w:val="none"/>
          <w:lang w:val="en-US" w:eastAsia="zh-CN"/>
        </w:rPr>
        <w:t>6</w:t>
      </w:r>
      <w:r>
        <w:rPr>
          <w:rFonts w:hint="default" w:ascii="Times New Roman" w:hAnsi="Times New Roman" w:cs="Times New Roman"/>
          <w:color w:val="auto"/>
          <w:sz w:val="21"/>
          <w:szCs w:val="22"/>
          <w:highlight w:val="none"/>
        </w:rPr>
        <w:t>日</w:t>
      </w:r>
      <w:r>
        <w:rPr>
          <w:rFonts w:hint="eastAsia" w:ascii="Times New Roman" w:hAnsi="Times New Roman" w:cs="Times New Roman"/>
          <w:color w:val="auto"/>
          <w:sz w:val="21"/>
          <w:szCs w:val="22"/>
          <w:highlight w:val="none"/>
          <w:lang w:val="en-US" w:eastAsia="zh-CN"/>
        </w:rPr>
        <w:t>9</w:t>
      </w:r>
      <w:r>
        <w:rPr>
          <w:rFonts w:hint="default" w:ascii="Times New Roman" w:hAnsi="Times New Roman" w:cs="Times New Roman"/>
          <w:color w:val="auto"/>
          <w:sz w:val="21"/>
          <w:szCs w:val="22"/>
          <w:highlight w:val="none"/>
        </w:rPr>
        <w:t>时</w:t>
      </w:r>
      <w:r>
        <w:rPr>
          <w:rFonts w:hint="eastAsia" w:ascii="Times New Roman" w:hAnsi="Times New Roman" w:cs="Times New Roman"/>
          <w:color w:val="auto"/>
          <w:sz w:val="21"/>
          <w:szCs w:val="22"/>
          <w:highlight w:val="none"/>
        </w:rPr>
        <w:t>30</w:t>
      </w:r>
      <w:r>
        <w:rPr>
          <w:rFonts w:hint="default" w:ascii="Times New Roman" w:hAnsi="Times New Roman" w:cs="Times New Roman"/>
          <w:color w:val="auto"/>
          <w:sz w:val="21"/>
          <w:szCs w:val="22"/>
          <w:highlight w:val="none"/>
        </w:rPr>
        <w:t>分</w:t>
      </w:r>
      <w:r>
        <w:rPr>
          <w:rFonts w:hint="eastAsia" w:ascii="Times New Roman" w:hAnsi="Times New Roman" w:cs="Times New Roman"/>
          <w:color w:val="auto"/>
          <w:sz w:val="21"/>
          <w:szCs w:val="22"/>
          <w:highlight w:val="none"/>
        </w:rPr>
        <w:t>至</w:t>
      </w:r>
      <w:r>
        <w:rPr>
          <w:rFonts w:hint="default" w:ascii="Times New Roman" w:hAnsi="Times New Roman" w:cs="Times New Roman"/>
          <w:color w:val="auto"/>
          <w:sz w:val="21"/>
          <w:szCs w:val="22"/>
          <w:highlight w:val="none"/>
        </w:rPr>
        <w:t>递交的截止时间前将响应文件</w:t>
      </w:r>
      <w:r>
        <w:rPr>
          <w:rFonts w:hint="eastAsia" w:ascii="Times New Roman" w:hAnsi="Times New Roman" w:cs="Times New Roman"/>
          <w:color w:val="auto"/>
          <w:sz w:val="21"/>
          <w:szCs w:val="22"/>
          <w:highlight w:val="none"/>
        </w:rPr>
        <w:t>递交至安徽省经工建设集团有限公司</w:t>
      </w:r>
      <w:r>
        <w:rPr>
          <w:rFonts w:hint="eastAsia" w:ascii="Times New Roman" w:hAnsi="Times New Roman" w:cs="Times New Roman"/>
          <w:color w:val="auto"/>
          <w:sz w:val="21"/>
          <w:szCs w:val="22"/>
          <w:highlight w:val="none"/>
          <w:lang w:val="en-US" w:eastAsia="zh-CN"/>
        </w:rPr>
        <w:t>10</w:t>
      </w:r>
      <w:r>
        <w:rPr>
          <w:rFonts w:hint="eastAsia" w:ascii="Times New Roman" w:hAnsi="Times New Roman" w:cs="Times New Roman"/>
          <w:color w:val="auto"/>
          <w:sz w:val="21"/>
          <w:szCs w:val="22"/>
          <w:highlight w:val="none"/>
        </w:rPr>
        <w:t>楼会议室</w:t>
      </w:r>
      <w:r>
        <w:rPr>
          <w:rFonts w:hint="default" w:ascii="Times New Roman" w:hAnsi="Times New Roman" w:cs="Times New Roman"/>
          <w:color w:val="auto"/>
          <w:sz w:val="21"/>
          <w:szCs w:val="22"/>
          <w:highlight w:val="none"/>
        </w:rPr>
        <w:t xml:space="preserve"> </w:t>
      </w:r>
      <w:r>
        <w:rPr>
          <w:rFonts w:hint="eastAsia" w:ascii="Times New Roman" w:hAnsi="Times New Roman" w:cs="Times New Roman"/>
          <w:color w:val="auto"/>
          <w:sz w:val="21"/>
          <w:szCs w:val="22"/>
          <w:highlight w:val="none"/>
        </w:rPr>
        <w:t>（</w:t>
      </w:r>
      <w:r>
        <w:rPr>
          <w:rFonts w:hint="eastAsia" w:ascii="Times New Roman" w:hAnsi="Times New Roman" w:cs="Times New Roman"/>
          <w:color w:val="auto"/>
          <w:sz w:val="21"/>
          <w:szCs w:val="22"/>
          <w:highlight w:val="none"/>
          <w:lang w:val="en-US" w:eastAsia="zh-CN"/>
        </w:rPr>
        <w:t>1002室</w:t>
      </w:r>
      <w:r>
        <w:rPr>
          <w:rFonts w:hint="default" w:ascii="Times New Roman" w:hAnsi="Times New Roman" w:cs="Times New Roman"/>
          <w:color w:val="auto"/>
          <w:sz w:val="21"/>
          <w:szCs w:val="22"/>
          <w:highlight w:val="none"/>
        </w:rPr>
        <w:t>）</w:t>
      </w:r>
      <w:r>
        <w:rPr>
          <w:rFonts w:ascii="仿宋_GB2312" w:hAnsi="仿宋_GB2312" w:eastAsia="仿宋_GB2312" w:cs="仿宋_GB2312"/>
          <w:color w:val="000000"/>
          <w:kern w:val="0"/>
          <w:sz w:val="28"/>
          <w:szCs w:val="28"/>
        </w:rPr>
        <w:t>。</w:t>
      </w:r>
    </w:p>
    <w:p>
      <w:pPr>
        <w:pStyle w:val="4"/>
        <w:snapToGrid w:val="0"/>
        <w:spacing w:before="120" w:after="120" w:line="240" w:lineRule="auto"/>
        <w:ind w:firstLine="403"/>
        <w:rPr>
          <w:rFonts w:ascii="Times New Roman" w:hAnsi="Times New Roman" w:eastAsia="黑体" w:cs="Times New Roman"/>
          <w:bCs w:val="0"/>
          <w:color w:val="000000"/>
          <w:sz w:val="22"/>
          <w:szCs w:val="15"/>
        </w:rPr>
      </w:pPr>
      <w:r>
        <w:rPr>
          <w:rFonts w:ascii="Times New Roman" w:hAnsi="Times New Roman" w:eastAsia="黑体" w:cs="Times New Roman"/>
          <w:bCs w:val="0"/>
          <w:color w:val="000000"/>
          <w:sz w:val="22"/>
          <w:szCs w:val="15"/>
        </w:rPr>
        <w:t>响应文件启封</w:t>
      </w:r>
    </w:p>
    <w:p>
      <w:pPr>
        <w:spacing w:line="480" w:lineRule="exact"/>
        <w:ind w:firstLine="420" w:firstLineChars="200"/>
        <w:rPr>
          <w:rFonts w:ascii="Times New Roman" w:hAnsi="Times New Roman" w:cs="Times New Roman"/>
        </w:rPr>
      </w:pPr>
      <w:r>
        <w:rPr>
          <w:rFonts w:hint="default" w:ascii="Times New Roman" w:hAnsi="Times New Roman" w:cs="Times New Roman"/>
          <w:color w:val="auto"/>
          <w:sz w:val="21"/>
          <w:szCs w:val="22"/>
          <w:highlight w:val="none"/>
        </w:rPr>
        <w:t>响应文件的递交截止时间到后，采购人将于</w:t>
      </w:r>
      <w:r>
        <w:rPr>
          <w:rFonts w:hint="eastAsia" w:ascii="Times New Roman" w:hAnsi="Times New Roman" w:cs="Times New Roman"/>
          <w:color w:val="auto"/>
          <w:sz w:val="21"/>
          <w:szCs w:val="22"/>
          <w:highlight w:val="none"/>
        </w:rPr>
        <w:t>安徽省经工建设集团有限公司</w:t>
      </w:r>
      <w:r>
        <w:rPr>
          <w:rFonts w:hint="eastAsia" w:ascii="Times New Roman" w:hAnsi="Times New Roman" w:cs="Times New Roman"/>
          <w:color w:val="auto"/>
          <w:sz w:val="21"/>
          <w:szCs w:val="22"/>
          <w:highlight w:val="none"/>
          <w:lang w:val="en-US" w:eastAsia="zh-CN"/>
        </w:rPr>
        <w:t>10</w:t>
      </w:r>
      <w:r>
        <w:rPr>
          <w:rFonts w:hint="eastAsia" w:ascii="Times New Roman" w:hAnsi="Times New Roman" w:cs="Times New Roman"/>
          <w:color w:val="auto"/>
          <w:sz w:val="21"/>
          <w:szCs w:val="22"/>
          <w:highlight w:val="none"/>
        </w:rPr>
        <w:t>楼</w:t>
      </w:r>
      <w:r>
        <w:rPr>
          <w:rFonts w:hint="eastAsia" w:ascii="Times New Roman" w:hAnsi="Times New Roman" w:cs="Times New Roman"/>
          <w:color w:val="auto"/>
          <w:sz w:val="21"/>
          <w:szCs w:val="22"/>
          <w:highlight w:val="none"/>
          <w:lang w:val="en-US" w:eastAsia="zh-CN"/>
        </w:rPr>
        <w:t>1002室</w:t>
      </w:r>
      <w:r>
        <w:rPr>
          <w:rFonts w:hint="default" w:ascii="Times New Roman" w:hAnsi="Times New Roman" w:cs="Times New Roman"/>
          <w:color w:val="auto"/>
          <w:sz w:val="21"/>
          <w:szCs w:val="22"/>
          <w:highlight w:val="none"/>
        </w:rPr>
        <w:t>组织进行响应文件的启封。供应商的法定代表人或授权代理人应携带本人身份证</w:t>
      </w:r>
      <w:r>
        <w:rPr>
          <w:rFonts w:hint="eastAsia" w:ascii="Times New Roman" w:hAnsi="Times New Roman" w:cs="Times New Roman"/>
          <w:color w:val="auto"/>
          <w:sz w:val="21"/>
          <w:szCs w:val="22"/>
          <w:highlight w:val="none"/>
        </w:rPr>
        <w:t>、授权代理人应携带授权委托书</w:t>
      </w:r>
      <w:r>
        <w:rPr>
          <w:rFonts w:hint="default" w:ascii="Times New Roman" w:hAnsi="Times New Roman" w:cs="Times New Roman"/>
          <w:color w:val="auto"/>
          <w:sz w:val="21"/>
          <w:szCs w:val="22"/>
          <w:highlight w:val="none"/>
        </w:rPr>
        <w:t>准时参加启封会议。</w:t>
      </w:r>
    </w:p>
    <w:p>
      <w:pPr>
        <w:pStyle w:val="4"/>
        <w:snapToGrid w:val="0"/>
        <w:spacing w:before="120" w:after="120" w:line="240" w:lineRule="auto"/>
        <w:ind w:firstLine="403"/>
        <w:rPr>
          <w:rFonts w:ascii="Times New Roman" w:hAnsi="Times New Roman" w:eastAsia="黑体" w:cs="Times New Roman"/>
          <w:bCs w:val="0"/>
          <w:color w:val="000000"/>
          <w:sz w:val="22"/>
          <w:szCs w:val="15"/>
        </w:rPr>
      </w:pPr>
      <w:r>
        <w:rPr>
          <w:rFonts w:hint="eastAsia" w:ascii="Times New Roman" w:hAnsi="Times New Roman" w:eastAsia="黑体" w:cs="Times New Roman"/>
          <w:bCs w:val="0"/>
          <w:color w:val="000000"/>
          <w:sz w:val="22"/>
          <w:szCs w:val="15"/>
        </w:rPr>
        <w:t>响应保证金</w:t>
      </w:r>
    </w:p>
    <w:p>
      <w:pPr>
        <w:snapToGrid w:val="0"/>
        <w:spacing w:line="440" w:lineRule="exact"/>
        <w:ind w:firstLine="420" w:firstLineChars="200"/>
        <w:rPr>
          <w:rFonts w:ascii="Times New Roman" w:hAnsi="Times New Roman"/>
        </w:rPr>
      </w:pPr>
      <w:r>
        <w:rPr>
          <w:rFonts w:hint="eastAsia" w:ascii="Times New Roman" w:hAnsi="Times New Roman"/>
        </w:rPr>
        <w:t>响应保证金的金额：</w:t>
      </w:r>
      <w:r>
        <w:rPr>
          <w:rFonts w:hint="eastAsia" w:ascii="Times New Roman" w:hAnsi="Times New Roman" w:cs="Times New Roman"/>
          <w:szCs w:val="22"/>
          <w:u w:val="single"/>
        </w:rPr>
        <w:t>2万元</w:t>
      </w:r>
    </w:p>
    <w:p>
      <w:pPr>
        <w:snapToGrid w:val="0"/>
        <w:spacing w:line="440" w:lineRule="exact"/>
        <w:ind w:firstLine="420" w:firstLineChars="200"/>
        <w:rPr>
          <w:rFonts w:ascii="Times New Roman" w:hAnsi="Times New Roman" w:cs="Times New Roman"/>
          <w:szCs w:val="22"/>
          <w:u w:val="single"/>
        </w:rPr>
      </w:pPr>
      <w:r>
        <w:rPr>
          <w:rFonts w:hint="eastAsia" w:ascii="Times New Roman" w:hAnsi="Times New Roman"/>
        </w:rPr>
        <w:t>响应保证金的递交形式：</w:t>
      </w:r>
      <w:r>
        <w:rPr>
          <w:rFonts w:hint="eastAsia" w:ascii="Times New Roman" w:hAnsi="Times New Roman" w:cs="Times New Roman"/>
          <w:szCs w:val="22"/>
          <w:u w:val="single"/>
        </w:rPr>
        <w:t>银行转账或银行保函</w:t>
      </w:r>
    </w:p>
    <w:p>
      <w:pPr>
        <w:snapToGrid w:val="0"/>
        <w:spacing w:line="440" w:lineRule="exact"/>
        <w:ind w:firstLine="420" w:firstLineChars="200"/>
        <w:rPr>
          <w:rFonts w:ascii="Times New Roman" w:hAnsi="Times New Roman"/>
        </w:rPr>
      </w:pPr>
      <w:r>
        <w:rPr>
          <w:rFonts w:hint="eastAsia" w:ascii="Times New Roman" w:hAnsi="Times New Roman"/>
        </w:rPr>
        <w:t>递交账号：</w:t>
      </w:r>
    </w:p>
    <w:p>
      <w:pPr>
        <w:snapToGrid w:val="0"/>
        <w:spacing w:line="440" w:lineRule="exact"/>
        <w:ind w:firstLine="420" w:firstLineChars="200"/>
        <w:rPr>
          <w:rFonts w:ascii="Times New Roman" w:hAnsi="Times New Roman"/>
          <w:b/>
          <w:bCs/>
        </w:rPr>
      </w:pPr>
      <w:r>
        <w:rPr>
          <w:rFonts w:hint="eastAsia" w:ascii="Times New Roman" w:hAnsi="Times New Roman"/>
          <w:b/>
          <w:bCs/>
        </w:rPr>
        <w:t>开户银行：工行合肥东陈岗支行（分理处）</w:t>
      </w:r>
    </w:p>
    <w:p>
      <w:pPr>
        <w:snapToGrid w:val="0"/>
        <w:spacing w:line="440" w:lineRule="exact"/>
        <w:ind w:firstLine="420" w:firstLineChars="200"/>
        <w:rPr>
          <w:rFonts w:ascii="Times New Roman" w:hAnsi="Times New Roman"/>
          <w:b/>
          <w:bCs/>
        </w:rPr>
      </w:pPr>
      <w:r>
        <w:rPr>
          <w:rFonts w:hint="eastAsia" w:ascii="Times New Roman" w:hAnsi="Times New Roman"/>
          <w:b/>
          <w:bCs/>
        </w:rPr>
        <w:t>账    号：1302012109026700213</w:t>
      </w:r>
    </w:p>
    <w:p>
      <w:pPr>
        <w:snapToGrid w:val="0"/>
        <w:spacing w:line="440" w:lineRule="exact"/>
        <w:ind w:firstLine="420" w:firstLineChars="200"/>
        <w:rPr>
          <w:rFonts w:ascii="Times New Roman" w:hAnsi="Times New Roman"/>
        </w:rPr>
      </w:pPr>
      <w:r>
        <w:rPr>
          <w:rFonts w:hint="eastAsia" w:ascii="Times New Roman" w:hAnsi="Times New Roman"/>
        </w:rPr>
        <w:t>递交截止时间：响应截止日期前</w:t>
      </w:r>
    </w:p>
    <w:p>
      <w:pPr>
        <w:pStyle w:val="4"/>
        <w:snapToGrid w:val="0"/>
        <w:spacing w:before="120" w:after="120" w:line="240" w:lineRule="auto"/>
        <w:ind w:firstLine="403"/>
        <w:rPr>
          <w:rFonts w:ascii="Times New Roman" w:hAnsi="Times New Roman" w:eastAsia="黑体" w:cs="Times New Roman"/>
          <w:bCs w:val="0"/>
          <w:color w:val="000000"/>
          <w:sz w:val="22"/>
          <w:szCs w:val="15"/>
        </w:rPr>
      </w:pPr>
      <w:r>
        <w:rPr>
          <w:rFonts w:ascii="Times New Roman" w:hAnsi="Times New Roman" w:eastAsia="黑体" w:cs="Times New Roman"/>
          <w:bCs w:val="0"/>
          <w:color w:val="000000"/>
          <w:sz w:val="22"/>
          <w:szCs w:val="15"/>
        </w:rPr>
        <w:t>发布公告的媒介</w:t>
      </w:r>
      <w:bookmarkEnd w:id="34"/>
      <w:bookmarkEnd w:id="35"/>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本次采购公告在</w:t>
      </w:r>
      <w:r>
        <w:rPr>
          <w:rFonts w:hint="eastAsia" w:ascii="宋体" w:hAnsi="宋体" w:eastAsia="宋体" w:cs="宋体"/>
          <w:color w:val="2C3E50"/>
          <w:szCs w:val="21"/>
          <w:shd w:val="clear" w:color="auto" w:fill="FFFFFF"/>
        </w:rPr>
        <w:t>本次采购公告在安徽省经工建设集团有限公司（</w:t>
      </w:r>
      <w:r>
        <w:rPr>
          <w:rFonts w:ascii="Times New Roman" w:hAnsi="Times New Roman" w:eastAsia="宋体" w:cs="Times New Roman"/>
          <w:color w:val="2C3E50"/>
          <w:szCs w:val="21"/>
          <w:shd w:val="clear" w:color="auto" w:fill="FFFFFF"/>
        </w:rPr>
        <w:t>https://</w:t>
      </w:r>
      <w:r>
        <w:rPr>
          <w:rFonts w:hint="eastAsia" w:ascii="Times New Roman" w:hAnsi="Times New Roman" w:eastAsia="宋体" w:cs="Times New Roman"/>
          <w:color w:val="2C3E50"/>
          <w:szCs w:val="21"/>
          <w:shd w:val="clear" w:color="auto" w:fill="FFFFFF"/>
        </w:rPr>
        <w:t>www.</w:t>
      </w:r>
      <w:r>
        <w:fldChar w:fldCharType="begin"/>
      </w:r>
      <w:r>
        <w:instrText xml:space="preserve"> HYPERLINK "http://ahjggroup.com/" </w:instrText>
      </w:r>
      <w:r>
        <w:fldChar w:fldCharType="separate"/>
      </w:r>
      <w:r>
        <w:rPr>
          <w:rFonts w:ascii="Times New Roman" w:hAnsi="Times New Roman" w:eastAsia="宋体" w:cs="Times New Roman"/>
          <w:color w:val="2C3E50"/>
          <w:szCs w:val="21"/>
          <w:shd w:val="clear" w:color="auto" w:fill="FFFFFF"/>
        </w:rPr>
        <w:t>ahjggroup.com)</w:t>
      </w:r>
      <w:r>
        <w:rPr>
          <w:rFonts w:ascii="Times New Roman" w:hAnsi="Times New Roman" w:eastAsia="宋体" w:cs="Times New Roman"/>
          <w:color w:val="2C3E50"/>
          <w:szCs w:val="21"/>
          <w:shd w:val="clear" w:color="auto" w:fill="FFFFFF"/>
        </w:rPr>
        <w:fldChar w:fldCharType="end"/>
      </w:r>
      <w:r>
        <w:rPr>
          <w:rFonts w:hint="eastAsia" w:ascii="宋体" w:hAnsi="宋体" w:eastAsia="宋体" w:cs="宋体"/>
          <w:color w:val="2C3E50"/>
          <w:szCs w:val="21"/>
          <w:shd w:val="clear" w:color="auto" w:fill="FFFFFF"/>
        </w:rPr>
        <w:t>上发布</w:t>
      </w:r>
      <w:r>
        <w:rPr>
          <w:rFonts w:ascii="Times New Roman" w:hAnsi="Times New Roman" w:cs="Times New Roman"/>
          <w:szCs w:val="22"/>
        </w:rPr>
        <w:t>。</w:t>
      </w:r>
    </w:p>
    <w:p>
      <w:pPr>
        <w:pStyle w:val="4"/>
        <w:snapToGrid w:val="0"/>
        <w:spacing w:before="120" w:after="120" w:line="240" w:lineRule="auto"/>
        <w:ind w:firstLine="403"/>
        <w:rPr>
          <w:rFonts w:ascii="Times New Roman" w:hAnsi="Times New Roman" w:eastAsia="黑体" w:cs="Times New Roman"/>
          <w:bCs w:val="0"/>
          <w:color w:val="000000"/>
          <w:sz w:val="22"/>
          <w:szCs w:val="15"/>
        </w:rPr>
      </w:pPr>
      <w:bookmarkStart w:id="36" w:name="_Toc321_WPSOffice_Level2"/>
      <w:bookmarkStart w:id="37" w:name="_Toc26829"/>
      <w:bookmarkStart w:id="38" w:name="_Toc525632592"/>
      <w:bookmarkStart w:id="39" w:name="_Toc28571_WPSOffice_Level2"/>
      <w:bookmarkStart w:id="40" w:name="_Toc8501"/>
      <w:bookmarkStart w:id="41" w:name="_Toc14943_WPSOffice_Level2"/>
      <w:bookmarkStart w:id="42" w:name="_Toc20572_WPSOffice_Level2"/>
      <w:r>
        <w:rPr>
          <w:rFonts w:ascii="Times New Roman" w:hAnsi="Times New Roman" w:eastAsia="黑体" w:cs="Times New Roman"/>
          <w:bCs w:val="0"/>
          <w:color w:val="000000"/>
          <w:sz w:val="22"/>
          <w:szCs w:val="15"/>
        </w:rPr>
        <w:t>采购人联系方式</w:t>
      </w:r>
      <w:bookmarkEnd w:id="36"/>
      <w:bookmarkEnd w:id="37"/>
      <w:bookmarkEnd w:id="38"/>
      <w:bookmarkEnd w:id="39"/>
      <w:bookmarkEnd w:id="40"/>
      <w:bookmarkEnd w:id="41"/>
      <w:bookmarkEnd w:id="42"/>
    </w:p>
    <w:p>
      <w:pPr>
        <w:spacing w:line="440" w:lineRule="exact"/>
        <w:ind w:firstLine="420" w:firstLineChars="200"/>
        <w:rPr>
          <w:rFonts w:ascii="Times New Roman" w:hAnsi="Times New Roman" w:cs="Times New Roman"/>
          <w:szCs w:val="22"/>
        </w:rPr>
      </w:pPr>
      <w:r>
        <w:rPr>
          <w:rFonts w:ascii="Times New Roman" w:hAnsi="Times New Roman" w:cs="Times New Roman"/>
          <w:szCs w:val="22"/>
        </w:rPr>
        <w:t>采 购 人：</w:t>
      </w:r>
      <w:r>
        <w:rPr>
          <w:rFonts w:hint="eastAsia" w:ascii="Times New Roman" w:hAnsi="Times New Roman" w:cs="Times New Roman"/>
          <w:szCs w:val="22"/>
          <w:u w:val="single"/>
        </w:rPr>
        <w:t>安徽省经工建设集团有限公司</w:t>
      </w:r>
    </w:p>
    <w:p>
      <w:pPr>
        <w:spacing w:line="440" w:lineRule="exact"/>
        <w:ind w:firstLine="420" w:firstLineChars="200"/>
        <w:rPr>
          <w:rFonts w:ascii="Times New Roman" w:hAnsi="Times New Roman" w:cs="Times New Roman"/>
          <w:szCs w:val="22"/>
        </w:rPr>
      </w:pPr>
      <w:r>
        <w:rPr>
          <w:rFonts w:ascii="Times New Roman" w:hAnsi="Times New Roman" w:cs="Times New Roman"/>
          <w:szCs w:val="22"/>
        </w:rPr>
        <w:t>地    址：</w:t>
      </w:r>
      <w:r>
        <w:rPr>
          <w:rFonts w:hint="eastAsia" w:ascii="Times New Roman" w:hAnsi="Times New Roman" w:cs="Times New Roman"/>
          <w:szCs w:val="22"/>
          <w:u w:val="single"/>
        </w:rPr>
        <w:t xml:space="preserve">安徽省合肥市滨湖高速时代广场C1-9/10F  </w:t>
      </w:r>
      <w:r>
        <w:rPr>
          <w:rFonts w:ascii="仿宋_GB2312" w:hAnsi="仿宋_GB2312" w:eastAsia="仿宋_GB2312" w:cs="仿宋_GB2312"/>
          <w:color w:val="000000"/>
          <w:kern w:val="0"/>
          <w:sz w:val="28"/>
          <w:szCs w:val="28"/>
        </w:rPr>
        <w:t xml:space="preserve">  </w:t>
      </w:r>
    </w:p>
    <w:p>
      <w:pPr>
        <w:spacing w:line="440" w:lineRule="exact"/>
        <w:ind w:firstLine="420" w:firstLineChars="200"/>
        <w:rPr>
          <w:rFonts w:ascii="Times New Roman" w:hAnsi="Times New Roman" w:cs="Times New Roman"/>
          <w:szCs w:val="22"/>
        </w:rPr>
      </w:pPr>
      <w:r>
        <w:rPr>
          <w:rFonts w:ascii="Times New Roman" w:hAnsi="Times New Roman" w:cs="Times New Roman"/>
          <w:szCs w:val="22"/>
        </w:rPr>
        <w:t>联 系 人：</w:t>
      </w:r>
      <w:r>
        <w:rPr>
          <w:rFonts w:hint="eastAsia" w:ascii="Times New Roman" w:hAnsi="Times New Roman" w:cs="Times New Roman"/>
          <w:szCs w:val="22"/>
          <w:u w:val="single"/>
        </w:rPr>
        <w:t>陈  工</w:t>
      </w:r>
      <w:r>
        <w:rPr>
          <w:rFonts w:ascii="Times New Roman" w:hAnsi="Times New Roman" w:cs="Times New Roman"/>
          <w:szCs w:val="22"/>
          <w:u w:val="single"/>
        </w:rPr>
        <w:t xml:space="preserve">  </w:t>
      </w:r>
      <w:r>
        <w:rPr>
          <w:rFonts w:ascii="Times New Roman" w:hAnsi="Times New Roman" w:cs="Times New Roman"/>
          <w:szCs w:val="22"/>
        </w:rPr>
        <w:t xml:space="preserve">  </w:t>
      </w:r>
    </w:p>
    <w:p>
      <w:pPr>
        <w:spacing w:line="440" w:lineRule="exact"/>
        <w:ind w:firstLine="420" w:firstLineChars="200"/>
        <w:rPr>
          <w:rFonts w:ascii="仿宋_GB2312" w:hAnsi="仿宋_GB2312" w:eastAsia="仿宋_GB2312" w:cs="仿宋_GB2312"/>
          <w:color w:val="000000"/>
          <w:kern w:val="0"/>
          <w:sz w:val="28"/>
          <w:szCs w:val="28"/>
        </w:rPr>
      </w:pPr>
      <w:r>
        <w:rPr>
          <w:rFonts w:ascii="Times New Roman" w:hAnsi="Times New Roman" w:cs="Times New Roman"/>
          <w:szCs w:val="22"/>
        </w:rPr>
        <w:t>电    话：</w:t>
      </w:r>
      <w:r>
        <w:rPr>
          <w:rFonts w:hint="eastAsia" w:ascii="Times New Roman" w:hAnsi="Times New Roman" w:cs="Times New Roman"/>
          <w:szCs w:val="22"/>
          <w:u w:val="single"/>
        </w:rPr>
        <w:t xml:space="preserve">18268495766  </w:t>
      </w:r>
      <w:r>
        <w:rPr>
          <w:rFonts w:ascii="仿宋_GB2312" w:hAnsi="仿宋_GB2312" w:eastAsia="仿宋_GB2312" w:cs="仿宋_GB2312"/>
          <w:color w:val="000000"/>
          <w:kern w:val="0"/>
          <w:sz w:val="28"/>
          <w:szCs w:val="28"/>
        </w:rPr>
        <w:t xml:space="preserve"> </w:t>
      </w:r>
    </w:p>
    <w:p>
      <w:pPr>
        <w:spacing w:line="440" w:lineRule="exact"/>
        <w:ind w:firstLine="420" w:firstLineChars="200"/>
        <w:rPr>
          <w:rFonts w:ascii="Times New Roman" w:hAnsi="Times New Roman" w:cs="Times New Roman"/>
          <w:szCs w:val="22"/>
        </w:rPr>
      </w:pPr>
      <w:r>
        <w:rPr>
          <w:rFonts w:ascii="Times New Roman" w:hAnsi="Times New Roman" w:cs="Times New Roman"/>
          <w:szCs w:val="22"/>
        </w:rPr>
        <w:t>电子邮箱：</w:t>
      </w:r>
      <w:r>
        <w:rPr>
          <w:rFonts w:hint="eastAsia" w:ascii="Times New Roman" w:hAnsi="Times New Roman" w:cs="Times New Roman"/>
          <w:szCs w:val="22"/>
          <w:u w:val="single"/>
        </w:rPr>
        <w:t>1374131140@qq.com</w:t>
      </w:r>
      <w:r>
        <w:rPr>
          <w:rFonts w:ascii="Times New Roman" w:hAnsi="Times New Roman" w:cs="Times New Roman"/>
          <w:szCs w:val="22"/>
          <w:u w:val="single"/>
        </w:rPr>
        <w:t xml:space="preserve">        </w:t>
      </w:r>
      <w:r>
        <w:rPr>
          <w:rFonts w:ascii="Times New Roman" w:hAnsi="Times New Roman" w:cs="Times New Roman"/>
          <w:szCs w:val="22"/>
        </w:rPr>
        <w:t xml:space="preserve"> </w:t>
      </w:r>
    </w:p>
    <w:p>
      <w:pPr>
        <w:spacing w:line="440" w:lineRule="exact"/>
        <w:ind w:firstLine="420" w:firstLineChars="200"/>
        <w:rPr>
          <w:rFonts w:ascii="Times New Roman" w:hAnsi="Times New Roman" w:cs="Times New Roman"/>
          <w:szCs w:val="22"/>
        </w:rPr>
      </w:pPr>
    </w:p>
    <w:p>
      <w:pPr>
        <w:pStyle w:val="17"/>
        <w:jc w:val="center"/>
        <w:rPr>
          <w:rFonts w:hint="default" w:ascii="Times New Roman" w:hAnsi="Times New Roman"/>
          <w:color w:val="auto"/>
          <w:sz w:val="21"/>
          <w:szCs w:val="22"/>
        </w:rPr>
      </w:pPr>
      <w:r>
        <w:rPr>
          <w:rFonts w:hint="default" w:ascii="Times New Roman" w:hAnsi="Times New Roman"/>
          <w:color w:val="auto"/>
          <w:sz w:val="21"/>
          <w:szCs w:val="22"/>
        </w:rPr>
        <w:t xml:space="preserve">                                          </w:t>
      </w:r>
    </w:p>
    <w:p>
      <w:pPr>
        <w:pStyle w:val="17"/>
        <w:jc w:val="right"/>
        <w:rPr>
          <w:rFonts w:hint="default" w:ascii="Times New Roman" w:hAnsi="Times New Roman"/>
          <w:color w:val="auto"/>
          <w:sz w:val="21"/>
          <w:szCs w:val="22"/>
        </w:rPr>
      </w:pPr>
    </w:p>
    <w:p>
      <w:pPr>
        <w:pStyle w:val="17"/>
        <w:jc w:val="right"/>
        <w:rPr>
          <w:rFonts w:hint="default" w:ascii="Times New Roman" w:hAnsi="Times New Roman"/>
          <w:color w:val="auto"/>
          <w:szCs w:val="28"/>
        </w:rPr>
      </w:pPr>
      <w:r>
        <w:rPr>
          <w:rFonts w:ascii="Times New Roman" w:hAnsi="Times New Roman"/>
          <w:color w:val="auto"/>
          <w:sz w:val="21"/>
          <w:szCs w:val="22"/>
        </w:rPr>
        <w:t>2022</w:t>
      </w:r>
      <w:r>
        <w:rPr>
          <w:rFonts w:hint="default" w:ascii="Times New Roman" w:hAnsi="Times New Roman"/>
          <w:color w:val="auto"/>
          <w:sz w:val="21"/>
          <w:szCs w:val="22"/>
        </w:rPr>
        <w:t>年</w:t>
      </w:r>
      <w:r>
        <w:rPr>
          <w:rFonts w:hint="eastAsia" w:ascii="Times New Roman" w:hAnsi="Times New Roman"/>
          <w:color w:val="auto"/>
          <w:sz w:val="21"/>
          <w:szCs w:val="22"/>
          <w:lang w:val="en-US" w:eastAsia="zh-CN"/>
        </w:rPr>
        <w:t>6</w:t>
      </w:r>
      <w:r>
        <w:rPr>
          <w:rFonts w:hint="default" w:ascii="Times New Roman" w:hAnsi="Times New Roman"/>
          <w:color w:val="auto"/>
          <w:sz w:val="21"/>
          <w:szCs w:val="22"/>
        </w:rPr>
        <w:t>月</w:t>
      </w:r>
      <w:r>
        <w:rPr>
          <w:rFonts w:hint="eastAsia" w:ascii="Times New Roman" w:hAnsi="Times New Roman"/>
          <w:color w:val="auto"/>
          <w:sz w:val="21"/>
          <w:szCs w:val="22"/>
          <w:lang w:val="en-US" w:eastAsia="zh-CN"/>
        </w:rPr>
        <w:t>2</w:t>
      </w:r>
      <w:r>
        <w:rPr>
          <w:rFonts w:hint="default" w:ascii="Times New Roman" w:hAnsi="Times New Roman"/>
          <w:color w:val="auto"/>
          <w:sz w:val="21"/>
          <w:szCs w:val="22"/>
        </w:rPr>
        <w:t>日</w:t>
      </w:r>
    </w:p>
    <w:p>
      <w:pPr>
        <w:rPr>
          <w:rFonts w:ascii="Times New Roman" w:hAnsi="Times New Roman" w:cs="Times New Roman"/>
          <w:sz w:val="24"/>
          <w:szCs w:val="28"/>
        </w:rPr>
      </w:pPr>
      <w:r>
        <w:rPr>
          <w:rFonts w:ascii="Times New Roman" w:hAnsi="Times New Roman" w:cs="Times New Roman"/>
          <w:sz w:val="24"/>
          <w:szCs w:val="28"/>
        </w:rPr>
        <w:br w:type="page"/>
      </w:r>
    </w:p>
    <w:p>
      <w:pPr>
        <w:pStyle w:val="3"/>
        <w:spacing w:before="312" w:after="312"/>
        <w:rPr>
          <w:rFonts w:ascii="Times New Roman" w:hAnsi="Times New Roman" w:eastAsia="宋体" w:cs="Times New Roman"/>
        </w:rPr>
      </w:pPr>
      <w:r>
        <w:rPr>
          <w:rFonts w:hint="eastAsia" w:ascii="Times New Roman" w:hAnsi="Times New Roman" w:eastAsia="宋体" w:cs="Times New Roman"/>
        </w:rPr>
        <w:t>供应商须知</w:t>
      </w:r>
    </w:p>
    <w:p>
      <w:pPr>
        <w:spacing w:line="440" w:lineRule="exact"/>
        <w:jc w:val="center"/>
        <w:outlineLvl w:val="1"/>
        <w:rPr>
          <w:rFonts w:ascii="Times New Roman" w:hAnsi="Times New Roman" w:eastAsia="黑体" w:cs="Times New Roman"/>
          <w:sz w:val="28"/>
          <w:szCs w:val="28"/>
        </w:rPr>
      </w:pPr>
      <w:bookmarkStart w:id="43" w:name="_Toc19501"/>
      <w:bookmarkStart w:id="44" w:name="_Toc55466811"/>
      <w:bookmarkStart w:id="45" w:name="_Toc26656928"/>
      <w:bookmarkStart w:id="46" w:name="_Toc29381_WPSOffice_Level2"/>
      <w:bookmarkStart w:id="47" w:name="_Toc16069"/>
      <w:r>
        <w:rPr>
          <w:rFonts w:ascii="Times New Roman" w:hAnsi="Times New Roman" w:eastAsia="黑体" w:cs="Times New Roman"/>
          <w:sz w:val="28"/>
          <w:szCs w:val="28"/>
        </w:rPr>
        <w:t>供应商须知前附表</w:t>
      </w:r>
      <w:bookmarkEnd w:id="43"/>
      <w:bookmarkEnd w:id="44"/>
      <w:bookmarkEnd w:id="45"/>
      <w:bookmarkEnd w:id="46"/>
      <w:bookmarkEnd w:id="47"/>
    </w:p>
    <w:tbl>
      <w:tblPr>
        <w:tblStyle w:val="13"/>
        <w:tblW w:w="8926" w:type="dxa"/>
        <w:tblInd w:w="0" w:type="dxa"/>
        <w:tblLayout w:type="fixed"/>
        <w:tblCellMar>
          <w:top w:w="0" w:type="dxa"/>
          <w:left w:w="108" w:type="dxa"/>
          <w:bottom w:w="0" w:type="dxa"/>
          <w:right w:w="108" w:type="dxa"/>
        </w:tblCellMar>
      </w:tblPr>
      <w:tblGrid>
        <w:gridCol w:w="1000"/>
        <w:gridCol w:w="2572"/>
        <w:gridCol w:w="5354"/>
      </w:tblGrid>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535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采购人</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采 购 人：安徽省经工建设集团有限公司                     </w:t>
            </w:r>
          </w:p>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地    址：安徽省合肥市蜀山区甘泉路398号                                          </w:t>
            </w:r>
          </w:p>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联 系 人：陈工                         </w:t>
            </w:r>
          </w:p>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电    话： 18268495766                      </w:t>
            </w:r>
          </w:p>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电子邮箱： 1374131140@qq.com     </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项目名称</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2022年服务区文明创建提升改造项目劳务</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项目建设地点</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详见清单</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资金来源及比例</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Cs w:val="21"/>
              </w:rPr>
            </w:pPr>
            <w:r>
              <w:rPr>
                <w:rFonts w:hint="eastAsia" w:ascii="宋体" w:hAnsi="宋体" w:eastAsia="宋体" w:cs="宋体"/>
                <w:color w:val="000000"/>
                <w:kern w:val="0"/>
                <w:sz w:val="22"/>
                <w:szCs w:val="22"/>
                <w:lang w:bidi="ar"/>
              </w:rPr>
              <w:t>采购人自筹，</w:t>
            </w:r>
            <w:r>
              <w:rPr>
                <w:rFonts w:ascii="TimesNewRomanPSMT" w:hAnsi="TimesNewRomanPSMT" w:eastAsia="TimesNewRomanPSMT" w:cs="TimesNewRomanPSMT"/>
                <w:color w:val="000000"/>
                <w:kern w:val="0"/>
                <w:sz w:val="22"/>
                <w:szCs w:val="22"/>
                <w:lang w:bidi="ar"/>
              </w:rPr>
              <w:t>100%</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资金落实情况</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已落实</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采购范围</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详见采购公告</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7</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计划工期</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总工期 210 天，具体开工时间以对应单体项目下达开工时间为准。缺陷责任期为 24 个月，以项目的验收合格时间为起始时间。</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质量要求</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合格</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9</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 xml:space="preserve">踏勘现场 </w:t>
            </w:r>
          </w:p>
        </w:tc>
        <w:tc>
          <w:tcPr>
            <w:tcW w:w="5354" w:type="dxa"/>
            <w:tcBorders>
              <w:top w:val="single" w:color="auto" w:sz="4" w:space="0"/>
              <w:left w:val="single" w:color="auto" w:sz="4" w:space="0"/>
              <w:bottom w:val="single" w:color="auto" w:sz="4" w:space="0"/>
              <w:right w:val="single" w:color="auto" w:sz="4" w:space="0"/>
            </w:tcBorders>
            <w:vAlign w:val="center"/>
          </w:tcPr>
          <w:p>
            <w:pPr>
              <w:pStyle w:val="6"/>
              <w:topLinePunct/>
              <w:spacing w:line="400" w:lineRule="exac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 xml:space="preserve">☒组织：  时间：      集合地点： </w:t>
            </w:r>
          </w:p>
          <w:p>
            <w:pPr>
              <w:pStyle w:val="6"/>
              <w:topLinePunct/>
              <w:spacing w:line="400" w:lineRule="exact"/>
              <w:ind w:firstLine="1050" w:firstLineChars="50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联系人：    联系方式：</w:t>
            </w:r>
          </w:p>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☑不组织：请响应人自行踏勘现场，所产生的费用由响应人自理，并对其安全自行承担责任。凡参加响应，无论响应人是否踏勘现场，均视同其已踏勘。</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10</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增值税税金的计算方</w:t>
            </w:r>
          </w:p>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法</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投标报价为含税价，税率按税法规定的建筑业一般纳税人计算，并执行国家最新税率标准。</w:t>
            </w:r>
          </w:p>
          <w:p>
            <w:pPr>
              <w:widowControl/>
              <w:spacing w:line="360" w:lineRule="auto"/>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承包人应提供增值税专用发票，发包人提供的甲供材料不计入承包人的增值税应纳税额。</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报价方式</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ascii="Wingdings" w:hAnsi="Wingdings" w:eastAsia="宋体" w:cs="Wingdings"/>
                <w:color w:val="FF0000"/>
                <w:kern w:val="0"/>
                <w:sz w:val="22"/>
                <w:szCs w:val="22"/>
                <w:lang w:bidi="ar"/>
              </w:rPr>
              <w:sym w:font="Wingdings" w:char="00A8"/>
            </w:r>
            <w:r>
              <w:rPr>
                <w:rFonts w:hint="eastAsia" w:ascii="宋体" w:hAnsi="宋体" w:eastAsia="宋体" w:cs="宋体"/>
                <w:color w:val="000000"/>
                <w:kern w:val="0"/>
                <w:sz w:val="22"/>
                <w:szCs w:val="22"/>
                <w:lang w:bidi="ar"/>
              </w:rPr>
              <w:t xml:space="preserve">单价 </w:t>
            </w:r>
          </w:p>
          <w:p>
            <w:pPr>
              <w:widowControl/>
              <w:jc w:val="left"/>
              <w:rPr>
                <w:rFonts w:ascii="宋体" w:hAnsi="宋体" w:eastAsia="宋体" w:cs="宋体"/>
                <w:color w:val="000000"/>
                <w:kern w:val="0"/>
                <w:sz w:val="22"/>
                <w:szCs w:val="22"/>
                <w:lang w:bidi="ar"/>
              </w:rPr>
            </w:pPr>
            <w:r>
              <w:rPr>
                <w:rFonts w:ascii="Wingdings" w:hAnsi="Wingdings" w:eastAsia="宋体" w:cs="Wingdings"/>
                <w:color w:val="000000"/>
                <w:kern w:val="0"/>
                <w:sz w:val="22"/>
                <w:szCs w:val="22"/>
                <w:lang w:bidi="ar"/>
              </w:rPr>
              <w:sym w:font="Wingdings" w:char="00FE"/>
            </w:r>
            <w:r>
              <w:rPr>
                <w:rFonts w:hint="eastAsia" w:ascii="宋体" w:hAnsi="宋体" w:eastAsia="宋体" w:cs="宋体"/>
                <w:color w:val="000000"/>
                <w:kern w:val="0"/>
                <w:sz w:val="22"/>
                <w:szCs w:val="22"/>
                <w:lang w:bidi="ar"/>
              </w:rPr>
              <w:t xml:space="preserve">总价 </w:t>
            </w:r>
          </w:p>
          <w:p>
            <w:pPr>
              <w:widowControl/>
              <w:jc w:val="left"/>
              <w:rPr>
                <w:rFonts w:ascii="宋体" w:hAnsi="宋体" w:eastAsia="宋体" w:cs="宋体"/>
                <w:color w:val="000000"/>
                <w:kern w:val="0"/>
                <w:sz w:val="22"/>
                <w:szCs w:val="22"/>
                <w:lang w:bidi="ar"/>
              </w:rPr>
            </w:pPr>
            <w:r>
              <w:rPr>
                <w:rFonts w:hint="eastAsia" w:ascii="Times New Roman" w:hAnsi="Times New Roman" w:eastAsia="宋体" w:cs="Times New Roman"/>
                <w:kern w:val="0"/>
                <w:szCs w:val="21"/>
              </w:rPr>
              <w:t>报价人报价含临时设施费及安全文明施工费。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最高响应限价</w:t>
            </w:r>
          </w:p>
        </w:tc>
        <w:tc>
          <w:tcPr>
            <w:tcW w:w="5354"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       详见采购公告</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13</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响应有效期</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自响应人提交响应文件截止之日起计算90天</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14</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响应保证金</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eastAsia="宋体" w:cs="宋体"/>
                <w:color w:val="000000"/>
                <w:kern w:val="0"/>
                <w:sz w:val="22"/>
                <w:szCs w:val="22"/>
                <w:lang w:bidi="ar"/>
              </w:rPr>
              <w:t xml:space="preserve">是否要求响应人递交响应保证金： </w:t>
            </w:r>
          </w:p>
          <w:p>
            <w:pPr>
              <w:widowControl/>
              <w:jc w:val="left"/>
            </w:pPr>
            <w:r>
              <w:rPr>
                <w:rFonts w:ascii="Wingdings" w:hAnsi="Wingdings" w:eastAsia="宋体" w:cs="Wingdings"/>
                <w:color w:val="FF0000"/>
                <w:kern w:val="0"/>
                <w:sz w:val="22"/>
                <w:szCs w:val="22"/>
                <w:lang w:bidi="ar"/>
              </w:rPr>
              <w:t></w:t>
            </w:r>
            <w:r>
              <w:rPr>
                <w:rFonts w:hint="eastAsia" w:ascii="宋体" w:hAnsi="宋体" w:eastAsia="宋体" w:cs="宋体"/>
                <w:color w:val="000000"/>
                <w:kern w:val="0"/>
                <w:sz w:val="22"/>
                <w:szCs w:val="22"/>
                <w:lang w:bidi="ar"/>
              </w:rPr>
              <w:t xml:space="preserve">要求， </w:t>
            </w:r>
          </w:p>
          <w:p>
            <w:pPr>
              <w:widowControl/>
              <w:jc w:val="left"/>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响应保证金的金额：见采购公告 </w:t>
            </w:r>
          </w:p>
          <w:p>
            <w:pPr>
              <w:widowControl/>
              <w:jc w:val="left"/>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响应保证金的形式：银行转账或银行保函 </w:t>
            </w:r>
          </w:p>
          <w:p>
            <w:pPr>
              <w:widowControl/>
              <w:jc w:val="left"/>
            </w:pPr>
            <w:r>
              <w:rPr>
                <w:rFonts w:hint="eastAsia" w:ascii="宋体" w:hAnsi="宋体" w:eastAsia="宋体" w:cs="宋体"/>
                <w:color w:val="000000"/>
                <w:kern w:val="0"/>
                <w:sz w:val="22"/>
                <w:szCs w:val="22"/>
                <w:lang w:bidi="ar"/>
              </w:rPr>
              <w:t xml:space="preserve">响应保证金账户信息：见采购公告 </w:t>
            </w:r>
          </w:p>
          <w:p>
            <w:pPr>
              <w:widowControl/>
              <w:jc w:val="left"/>
            </w:pPr>
            <w:r>
              <w:rPr>
                <w:rFonts w:hint="eastAsia" w:ascii="宋体" w:hAnsi="宋体" w:eastAsia="宋体" w:cs="宋体"/>
                <w:color w:val="000000"/>
                <w:kern w:val="0"/>
                <w:sz w:val="22"/>
                <w:szCs w:val="22"/>
                <w:lang w:bidi="ar"/>
              </w:rPr>
              <w:t xml:space="preserve">采用银行保函时，应由响应人开立基本账户的银行开具 </w:t>
            </w:r>
          </w:p>
          <w:p>
            <w:pPr>
              <w:widowControl/>
              <w:jc w:val="left"/>
              <w:rPr>
                <w:rFonts w:ascii="Times New Roman" w:hAnsi="Times New Roman" w:eastAsia="宋体" w:cs="Times New Roman"/>
                <w:kern w:val="0"/>
                <w:szCs w:val="21"/>
              </w:rPr>
            </w:pPr>
            <w:r>
              <w:rPr>
                <w:rFonts w:ascii="Wingdings" w:hAnsi="Wingdings" w:eastAsia="宋体" w:cs="Wingdings"/>
                <w:color w:val="000000"/>
                <w:kern w:val="0"/>
                <w:sz w:val="22"/>
                <w:szCs w:val="22"/>
                <w:lang w:bidi="ar"/>
              </w:rPr>
              <w:t></w:t>
            </w:r>
            <w:r>
              <w:rPr>
                <w:rFonts w:hint="eastAsia" w:ascii="宋体" w:hAnsi="宋体" w:eastAsia="宋体" w:cs="宋体"/>
                <w:color w:val="000000"/>
                <w:kern w:val="0"/>
                <w:sz w:val="22"/>
                <w:szCs w:val="22"/>
                <w:lang w:bidi="ar"/>
              </w:rPr>
              <w:t>不要求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15</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不予退还投</w:t>
            </w:r>
          </w:p>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标保证金的情形</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（1）中标候选人放弃中标候选人资格；</w:t>
            </w:r>
          </w:p>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（2）响应人在响应过程中存在弄虚作假、与采购人或者其他响应人串通响应、以行贿谋取中标、无正当理由放弃中标以及进行恶意投诉等响应不良行为的。</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16</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响应人提出问题的</w:t>
            </w:r>
          </w:p>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截止时间</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highlight w:val="yellow"/>
              </w:rPr>
              <w:t>2022年</w:t>
            </w:r>
            <w:r>
              <w:rPr>
                <w:rFonts w:hint="eastAsia" w:ascii="Times New Roman" w:hAnsi="Times New Roman" w:eastAsia="宋体" w:cs="Times New Roman"/>
                <w:kern w:val="0"/>
                <w:szCs w:val="21"/>
                <w:highlight w:val="yellow"/>
                <w:lang w:val="en-US" w:eastAsia="zh-CN"/>
              </w:rPr>
              <w:t>6</w:t>
            </w:r>
            <w:r>
              <w:rPr>
                <w:rFonts w:hint="eastAsia" w:ascii="Times New Roman" w:hAnsi="Times New Roman" w:eastAsia="宋体" w:cs="Times New Roman"/>
                <w:kern w:val="0"/>
                <w:szCs w:val="21"/>
                <w:highlight w:val="yellow"/>
              </w:rPr>
              <w:t>月</w:t>
            </w:r>
            <w:r>
              <w:rPr>
                <w:rFonts w:hint="eastAsia" w:ascii="Times New Roman" w:hAnsi="Times New Roman" w:eastAsia="宋体" w:cs="Times New Roman"/>
                <w:kern w:val="0"/>
                <w:szCs w:val="21"/>
                <w:highlight w:val="yellow"/>
                <w:lang w:val="en-US" w:eastAsia="zh-CN"/>
              </w:rPr>
              <w:t>1</w:t>
            </w:r>
            <w:r>
              <w:rPr>
                <w:rFonts w:hint="eastAsia" w:ascii="Times New Roman" w:hAnsi="Times New Roman" w:eastAsia="宋体" w:cs="Times New Roman"/>
                <w:kern w:val="0"/>
                <w:szCs w:val="21"/>
                <w:highlight w:val="yellow"/>
              </w:rPr>
              <w:t>日10时00分。</w:t>
            </w:r>
            <w:r>
              <w:rPr>
                <w:rFonts w:hint="eastAsia" w:ascii="Times New Roman" w:hAnsi="Times New Roman" w:eastAsia="宋体" w:cs="Times New Roman"/>
                <w:kern w:val="0"/>
                <w:szCs w:val="21"/>
              </w:rPr>
              <w:t>响应人未在规定时间内提出需要询价人澄清或答疑的，视同对询价文件全部内容的知晓、理解和接受，开标后不得就询价文件所列内容提出质疑、投诉等；中标后签订合同时和履约过程中，也不得以未深入研究询价文件为由提出任何形式的增加合同价款或索赔的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17</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开标时间和地点</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见采购公告</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18</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履约保证金</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eastAsia="宋体" w:cs="宋体"/>
                <w:color w:val="000000"/>
                <w:kern w:val="0"/>
                <w:sz w:val="22"/>
                <w:szCs w:val="22"/>
                <w:lang w:bidi="ar"/>
              </w:rPr>
              <w:t xml:space="preserve">是否要求中标人提交履约保证金： </w:t>
            </w:r>
          </w:p>
          <w:p>
            <w:pPr>
              <w:widowControl/>
              <w:jc w:val="left"/>
            </w:pPr>
            <w:r>
              <w:rPr>
                <w:rFonts w:ascii="Wingdings" w:hAnsi="Wingdings" w:eastAsia="宋体" w:cs="Wingdings"/>
                <w:color w:val="FF0000"/>
                <w:kern w:val="0"/>
                <w:sz w:val="22"/>
                <w:szCs w:val="22"/>
                <w:lang w:bidi="ar"/>
              </w:rPr>
              <w:t></w:t>
            </w:r>
            <w:r>
              <w:rPr>
                <w:rFonts w:hint="eastAsia" w:ascii="宋体" w:hAnsi="宋体" w:eastAsia="宋体" w:cs="宋体"/>
                <w:color w:val="000000"/>
                <w:kern w:val="0"/>
                <w:sz w:val="22"/>
                <w:szCs w:val="22"/>
                <w:lang w:bidi="ar"/>
              </w:rPr>
              <w:t>要求，履约保证金形式：电汇（转账）或银行保函。</w:t>
            </w:r>
            <w:r>
              <w:rPr>
                <w:rFonts w:hint="eastAsia" w:ascii="宋体" w:hAnsi="宋体" w:eastAsia="宋体" w:cs="宋体"/>
                <w:b/>
                <w:bCs/>
                <w:color w:val="000000"/>
                <w:kern w:val="0"/>
                <w:sz w:val="22"/>
                <w:szCs w:val="22"/>
                <w:lang w:bidi="ar"/>
              </w:rPr>
              <w:t xml:space="preserve"> </w:t>
            </w:r>
          </w:p>
          <w:p>
            <w:pPr>
              <w:widowControl/>
              <w:jc w:val="left"/>
              <w:rPr>
                <w:rFonts w:eastAsia="宋体"/>
                <w:highlight w:val="yellow"/>
              </w:rPr>
            </w:pPr>
            <w:r>
              <w:rPr>
                <w:rFonts w:hint="eastAsia" w:ascii="宋体" w:hAnsi="宋体" w:eastAsia="宋体" w:cs="宋体"/>
                <w:color w:val="000000"/>
                <w:kern w:val="0"/>
                <w:sz w:val="22"/>
                <w:szCs w:val="22"/>
                <w:lang w:bidi="ar"/>
              </w:rPr>
              <w:t>履约保证金的金额：2%合同价</w:t>
            </w:r>
          </w:p>
          <w:p>
            <w:pPr>
              <w:widowControl/>
              <w:jc w:val="left"/>
            </w:pPr>
            <w:r>
              <w:rPr>
                <w:rFonts w:hint="eastAsia" w:ascii="宋体" w:hAnsi="宋体" w:eastAsia="宋体" w:cs="宋体"/>
                <w:color w:val="000000"/>
                <w:kern w:val="0"/>
                <w:sz w:val="22"/>
                <w:szCs w:val="22"/>
                <w:lang w:bidi="ar"/>
              </w:rPr>
              <w:t xml:space="preserve">履约保证金提交时间：收到中标通知书后 </w:t>
            </w:r>
            <w:r>
              <w:rPr>
                <w:rFonts w:hint="eastAsia" w:ascii="宋体" w:hAnsi="宋体" w:eastAsia="宋体" w:cs="宋体"/>
                <w:b/>
                <w:bCs/>
                <w:color w:val="000000"/>
                <w:kern w:val="0"/>
                <w:sz w:val="22"/>
                <w:szCs w:val="22"/>
                <w:lang w:bidi="ar"/>
              </w:rPr>
              <w:t xml:space="preserve">7 </w:t>
            </w:r>
            <w:r>
              <w:rPr>
                <w:rFonts w:hint="eastAsia" w:ascii="宋体" w:hAnsi="宋体" w:eastAsia="宋体" w:cs="宋体"/>
                <w:color w:val="000000"/>
                <w:kern w:val="0"/>
                <w:sz w:val="22"/>
                <w:szCs w:val="22"/>
                <w:lang w:bidi="ar"/>
              </w:rPr>
              <w:t xml:space="preserve">天内。 </w:t>
            </w:r>
          </w:p>
          <w:p>
            <w:pPr>
              <w:widowControl/>
              <w:jc w:val="left"/>
            </w:pPr>
            <w:r>
              <w:rPr>
                <w:rFonts w:hint="eastAsia" w:ascii="宋体" w:hAnsi="宋体" w:eastAsia="宋体" w:cs="宋体"/>
                <w:color w:val="000000"/>
                <w:kern w:val="0"/>
                <w:sz w:val="22"/>
                <w:szCs w:val="22"/>
                <w:lang w:bidi="ar"/>
              </w:rPr>
              <w:t xml:space="preserve">采用银行保函时，应由响应人开立基本账户的银行开具。 </w:t>
            </w:r>
          </w:p>
          <w:p>
            <w:pPr>
              <w:widowControl/>
              <w:jc w:val="left"/>
              <w:rPr>
                <w:rFonts w:ascii="Times New Roman" w:hAnsi="Times New Roman" w:eastAsia="宋体" w:cs="Times New Roman"/>
                <w:kern w:val="0"/>
                <w:szCs w:val="21"/>
              </w:rPr>
            </w:pPr>
            <w:r>
              <w:rPr>
                <w:rFonts w:ascii="Wingdings" w:hAnsi="Wingdings" w:eastAsia="宋体" w:cs="Wingdings"/>
                <w:color w:val="000000"/>
                <w:kern w:val="0"/>
                <w:sz w:val="22"/>
                <w:szCs w:val="22"/>
                <w:lang w:bidi="ar"/>
              </w:rPr>
              <w:t></w:t>
            </w:r>
            <w:r>
              <w:rPr>
                <w:rFonts w:hint="eastAsia" w:ascii="宋体" w:hAnsi="宋体" w:eastAsia="宋体" w:cs="宋体"/>
                <w:color w:val="000000"/>
                <w:kern w:val="0"/>
                <w:sz w:val="22"/>
                <w:szCs w:val="22"/>
                <w:lang w:bidi="ar"/>
              </w:rPr>
              <w:t>不要求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19</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cs="Times New Roman"/>
              </w:rPr>
            </w:pPr>
            <w:r>
              <w:rPr>
                <w:rFonts w:hint="eastAsia" w:ascii="Times New Roman" w:hAnsi="Times New Roman" w:cs="Times New Roman"/>
              </w:rPr>
              <w:t>响应文件副本份数</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u w:val="single"/>
              </w:rPr>
            </w:pPr>
            <w:r>
              <w:rPr>
                <w:rFonts w:hint="eastAsia" w:ascii="宋体" w:hAnsi="宋体" w:eastAsia="宋体" w:cs="宋体"/>
                <w:color w:val="000000"/>
                <w:kern w:val="0"/>
                <w:sz w:val="22"/>
                <w:szCs w:val="22"/>
                <w:lang w:bidi="ar"/>
              </w:rPr>
              <w:t>正本壹份，副本壹份（需密封，电子版文件随文件正本提交）。正副本内容不一致时，以正本为准。</w:t>
            </w:r>
          </w:p>
        </w:tc>
      </w:tr>
      <w:tr>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20</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仿宋_GB2312" w:hAnsi="仿宋_GB2312" w:eastAsia="仿宋_GB2312" w:cs="仿宋_GB2312"/>
                <w:szCs w:val="21"/>
              </w:rPr>
              <w:t>装订包封要求</w:t>
            </w:r>
          </w:p>
        </w:tc>
        <w:tc>
          <w:tcPr>
            <w:tcW w:w="5354"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rPr>
            </w:pPr>
            <w:r>
              <w:rPr>
                <w:rFonts w:hint="eastAsia" w:ascii="宋体" w:hAnsi="宋体" w:eastAsia="宋体" w:cs="宋体"/>
                <w:color w:val="000000"/>
                <w:kern w:val="0"/>
                <w:sz w:val="22"/>
                <w:szCs w:val="22"/>
                <w:lang w:bidi="ar"/>
              </w:rPr>
              <w:t>响应文件正副本密封在同一密封袋，封口处须密封并加盖企业公章及法人章或授权代表签字</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21</w:t>
            </w:r>
          </w:p>
        </w:tc>
        <w:tc>
          <w:tcPr>
            <w:tcW w:w="25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封套上应载明的信息</w:t>
            </w:r>
          </w:p>
        </w:tc>
        <w:tc>
          <w:tcPr>
            <w:tcW w:w="5354"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1、项目名称  2、询价人名称3、响应人名称。</w:t>
            </w:r>
          </w:p>
          <w:p>
            <w:pPr>
              <w:spacing w:line="480" w:lineRule="exact"/>
              <w:rPr>
                <w:rFonts w:ascii="Times New Roman" w:hAnsi="Times New Roman" w:eastAsia="宋体" w:cs="Times New Roman"/>
                <w:szCs w:val="21"/>
              </w:rPr>
            </w:pPr>
            <w:r>
              <w:rPr>
                <w:rFonts w:hint="eastAsia" w:ascii="宋体" w:hAnsi="宋体" w:eastAsia="宋体" w:cs="宋体"/>
                <w:color w:val="000000"/>
                <w:kern w:val="0"/>
                <w:sz w:val="22"/>
                <w:szCs w:val="22"/>
                <w:lang w:bidi="ar"/>
              </w:rPr>
              <w:t>在 年 月 日  时  分（响应截止时间）前不得开启</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cs="Times New Roman" w:asciiTheme="minorEastAsia" w:hAnsiTheme="minorEastAsia"/>
                <w:szCs w:val="21"/>
              </w:rPr>
            </w:pPr>
            <w:r>
              <w:rPr>
                <w:rFonts w:hint="eastAsia" w:cs="仿宋_GB2312" w:asciiTheme="minorEastAsia" w:hAnsiTheme="minorEastAsia"/>
                <w:szCs w:val="21"/>
              </w:rPr>
              <w:t>开标程序</w:t>
            </w:r>
          </w:p>
        </w:tc>
        <w:tc>
          <w:tcPr>
            <w:tcW w:w="5354"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eastAsia="宋体" w:cs="Times New Roman"/>
                <w:szCs w:val="21"/>
              </w:rPr>
            </w:pPr>
            <w:r>
              <w:rPr>
                <w:rFonts w:hint="eastAsia" w:ascii="宋体" w:hAnsi="宋体" w:eastAsia="宋体" w:cs="宋体"/>
                <w:color w:val="000000"/>
                <w:kern w:val="0"/>
                <w:sz w:val="22"/>
                <w:szCs w:val="22"/>
                <w:lang w:bidi="ar"/>
              </w:rPr>
              <w:t>密封情况检查：宣布开标后，响应人代表互检响应文件密封及递交情况，并就检查结果明确意见。开标顺序按照响应签到先后顺序，先开技术文件，技术文件评审完成后开启报价文件。</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23</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 w:val="22"/>
                <w:szCs w:val="22"/>
              </w:rPr>
            </w:pPr>
            <w:r>
              <w:rPr>
                <w:rFonts w:hint="eastAsia" w:ascii="Times New Roman" w:hAnsi="Times New Roman" w:eastAsia="宋体" w:cs="Times New Roman"/>
                <w:sz w:val="22"/>
                <w:szCs w:val="22"/>
              </w:rPr>
              <w:t>评标办法</w:t>
            </w:r>
          </w:p>
        </w:tc>
        <w:tc>
          <w:tcPr>
            <w:tcW w:w="5354"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2"/>
                <w:szCs w:val="22"/>
                <w:lang w:bidi="ar"/>
              </w:rPr>
              <w:t xml:space="preserve">最低评标价法（A类）☒   </w:t>
            </w:r>
            <w:r>
              <w:rPr>
                <w:rFonts w:hint="eastAsia" w:ascii="宋体" w:hAnsi="宋体" w:eastAsia="宋体" w:cs="宋体"/>
                <w:color w:val="000000"/>
                <w:kern w:val="0"/>
                <w:sz w:val="22"/>
                <w:szCs w:val="22"/>
                <w:highlight w:val="yellow"/>
                <w:lang w:bidi="ar"/>
              </w:rPr>
              <w:t>综合评分法（B类）  √</w:t>
            </w:r>
          </w:p>
          <w:p>
            <w:pPr>
              <w:snapToGrid w:val="0"/>
              <w:spacing w:line="480" w:lineRule="exact"/>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三阶段评审法（C1类）☒  三阶段评审法（C2类）☒</w:t>
            </w:r>
          </w:p>
          <w:p>
            <w:pPr>
              <w:snapToGrid w:val="0"/>
              <w:spacing w:line="480" w:lineRule="exac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567" w:hRule="atLeast"/>
        </w:trPr>
        <w:tc>
          <w:tcPr>
            <w:tcW w:w="892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eastAsia="宋体" w:cs="Times New Roman"/>
                <w:szCs w:val="21"/>
              </w:rPr>
            </w:pPr>
            <w:r>
              <w:rPr>
                <w:rFonts w:hint="eastAsia" w:ascii="Times New Roman" w:hAnsi="Times New Roman" w:eastAsia="宋体" w:cs="Times New Roman"/>
                <w:szCs w:val="21"/>
              </w:rPr>
              <w:t>24</w:t>
            </w:r>
            <w:r>
              <w:rPr>
                <w:rFonts w:ascii="Times New Roman" w:hAnsi="Times New Roman" w:eastAsia="宋体" w:cs="Times New Roman"/>
                <w:szCs w:val="21"/>
              </w:rPr>
              <w:t>需要补充的其他内容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24.1</w:t>
            </w:r>
          </w:p>
        </w:tc>
        <w:tc>
          <w:tcPr>
            <w:tcW w:w="7926"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440" w:firstLineChars="200"/>
              <w:rPr>
                <w:rFonts w:cs="仿宋_GB2312" w:asciiTheme="minorEastAsia" w:hAnsiTheme="minorEastAsia"/>
                <w:sz w:val="22"/>
                <w:szCs w:val="22"/>
              </w:rPr>
            </w:pPr>
            <w:r>
              <w:rPr>
                <w:rFonts w:hint="eastAsia" w:cs="仿宋_GB2312" w:asciiTheme="minorEastAsia" w:hAnsiTheme="minorEastAsia"/>
                <w:sz w:val="22"/>
                <w:szCs w:val="22"/>
              </w:rPr>
              <w:t>为确保项目文明工地施工，临时设施费、和安全文明施工费按规定列入劳务清单报价，按询价人相关规定计提和使用。</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24.2</w:t>
            </w:r>
          </w:p>
        </w:tc>
        <w:tc>
          <w:tcPr>
            <w:tcW w:w="7926"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440" w:firstLineChars="200"/>
              <w:rPr>
                <w:rFonts w:cs="Times New Roman" w:asciiTheme="minorEastAsia" w:hAnsiTheme="minorEastAsia"/>
                <w:szCs w:val="21"/>
              </w:rPr>
            </w:pPr>
            <w:r>
              <w:rPr>
                <w:rFonts w:hint="eastAsia" w:cs="仿宋_GB2312" w:asciiTheme="minorEastAsia" w:hAnsiTheme="minorEastAsia"/>
                <w:sz w:val="22"/>
                <w:szCs w:val="22"/>
              </w:rPr>
              <w:t>甲供材：甲供材数量以工程量清单数量为准，实际损耗率超出定额损耗率的有响应单位自行承担，应包含在响应报价中。（详见甲供材一览表）</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24.3</w:t>
            </w:r>
          </w:p>
        </w:tc>
        <w:tc>
          <w:tcPr>
            <w:tcW w:w="7926"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440" w:firstLineChars="200"/>
              <w:rPr>
                <w:rFonts w:cs="仿宋_GB2312" w:asciiTheme="minorEastAsia" w:hAnsiTheme="minorEastAsia"/>
                <w:sz w:val="22"/>
                <w:szCs w:val="22"/>
              </w:rPr>
            </w:pPr>
            <w:r>
              <w:rPr>
                <w:rFonts w:hint="eastAsia" w:cs="仿宋_GB2312" w:asciiTheme="minorEastAsia" w:hAnsiTheme="minorEastAsia"/>
                <w:sz w:val="22"/>
                <w:szCs w:val="22"/>
              </w:rPr>
              <w:t>工程量以实际发生量为准，过程计量需配备专职计量人员</w:t>
            </w:r>
          </w:p>
        </w:tc>
      </w:tr>
      <w:tr>
        <w:tblPrEx>
          <w:tblCellMar>
            <w:top w:w="0" w:type="dxa"/>
            <w:left w:w="108" w:type="dxa"/>
            <w:bottom w:w="0" w:type="dxa"/>
            <w:right w:w="108" w:type="dxa"/>
          </w:tblCellMar>
        </w:tblPrEx>
        <w:trPr>
          <w:trHeight w:val="599"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24.4</w:t>
            </w:r>
          </w:p>
        </w:tc>
        <w:tc>
          <w:tcPr>
            <w:tcW w:w="7926" w:type="dxa"/>
            <w:gridSpan w:val="2"/>
            <w:tcBorders>
              <w:top w:val="single" w:color="auto" w:sz="4" w:space="0"/>
              <w:left w:val="single" w:color="auto" w:sz="4" w:space="0"/>
              <w:bottom w:val="single" w:color="auto" w:sz="4" w:space="0"/>
              <w:right w:val="single" w:color="auto" w:sz="4" w:space="0"/>
            </w:tcBorders>
            <w:vAlign w:val="center"/>
          </w:tcPr>
          <w:p>
            <w:pPr>
              <w:pStyle w:val="12"/>
              <w:spacing w:line="360" w:lineRule="auto"/>
              <w:ind w:left="0" w:leftChars="0" w:firstLine="440"/>
              <w:rPr>
                <w:rFonts w:cs="仿宋_GB2312" w:asciiTheme="minorEastAsia" w:hAnsiTheme="minorEastAsia"/>
                <w:sz w:val="22"/>
              </w:rPr>
            </w:pPr>
            <w:r>
              <w:rPr>
                <w:rFonts w:hint="eastAsia" w:cs="仿宋_GB2312" w:asciiTheme="minorEastAsia" w:hAnsiTheme="minorEastAsia"/>
                <w:sz w:val="22"/>
              </w:rPr>
              <w:t>因图纸变更新增子目无相应子目的，依据安徽省2018年版计价依据组价，按总价降幅比例下浮后结算。</w:t>
            </w:r>
          </w:p>
        </w:tc>
      </w:tr>
      <w:tr>
        <w:tblPrEx>
          <w:tblCellMar>
            <w:top w:w="0" w:type="dxa"/>
            <w:left w:w="108" w:type="dxa"/>
            <w:bottom w:w="0" w:type="dxa"/>
            <w:right w:w="108" w:type="dxa"/>
          </w:tblCellMar>
        </w:tblPrEx>
        <w:trPr>
          <w:trHeight w:val="411"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24.5</w:t>
            </w:r>
          </w:p>
        </w:tc>
        <w:tc>
          <w:tcPr>
            <w:tcW w:w="7926" w:type="dxa"/>
            <w:gridSpan w:val="2"/>
            <w:tcBorders>
              <w:top w:val="single" w:color="auto" w:sz="4" w:space="0"/>
              <w:left w:val="single" w:color="auto" w:sz="4" w:space="0"/>
              <w:bottom w:val="single" w:color="auto" w:sz="4" w:space="0"/>
              <w:right w:val="single" w:color="auto" w:sz="4" w:space="0"/>
            </w:tcBorders>
            <w:vAlign w:val="center"/>
          </w:tcPr>
          <w:p>
            <w:pPr>
              <w:pStyle w:val="12"/>
              <w:ind w:left="0" w:leftChars="0" w:firstLine="440"/>
              <w:rPr>
                <w:rFonts w:cs="仿宋_GB2312" w:asciiTheme="minorEastAsia" w:hAnsiTheme="minorEastAsia"/>
                <w:sz w:val="22"/>
              </w:rPr>
            </w:pPr>
            <w:r>
              <w:rPr>
                <w:rFonts w:hint="eastAsia" w:cs="仿宋_GB2312" w:asciiTheme="minorEastAsia" w:hAnsiTheme="minorEastAsia"/>
                <w:sz w:val="22"/>
              </w:rPr>
              <w:t>中标单位需提供满足设计、清单及采购人要求的样品</w:t>
            </w:r>
          </w:p>
        </w:tc>
      </w:tr>
      <w:tr>
        <w:tblPrEx>
          <w:tblCellMar>
            <w:top w:w="0" w:type="dxa"/>
            <w:left w:w="108" w:type="dxa"/>
            <w:bottom w:w="0" w:type="dxa"/>
            <w:right w:w="108" w:type="dxa"/>
          </w:tblCellMar>
        </w:tblPrEx>
        <w:trPr>
          <w:trHeight w:val="1892"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24.6</w:t>
            </w:r>
          </w:p>
        </w:tc>
        <w:tc>
          <w:tcPr>
            <w:tcW w:w="7926"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440" w:firstLineChars="200"/>
              <w:jc w:val="left"/>
              <w:rPr>
                <w:rFonts w:cs="仿宋_GB2312" w:asciiTheme="minorEastAsia" w:hAnsiTheme="minorEastAsia"/>
                <w:sz w:val="22"/>
                <w:szCs w:val="22"/>
              </w:rPr>
            </w:pPr>
            <w:r>
              <w:rPr>
                <w:rFonts w:hint="eastAsia" w:cs="仿宋_GB2312" w:asciiTheme="minorEastAsia" w:hAnsiTheme="minorEastAsia"/>
                <w:sz w:val="22"/>
                <w:szCs w:val="22"/>
              </w:rPr>
              <w:t>劳务单位需配备的管理人员须到岗持证履职，且不得随意更换，中标后管理人员若不能满足公司要求或不服从管理须无条件更换；劳务单位进场施工班组须为熟练专业的劳务工人，若为当地临时招聘组建的班组，经工集团直接取消劳务单位中标资格并做清库处理；</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4</w:t>
            </w:r>
            <w:r>
              <w:rPr>
                <w:rFonts w:hint="eastAsia" w:ascii="Times New Roman" w:hAnsi="Times New Roman" w:eastAsia="宋体" w:cs="Times New Roman"/>
                <w:szCs w:val="21"/>
              </w:rPr>
              <w:t>.</w:t>
            </w:r>
            <w:r>
              <w:rPr>
                <w:rFonts w:ascii="Times New Roman" w:hAnsi="Times New Roman" w:eastAsia="宋体" w:cs="Times New Roman"/>
                <w:szCs w:val="21"/>
              </w:rPr>
              <w:t>7</w:t>
            </w:r>
          </w:p>
        </w:tc>
        <w:tc>
          <w:tcPr>
            <w:tcW w:w="7926"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440" w:firstLineChars="200"/>
              <w:jc w:val="left"/>
              <w:rPr>
                <w:rFonts w:cs="仿宋_GB2312" w:asciiTheme="minorEastAsia" w:hAnsiTheme="minorEastAsia"/>
                <w:sz w:val="22"/>
                <w:szCs w:val="22"/>
              </w:rPr>
            </w:pPr>
            <w:r>
              <w:rPr>
                <w:rFonts w:hint="eastAsia" w:cs="仿宋_GB2312" w:asciiTheme="minorEastAsia" w:hAnsiTheme="minorEastAsia"/>
                <w:sz w:val="22"/>
                <w:szCs w:val="22"/>
              </w:rPr>
              <w:t>响应人应满足项目人员配置要求，非库内劳务队伍若能满足采购方工期、质量、安全、工艺等方面要求且获得各方好评，可直接入经工集团劳务库。</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24.8</w:t>
            </w:r>
          </w:p>
        </w:tc>
        <w:tc>
          <w:tcPr>
            <w:tcW w:w="7926"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cs="仿宋_GB2312" w:asciiTheme="minorEastAsia" w:hAnsiTheme="minorEastAsia"/>
                <w:sz w:val="22"/>
                <w:szCs w:val="22"/>
              </w:rPr>
            </w:pPr>
            <w:r>
              <w:rPr>
                <w:rFonts w:hint="eastAsia" w:cs="仿宋_GB2312" w:asciiTheme="minorEastAsia" w:hAnsiTheme="minorEastAsia"/>
                <w:sz w:val="22"/>
                <w:szCs w:val="22"/>
              </w:rPr>
              <w:t>采购人提供的固化工程量清单为模拟清单，在投标阶段投标人应根据固化工程量清单自行报价，不得对固化工程量清单有任何修改，投标人的投标报价清单、施工图阶段的清单及竣工图阶段的清单不得缩小采购人采购范围和工程内容，清单数量、规格、技术标准等不得低于初步设计及模拟清单。施工过程中若发生变更，需经采购人审核确认后方可实施。变更单价或新增单价确定原则：①已标价工程量清单中有适用于变更工作的子目的，采用该子目的单价；②已标价工程量清单中无适用于变更工作的子目，但有类似子目的，可在合理范围内参照类似子目的单价，然后由劳务施工单位报采购人确认；③已标价工程量清单中无适用或类似子目的单价，可按照投标当期信息价和最新《安徽省房屋修缮工程计价定额》组价并结合投标报价整体比例下浮，然后由劳务施工单位报采购人确认。</w:t>
            </w:r>
          </w:p>
        </w:tc>
      </w:tr>
    </w:tbl>
    <w:p>
      <w:r>
        <w:rPr>
          <w:rFonts w:hint="eastAsia" w:ascii="Times New Roman" w:hAnsi="Times New Roman" w:cs="Times New Roman"/>
          <w:szCs w:val="21"/>
        </w:rPr>
        <w:t>注：供应商须知正文</w:t>
      </w:r>
      <w:r>
        <w:rPr>
          <w:rFonts w:ascii="Times New Roman" w:hAnsi="Times New Roman" w:cs="Times New Roman"/>
          <w:szCs w:val="21"/>
        </w:rPr>
        <w:t>与前附表</w:t>
      </w:r>
      <w:r>
        <w:rPr>
          <w:rFonts w:hint="eastAsia" w:ascii="Times New Roman" w:hAnsi="Times New Roman" w:cs="Times New Roman"/>
          <w:szCs w:val="21"/>
        </w:rPr>
        <w:t>内容</w:t>
      </w:r>
      <w:r>
        <w:rPr>
          <w:rFonts w:ascii="Times New Roman" w:hAnsi="Times New Roman" w:cs="Times New Roman"/>
          <w:szCs w:val="21"/>
        </w:rPr>
        <w:t>不一致</w:t>
      </w:r>
      <w:r>
        <w:rPr>
          <w:rFonts w:hint="eastAsia" w:ascii="Times New Roman" w:hAnsi="Times New Roman" w:cs="Times New Roman"/>
          <w:szCs w:val="21"/>
        </w:rPr>
        <w:t>时</w:t>
      </w:r>
      <w:r>
        <w:rPr>
          <w:rFonts w:ascii="Times New Roman" w:hAnsi="Times New Roman" w:cs="Times New Roman"/>
          <w:szCs w:val="21"/>
        </w:rPr>
        <w:t>，以供应商</w:t>
      </w:r>
      <w:r>
        <w:rPr>
          <w:rFonts w:hint="eastAsia" w:ascii="Times New Roman" w:hAnsi="Times New Roman" w:cs="Times New Roman"/>
          <w:szCs w:val="21"/>
        </w:rPr>
        <w:t>须知</w:t>
      </w:r>
      <w:r>
        <w:rPr>
          <w:rFonts w:ascii="Times New Roman" w:hAnsi="Times New Roman" w:cs="Times New Roman"/>
          <w:szCs w:val="21"/>
        </w:rPr>
        <w:t>前附表</w:t>
      </w:r>
      <w:r>
        <w:rPr>
          <w:rFonts w:hint="eastAsia" w:ascii="Times New Roman" w:hAnsi="Times New Roman" w:cs="Times New Roman"/>
          <w:szCs w:val="21"/>
        </w:rPr>
        <w:t>的</w:t>
      </w:r>
      <w:r>
        <w:rPr>
          <w:rFonts w:ascii="Times New Roman" w:hAnsi="Times New Roman" w:cs="Times New Roman"/>
          <w:szCs w:val="21"/>
        </w:rPr>
        <w:t>内容为准</w:t>
      </w:r>
      <w:r>
        <w:rPr>
          <w:rFonts w:hint="eastAsia" w:ascii="Times New Roman" w:hAnsi="Times New Roman" w:cs="Times New Roman"/>
          <w:szCs w:val="21"/>
        </w:rPr>
        <w:t>。</w:t>
      </w:r>
    </w:p>
    <w:p>
      <w:pPr>
        <w:rPr>
          <w:rFonts w:ascii="Times New Roman" w:hAnsi="Times New Roman" w:eastAsia="黑体" w:cs="Times New Roman"/>
          <w:bCs/>
          <w:sz w:val="24"/>
          <w:szCs w:val="32"/>
        </w:rPr>
      </w:pPr>
      <w:bookmarkStart w:id="48" w:name="_Toc14201207"/>
      <w:bookmarkStart w:id="49" w:name="_Toc26656938"/>
      <w:bookmarkStart w:id="50" w:name="_Toc9067720"/>
      <w:r>
        <w:rPr>
          <w:rFonts w:ascii="Times New Roman" w:hAnsi="Times New Roman" w:eastAsia="黑体" w:cs="Times New Roman"/>
          <w:bCs/>
          <w:sz w:val="24"/>
          <w:szCs w:val="32"/>
        </w:rPr>
        <w:br w:type="page"/>
      </w:r>
      <w:r>
        <w:rPr>
          <w:rFonts w:ascii="Times New Roman" w:hAnsi="Times New Roman" w:eastAsia="黑体" w:cs="Times New Roman"/>
          <w:bCs/>
          <w:sz w:val="24"/>
          <w:szCs w:val="32"/>
        </w:rPr>
        <w:t>1. 总则</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 xml:space="preserve">供应商应具备承担本合同包施工的资质条件、能力和信誉：见第一章 </w:t>
      </w:r>
      <w:r>
        <w:rPr>
          <w:rFonts w:hint="eastAsia" w:ascii="Times New Roman" w:hAnsi="Times New Roman" w:cs="Times New Roman"/>
          <w:szCs w:val="21"/>
        </w:rPr>
        <w:t>采购公告第3.1款要求</w:t>
      </w:r>
      <w:r>
        <w:rPr>
          <w:rFonts w:ascii="Times New Roman" w:hAnsi="Times New Roman" w:cs="Times New Roman"/>
          <w:szCs w:val="21"/>
        </w:rPr>
        <w:t>。</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pPr>
        <w:spacing w:line="440" w:lineRule="exact"/>
        <w:ind w:firstLine="420"/>
        <w:rPr>
          <w:rFonts w:ascii="Times New Roman" w:hAnsi="Times New Roman" w:cs="Times New Roman"/>
        </w:rPr>
      </w:pPr>
      <w:r>
        <w:rPr>
          <w:rFonts w:hint="eastAsia" w:ascii="Times New Roman" w:hAnsi="Times New Roman" w:cs="Times New Roman"/>
        </w:rPr>
        <w:t xml:space="preserve">不允许分包。        </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pPr>
        <w:spacing w:line="440" w:lineRule="exact"/>
        <w:ind w:firstLine="420"/>
        <w:rPr>
          <w:rFonts w:ascii="Times New Roman" w:hAnsi="Times New Roman" w:cs="Times New Roman"/>
        </w:rPr>
      </w:pPr>
      <w:r>
        <w:rPr>
          <w:rFonts w:ascii="Times New Roman" w:hAnsi="Times New Roman" w:cs="Times New Roman"/>
        </w:rPr>
        <w:t>本询比文件包括：</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（2）供应商须知；</w:t>
      </w:r>
    </w:p>
    <w:p>
      <w:pPr>
        <w:spacing w:line="440" w:lineRule="exact"/>
        <w:ind w:firstLine="420"/>
        <w:rPr>
          <w:rFonts w:ascii="Times New Roman" w:hAnsi="Times New Roman" w:cs="Times New Roman"/>
        </w:rPr>
      </w:pPr>
      <w:r>
        <w:rPr>
          <w:rFonts w:ascii="Times New Roman" w:hAnsi="Times New Roman" w:cs="Times New Roman"/>
        </w:rPr>
        <w:t>（3）评审办法；</w:t>
      </w:r>
    </w:p>
    <w:p>
      <w:pPr>
        <w:spacing w:line="440" w:lineRule="exact"/>
        <w:ind w:firstLine="420"/>
        <w:rPr>
          <w:rFonts w:ascii="Times New Roman" w:hAnsi="Times New Roman" w:cs="Times New Roman"/>
        </w:rPr>
      </w:pPr>
      <w:r>
        <w:rPr>
          <w:rFonts w:ascii="Times New Roman" w:hAnsi="Times New Roman" w:cs="Times New Roman"/>
        </w:rPr>
        <w:t>（4）合同条款及格式；</w:t>
      </w:r>
    </w:p>
    <w:p>
      <w:pPr>
        <w:spacing w:line="440" w:lineRule="exact"/>
        <w:ind w:firstLine="420"/>
        <w:rPr>
          <w:rFonts w:ascii="Times New Roman" w:hAnsi="Times New Roman" w:cs="Times New Roman"/>
        </w:rPr>
      </w:pPr>
      <w:r>
        <w:rPr>
          <w:rFonts w:ascii="Times New Roman" w:hAnsi="Times New Roman" w:cs="Times New Roman"/>
        </w:rPr>
        <w:t>（5）采购需求及清单；</w:t>
      </w:r>
    </w:p>
    <w:p>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通过安徽交控采购采购平台</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w:t>
      </w:r>
      <w:r>
        <w:rPr>
          <w:rFonts w:hint="eastAsia" w:ascii="Times New Roman" w:hAnsi="Times New Roman" w:cs="Times New Roman"/>
        </w:rPr>
        <w:t>16</w:t>
      </w:r>
      <w:r>
        <w:rPr>
          <w:rFonts w:ascii="Times New Roman" w:hAnsi="Times New Roman" w:cs="Times New Roman"/>
        </w:rPr>
        <w:t>项规定的时间后提出的任何澄清</w:t>
      </w:r>
      <w:r>
        <w:rPr>
          <w:rFonts w:hint="eastAsia" w:ascii="Times New Roman" w:hAnsi="Times New Roman" w:cs="Times New Roman"/>
        </w:rPr>
        <w:t>或修改</w:t>
      </w:r>
      <w:r>
        <w:rPr>
          <w:rFonts w:ascii="Times New Roman" w:hAnsi="Times New Roman" w:cs="Times New Roman"/>
        </w:rPr>
        <w:t>要求。</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pPr>
        <w:spacing w:line="440" w:lineRule="exact"/>
        <w:ind w:firstLine="420"/>
        <w:rPr>
          <w:rFonts w:ascii="Times New Roman" w:hAnsi="Times New Roman" w:cs="Times New Roman"/>
        </w:rPr>
      </w:pPr>
      <w:r>
        <w:rPr>
          <w:rFonts w:ascii="Times New Roman" w:hAnsi="Times New Roman" w:cs="Times New Roman"/>
        </w:rPr>
        <w:t>响应文件应包括下列内容：</w:t>
      </w:r>
    </w:p>
    <w:p>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工程量</w:t>
      </w:r>
      <w:r>
        <w:rPr>
          <w:rFonts w:ascii="Times New Roman" w:hAnsi="Times New Roman" w:cs="Times New Roman"/>
        </w:rPr>
        <w:t>清单</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拟委任的主要人员</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（7）施工组织设计；</w:t>
      </w:r>
    </w:p>
    <w:p>
      <w:pPr>
        <w:spacing w:line="440" w:lineRule="exact"/>
        <w:ind w:firstLine="420"/>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其他材料</w:t>
      </w:r>
      <w:r>
        <w:rPr>
          <w:rFonts w:hint="eastAsia"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hint="eastAsia" w:ascii="Times New Roman" w:hAnsi="Times New Roman" w:cs="Times New Roman"/>
        </w:rPr>
        <w:t>第2.3款</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（单价）</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rPr>
        <w:t>见供应商须知前附表</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第7条的要求</w:t>
      </w:r>
      <w:r>
        <w:rPr>
          <w:rFonts w:ascii="Times New Roman" w:hAnsi="Times New Roman" w:cs="Times New Roman"/>
        </w:rPr>
        <w:t>递交响应保证金，并作为其响应文件的组成部分。</w:t>
      </w:r>
    </w:p>
    <w:p>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pPr>
        <w:spacing w:line="440" w:lineRule="exact"/>
        <w:ind w:firstLine="420"/>
        <w:rPr>
          <w:rFonts w:ascii="Times New Roman" w:hAnsi="Times New Roman" w:cs="Times New Roman"/>
        </w:rPr>
      </w:pPr>
      <w:r>
        <w:rPr>
          <w:rFonts w:ascii="Times New Roman" w:hAnsi="Times New Roman" w:cs="Times New Roman"/>
        </w:rPr>
        <w:t>3.4.2 供应商不按本章第</w:t>
      </w:r>
      <w:r>
        <w:rPr>
          <w:rFonts w:hint="eastAsia" w:ascii="Times New Roman" w:hAnsi="Times New Roman" w:cs="Times New Roman"/>
        </w:rPr>
        <w:t>14</w:t>
      </w:r>
      <w:r>
        <w:rPr>
          <w:rFonts w:ascii="Times New Roman" w:hAnsi="Times New Roman" w:cs="Times New Roman"/>
        </w:rPr>
        <w:t>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3.4.3 采购人在与成交人签订合同后5日内办理退还响应保证金手续。</w:t>
      </w:r>
    </w:p>
    <w:p>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u w:val="single"/>
        </w:rPr>
        <w:t>一__</w:t>
      </w:r>
      <w:r>
        <w:rPr>
          <w:rFonts w:ascii="Times New Roman" w:hAnsi="Times New Roman" w:cs="Times New Roman"/>
        </w:rPr>
        <w:t>份数。正本和副本的封面右上角上应清楚地标记“正本”或“副本”的字样。当副本和正本不一致时，以正本文件为准。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响应文件</w:t>
      </w:r>
      <w:r>
        <w:rPr>
          <w:rFonts w:ascii="Times New Roman" w:hAnsi="Times New Roman" w:cs="Times New Roman"/>
        </w:rPr>
        <w:t>的正本与副本应分别装订。</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合同包响应文件</w:t>
      </w:r>
    </w:p>
    <w:p>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color w:val="000000"/>
        </w:rPr>
        <w:t>未按本章第</w:t>
      </w:r>
      <w:r>
        <w:rPr>
          <w:rFonts w:hint="eastAsia" w:ascii="Times New Roman" w:hAnsi="Times New Roman"/>
          <w:color w:val="000000"/>
        </w:rPr>
        <w:t>20</w:t>
      </w:r>
      <w:r>
        <w:rPr>
          <w:rFonts w:ascii="Times New Roman" w:hAnsi="Times New Roman"/>
          <w:color w:val="000000"/>
        </w:rPr>
        <w:t>项</w:t>
      </w:r>
      <w:r>
        <w:rPr>
          <w:rFonts w:ascii="Times New Roman" w:hAnsi="Times New Roman" w:cs="Times New Roman"/>
          <w:color w:val="000000"/>
        </w:rPr>
        <w:t>要求</w:t>
      </w:r>
      <w:r>
        <w:rPr>
          <w:rFonts w:ascii="Times New Roman" w:hAnsi="Times New Roman"/>
          <w:color w:val="000000"/>
        </w:rPr>
        <w:t>密封的</w:t>
      </w:r>
      <w:r>
        <w:rPr>
          <w:rFonts w:hint="eastAsia" w:ascii="Times New Roman" w:hAnsi="Times New Roman"/>
          <w:color w:val="000000"/>
        </w:rPr>
        <w:t>响应文件</w:t>
      </w:r>
      <w:r>
        <w:rPr>
          <w:rFonts w:ascii="Times New Roman" w:hAnsi="Times New Roman"/>
          <w:color w:val="000000"/>
        </w:rPr>
        <w:t>，</w:t>
      </w:r>
      <w:r>
        <w:rPr>
          <w:rFonts w:hint="eastAsia" w:ascii="Times New Roman" w:hAnsi="Times New Roman"/>
          <w:color w:val="000000"/>
        </w:rPr>
        <w:t>采购人</w:t>
      </w:r>
      <w:r>
        <w:rPr>
          <w:rFonts w:ascii="Times New Roman" w:hAnsi="Times New Roman"/>
          <w:color w:val="000000"/>
        </w:rPr>
        <w:t>将予以拒收。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规定递交响应文件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pPr>
        <w:spacing w:line="440" w:lineRule="exact"/>
        <w:ind w:firstLine="420"/>
        <w:rPr>
          <w:rFonts w:ascii="Times New Roman" w:hAnsi="Times New Roman" w:cs="Times New Roman"/>
        </w:rPr>
      </w:pPr>
      <w:r>
        <w:rPr>
          <w:rFonts w:ascii="Times New Roman" w:hAnsi="Times New Roman" w:cs="Times New Roman"/>
        </w:rPr>
        <w:t>采购人在本章规定的响应文件递交截止时间（启封时间），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第规定进行启封</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对响应文件进行启封，公布供应商名称、合同包名称、报价、质量目标、工期、响应保证金递交情况及其他内容；</w:t>
      </w:r>
    </w:p>
    <w:p>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olor w:val="000000"/>
        </w:rPr>
        <w:t>供应商</w:t>
      </w:r>
      <w:r>
        <w:rPr>
          <w:rFonts w:ascii="Times New Roman" w:hAnsi="Times New Roman"/>
          <w:color w:val="000000"/>
        </w:rPr>
        <w:t>代表、</w:t>
      </w:r>
      <w:r>
        <w:rPr>
          <w:rFonts w:hint="eastAsia" w:ascii="Times New Roman" w:hAnsi="Times New Roman"/>
          <w:color w:val="000000"/>
        </w:rPr>
        <w:t>采购</w:t>
      </w:r>
      <w:r>
        <w:rPr>
          <w:rFonts w:ascii="Times New Roman" w:hAnsi="Times New Roman"/>
          <w:color w:val="000000"/>
        </w:rPr>
        <w:t>人代表、记录人等有关人员在</w:t>
      </w:r>
      <w:r>
        <w:rPr>
          <w:rFonts w:hint="eastAsia" w:ascii="Times New Roman" w:hAnsi="Times New Roman"/>
          <w:color w:val="000000"/>
        </w:rPr>
        <w:t>启封</w:t>
      </w:r>
      <w:r>
        <w:rPr>
          <w:rFonts w:ascii="Times New Roman" w:hAnsi="Times New Roman"/>
          <w:color w:val="000000"/>
        </w:rPr>
        <w:t>记录上</w:t>
      </w:r>
      <w:r>
        <w:rPr>
          <w:rFonts w:hint="eastAsia" w:ascii="Times New Roman" w:hAnsi="Times New Roman"/>
          <w:color w:val="000000"/>
        </w:rPr>
        <w:t>签名</w:t>
      </w:r>
      <w:r>
        <w:rPr>
          <w:rFonts w:ascii="Times New Roman" w:hAnsi="Times New Roman"/>
          <w:color w:val="000000"/>
        </w:rPr>
        <w:t>确认；</w:t>
      </w:r>
    </w:p>
    <w:p>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pPr>
        <w:spacing w:line="440" w:lineRule="exact"/>
        <w:ind w:firstLine="420"/>
        <w:rPr>
          <w:rFonts w:ascii="Times New Roman" w:hAnsi="Times New Roman" w:cs="Times New Roman"/>
          <w:bCs/>
        </w:rPr>
      </w:pPr>
      <w:r>
        <w:rPr>
          <w:rFonts w:ascii="Times New Roman" w:hAnsi="Times New Roman" w:cs="Times New Roman"/>
          <w:bCs/>
        </w:rPr>
        <w:t>5.2.2若采用合理低价法或综合评分法，在响应文件启封中，采购人将按第三章“评审办法”规定的原则计算并宣布评审基准价。若采购人发现响应文件出现以下任一情况，其报价将不再参加评审基准价的计算：</w:t>
      </w:r>
    </w:p>
    <w:p>
      <w:pPr>
        <w:spacing w:line="440" w:lineRule="exact"/>
        <w:ind w:firstLine="420"/>
        <w:rPr>
          <w:rFonts w:ascii="Times New Roman" w:hAnsi="Times New Roman" w:cs="Times New Roman"/>
          <w:bCs/>
        </w:rPr>
      </w:pPr>
      <w:r>
        <w:rPr>
          <w:rFonts w:ascii="Times New Roman" w:hAnsi="Times New Roman" w:cs="Times New Roman"/>
          <w:bCs/>
        </w:rPr>
        <w:t>（1）报价超出采购人公布的最高限价</w:t>
      </w:r>
      <w:r>
        <w:rPr>
          <w:rFonts w:hint="eastAsia" w:ascii="Times New Roman" w:hAnsi="Times New Roman" w:cs="Times New Roman"/>
          <w:bCs/>
        </w:rPr>
        <w:t>；</w:t>
      </w:r>
    </w:p>
    <w:p>
      <w:pPr>
        <w:spacing w:line="440" w:lineRule="exact"/>
        <w:ind w:firstLine="420"/>
        <w:rPr>
          <w:rFonts w:ascii="Times New Roman" w:hAnsi="Times New Roman" w:cs="Times New Roman"/>
          <w:bCs/>
        </w:rPr>
      </w:pPr>
      <w:r>
        <w:rPr>
          <w:rFonts w:hint="eastAsia" w:ascii="Times New Roman" w:hAnsi="Times New Roman" w:cs="Times New Roman"/>
          <w:bCs/>
        </w:rPr>
        <w:t>（2）</w:t>
      </w:r>
      <w:r>
        <w:rPr>
          <w:rFonts w:ascii="Times New Roman" w:hAnsi="Times New Roman" w:cs="Times New Roman"/>
          <w:bCs/>
        </w:rPr>
        <w:t>未在报价函上填写总报价</w:t>
      </w:r>
      <w:r>
        <w:rPr>
          <w:rFonts w:hint="eastAsia" w:ascii="Times New Roman" w:hAnsi="Times New Roman" w:cs="Times New Roman"/>
          <w:bCs/>
        </w:rPr>
        <w:t>；</w:t>
      </w:r>
    </w:p>
    <w:p>
      <w:pPr>
        <w:spacing w:line="440" w:lineRule="exact"/>
        <w:ind w:firstLine="420"/>
        <w:rPr>
          <w:rFonts w:ascii="Times New Roman" w:hAnsi="Times New Roman" w:cs="Times New Roman"/>
          <w:bCs/>
        </w:rPr>
      </w:pPr>
      <w:r>
        <w:rPr>
          <w:rFonts w:hint="eastAsia" w:ascii="Times New Roman" w:hAnsi="Times New Roman" w:cs="Times New Roman"/>
          <w:bCs/>
        </w:rPr>
        <w:t>（3）报价函中的报价与已标价的工程量清单总报价不一致（四舍五入除外）</w:t>
      </w:r>
      <w:r>
        <w:rPr>
          <w:rFonts w:ascii="Times New Roman" w:hAnsi="Times New Roman" w:cs="Times New Roman"/>
          <w:bCs/>
        </w:rPr>
        <w:t>；</w:t>
      </w:r>
    </w:p>
    <w:p>
      <w:pPr>
        <w:spacing w:line="440" w:lineRule="exact"/>
        <w:ind w:firstLine="420"/>
        <w:rPr>
          <w:rFonts w:ascii="Times New Roman" w:hAnsi="Times New Roman"/>
        </w:rPr>
      </w:pPr>
      <w:r>
        <w:rPr>
          <w:rFonts w:hint="eastAsia" w:ascii="Times New Roman" w:hAnsi="Times New Roman" w:cs="Times New Roman"/>
          <w:bCs/>
        </w:rPr>
        <w:t>（4）未按要求提交响应保证金（如有）；</w:t>
      </w:r>
    </w:p>
    <w:p>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bCs/>
        </w:rPr>
        <w:t>。</w:t>
      </w:r>
    </w:p>
    <w:p>
      <w:pPr>
        <w:spacing w:line="440" w:lineRule="exact"/>
        <w:ind w:firstLine="420"/>
        <w:rPr>
          <w:rFonts w:ascii="Times New Roman" w:hAnsi="Times New Roman" w:cs="Times New Roman"/>
        </w:rPr>
      </w:pPr>
      <w:r>
        <w:rPr>
          <w:rFonts w:ascii="Times New Roman" w:hAnsi="Times New Roman" w:cs="Times New Roman"/>
          <w:bCs/>
        </w:rPr>
        <w:t>如果供应商认为某一合同包的评审基准价计算有误，有权在启封过程中提出，经采购人在启封过程中核实确认之后，可重新宣布评审基准价。启封标过程中公布的评审基准价除计算有误，经</w:t>
      </w:r>
      <w:r>
        <w:rPr>
          <w:rFonts w:hint="eastAsia" w:ascii="Times New Roman" w:hAnsi="Times New Roman" w:cs="Times New Roman"/>
          <w:bCs/>
        </w:rPr>
        <w:t>评审小组</w:t>
      </w:r>
      <w:r>
        <w:rPr>
          <w:rFonts w:ascii="Times New Roman" w:hAnsi="Times New Roman" w:cs="Times New Roman"/>
          <w:bCs/>
        </w:rPr>
        <w:t>修正外，在整个评审期间保持不变，不随任何因素发生变化。</w:t>
      </w:r>
    </w:p>
    <w:p>
      <w:pPr>
        <w:spacing w:line="440" w:lineRule="exact"/>
        <w:ind w:firstLine="420"/>
        <w:rPr>
          <w:rFonts w:ascii="Times New Roman" w:hAnsi="Times New Roman" w:cs="Times New Roman"/>
        </w:rPr>
      </w:pPr>
      <w:r>
        <w:rPr>
          <w:rFonts w:hint="eastAsia" w:ascii="Times New Roman" w:hAnsi="Times New Roman" w:cs="Times New Roman"/>
        </w:rPr>
        <w:t>5.2.3</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采用公开询比方式采购的项目，公示期不得少于2日。</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pPr>
        <w:spacing w:line="440" w:lineRule="exact"/>
        <w:ind w:firstLine="420"/>
        <w:rPr>
          <w:rFonts w:ascii="Times New Roman" w:hAnsi="Times New Roman" w:cs="Times New Roman"/>
        </w:rPr>
      </w:pPr>
      <w:r>
        <w:rPr>
          <w:rFonts w:ascii="Times New Roman" w:hAnsi="Times New Roman" w:cs="Times New Roman"/>
        </w:rPr>
        <w:t>7.4.1在签订合同前，成交人应向采购人提交履约保证金。履约保证金</w:t>
      </w:r>
      <w:r>
        <w:rPr>
          <w:rFonts w:hint="eastAsia" w:ascii="Times New Roman" w:hAnsi="Times New Roman" w:cs="Times New Roman"/>
        </w:rPr>
        <w:t>的金额及形式见供应商须知前附表</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7.4.2 成交人不能按本章第</w:t>
      </w:r>
      <w:r>
        <w:rPr>
          <w:rFonts w:hint="eastAsia" w:ascii="Times New Roman" w:hAnsi="Times New Roman" w:cs="Times New Roman"/>
        </w:rPr>
        <w:t>18</w:t>
      </w:r>
      <w:r>
        <w:rPr>
          <w:rFonts w:ascii="Times New Roman" w:hAnsi="Times New Roman" w:cs="Times New Roman"/>
        </w:rPr>
        <w:t>项要求提交履约保证金的，视为放弃成交候选人，其响应保证金不予退还，给采购人造成的损失超过响应保证金数额的，成交人还应当对超过部分予以赔偿。</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见供应商须知前附表。</w:t>
      </w:r>
    </w:p>
    <w:bookmarkEnd w:id="48"/>
    <w:bookmarkEnd w:id="49"/>
    <w:bookmarkEnd w:id="50"/>
    <w:p/>
    <w:p/>
    <w:p/>
    <w:p/>
    <w:p/>
    <w:p/>
    <w:p/>
    <w:p/>
    <w:p/>
    <w:p/>
    <w:p/>
    <w:p/>
    <w:p/>
    <w:p/>
    <w:p/>
    <w:p/>
    <w:p/>
    <w:p/>
    <w:p/>
    <w:p/>
    <w:p/>
    <w:p/>
    <w:p/>
    <w:p/>
    <w:p/>
    <w:p/>
    <w:p>
      <w:pPr>
        <w:pStyle w:val="3"/>
        <w:spacing w:before="312" w:after="312"/>
        <w:rPr>
          <w:rFonts w:ascii="Times New Roman" w:hAnsi="Times New Roman" w:eastAsia="黑体" w:cs="Times New Roman"/>
          <w:sz w:val="28"/>
          <w:szCs w:val="28"/>
        </w:rPr>
      </w:pPr>
      <w:r>
        <w:rPr>
          <w:rFonts w:hint="eastAsia" w:ascii="Times New Roman" w:hAnsi="Times New Roman" w:eastAsia="宋体" w:cs="Times New Roman"/>
        </w:rPr>
        <w:t>评审办法</w:t>
      </w:r>
    </w:p>
    <w:p>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3"/>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pPr>
              <w:widowControl/>
              <w:adjustRightInd w:val="0"/>
              <w:snapToGrid w:val="0"/>
              <w:jc w:val="left"/>
            </w:pPr>
            <w:r>
              <w:rPr>
                <w:rFonts w:hint="eastAsia"/>
              </w:rPr>
              <w:t>按综合得分由高到低的顺序依次推荐成交候选人：</w:t>
            </w:r>
          </w:p>
          <w:p>
            <w:pPr>
              <w:widowControl/>
              <w:adjustRightInd w:val="0"/>
              <w:snapToGrid w:val="0"/>
              <w:jc w:val="left"/>
            </w:pPr>
            <w:r>
              <w:rPr>
                <w:rFonts w:hint="eastAsia"/>
                <w:lang w:eastAsia="zh-CN"/>
              </w:rPr>
              <w:t>☑</w:t>
            </w:r>
            <w:r>
              <w:rPr>
                <w:rFonts w:hint="eastAsia"/>
              </w:rPr>
              <w:t>当综合得分相等时，以</w:t>
            </w:r>
            <w:r>
              <w:rPr>
                <w:rFonts w:hint="eastAsia"/>
                <w:lang w:val="en-US" w:eastAsia="zh-CN"/>
              </w:rPr>
              <w:t>经工集团2021年</w:t>
            </w:r>
            <w:r>
              <w:rPr>
                <w:rFonts w:hint="eastAsia" w:ascii="Times New Roman" w:hAnsi="Times New Roman" w:cs="Times New Roman"/>
                <w:szCs w:val="21"/>
              </w:rPr>
              <w:t>度劳务考核评价中获得优秀</w:t>
            </w:r>
            <w:r>
              <w:rPr>
                <w:rFonts w:hint="eastAsia" w:ascii="Times New Roman" w:hAnsi="Times New Roman" w:cs="Times New Roman"/>
                <w:szCs w:val="21"/>
                <w:lang w:val="en-US" w:eastAsia="zh-CN"/>
              </w:rPr>
              <w:t>的优先</w:t>
            </w:r>
            <w:r>
              <w:rPr>
                <w:rFonts w:hint="eastAsia"/>
              </w:rPr>
              <w:t>；</w:t>
            </w:r>
            <w:r>
              <w:rPr>
                <w:rFonts w:hint="eastAsia"/>
                <w:lang w:val="en-US" w:eastAsia="zh-CN"/>
              </w:rPr>
              <w:t>同为优秀时</w:t>
            </w:r>
            <w:r>
              <w:rPr>
                <w:rFonts w:hint="eastAsia"/>
              </w:rPr>
              <w:t>，以评审价低的优先；评审价也相等的，以递交响应文件在前的优先。</w:t>
            </w:r>
          </w:p>
          <w:p>
            <w:pPr>
              <w:pStyle w:val="2"/>
              <w:adjustRightInd w:val="0"/>
              <w:snapToGrid w:val="0"/>
            </w:pPr>
            <w:r>
              <w:rPr>
                <w:rFonts w:hint="eastAsia"/>
                <w:lang w:eastAsia="zh-CN"/>
              </w:rPr>
              <w:t>□</w:t>
            </w:r>
            <w:r>
              <w:rPr>
                <w:rFonts w:hint="eastAsia" w:ascii="Times New Roman" w:hAnsi="Times New Roman" w:cs="Times New Roman"/>
                <w:kern w:val="0"/>
                <w:szCs w:val="21"/>
              </w:rPr>
              <w:t>___________________________</w:t>
            </w:r>
          </w:p>
        </w:tc>
      </w:tr>
    </w:tbl>
    <w:p>
      <w:pPr>
        <w:adjustRightInd w:val="0"/>
        <w:snapToGrid w:val="0"/>
        <w:spacing w:line="360" w:lineRule="auto"/>
        <w:ind w:firstLine="420"/>
        <w:textAlignment w:val="baseline"/>
        <w:rPr>
          <w:rFonts w:ascii="Times New Roman" w:hAnsi="Times New Roman" w:cs="Times New Roman"/>
          <w:szCs w:val="21"/>
        </w:rPr>
      </w:pPr>
    </w:p>
    <w:tbl>
      <w:tblPr>
        <w:tblStyle w:val="13"/>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1759"/>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59" w:type="dxa"/>
            <w:vAlign w:val="center"/>
          </w:tcPr>
          <w:p>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59" w:type="dxa"/>
            <w:vAlign w:val="center"/>
          </w:tcPr>
          <w:p>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096"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、安全生产许可证</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符合第六章“响应文件格式”的规定，关键字迹清晰可辨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签名</w:t>
            </w:r>
            <w:r>
              <w:rPr>
                <w:rFonts w:ascii="Times New Roman" w:hAnsi="Times New Roman" w:cs="Times New Roman"/>
                <w:kern w:val="0"/>
                <w:szCs w:val="21"/>
              </w:rPr>
              <w:t>盖章</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符合第二章“供应商须知”第3.</w:t>
            </w:r>
            <w:r>
              <w:rPr>
                <w:rFonts w:hint="eastAsia" w:ascii="Times New Roman" w:hAnsi="Times New Roman" w:cs="Times New Roman"/>
                <w:bCs/>
                <w:kern w:val="0"/>
                <w:szCs w:val="21"/>
              </w:rPr>
              <w:t>6</w:t>
            </w:r>
            <w:r>
              <w:rPr>
                <w:rFonts w:ascii="Times New Roman" w:hAnsi="Times New Roman" w:cs="Times New Roman"/>
                <w:bCs/>
                <w:kern w:val="0"/>
                <w:szCs w:val="21"/>
              </w:rPr>
              <w:t>.3项的规定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096" w:type="dxa"/>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资质条件、能力、信誉、其他要求</w:t>
            </w:r>
          </w:p>
        </w:tc>
        <w:tc>
          <w:tcPr>
            <w:tcW w:w="5659" w:type="dxa"/>
            <w:tcMar>
              <w:left w:w="75" w:type="dxa"/>
            </w:tcMar>
            <w:vAlign w:val="center"/>
          </w:tcPr>
          <w:p>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w:t>
            </w:r>
            <w:r>
              <w:rPr>
                <w:rFonts w:hint="eastAsia" w:ascii="Times New Roman" w:hAnsi="Times New Roman" w:cs="Times New Roman"/>
                <w:kern w:val="0"/>
                <w:szCs w:val="21"/>
              </w:rPr>
              <w:t>、第1.2.2项</w:t>
            </w:r>
            <w:r>
              <w:rPr>
                <w:rFonts w:ascii="Times New Roman" w:hAnsi="Times New Roman" w:cs="Times New Roman"/>
                <w:kern w:val="0"/>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096"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工期</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659" w:type="dxa"/>
            <w:tcMar>
              <w:left w:w="75" w:type="dxa"/>
            </w:tcMar>
            <w:vAlign w:val="center"/>
          </w:tcPr>
          <w:p>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响应保证金</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bCs/>
                <w:kern w:val="0"/>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没有分包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pPr>
              <w:widowControl/>
              <w:numPr>
                <w:ilvl w:val="0"/>
                <w:numId w:val="5"/>
              </w:numPr>
              <w:adjustRightInd w:val="0"/>
              <w:snapToGrid w:val="0"/>
              <w:spacing w:line="360" w:lineRule="atLeast"/>
              <w:jc w:val="left"/>
              <w:rPr>
                <w:rFonts w:ascii="Times New Roman" w:hAnsi="Times New Roman" w:cs="Times New Roman"/>
              </w:rPr>
            </w:pPr>
            <w:r>
              <w:rPr>
                <w:rFonts w:ascii="Times New Roman" w:hAnsi="Times New Roman" w:cs="Times New Roman"/>
              </w:rPr>
              <w:t>报价未超过询比文件设定的最高限价</w:t>
            </w:r>
          </w:p>
          <w:p>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（2）已标价的工程量清单总报价和报价函的报价一致（四舍五入除外）。</w:t>
            </w:r>
          </w:p>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采购人提供的书面工程量清单</w:t>
            </w:r>
            <w:r>
              <w:rPr>
                <w:rFonts w:hint="eastAsia" w:ascii="Times New Roman" w:hAnsi="Times New Roman" w:cs="Times New Roman"/>
              </w:rPr>
              <w:t>填写了报价，且未修改工程量清单说明、工程数量等实质性内容</w:t>
            </w:r>
            <w:r>
              <w:rPr>
                <w:rFonts w:ascii="Times New Roman" w:hAnsi="Times New Roman" w:cs="Times New Roman"/>
              </w:rPr>
              <w:t>。</w:t>
            </w:r>
          </w:p>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w:t>
            </w:r>
            <w:r>
              <w:rPr>
                <w:rFonts w:hint="eastAsia" w:ascii="Times New Roman" w:hAnsi="Times New Roman" w:cs="Times New Roman"/>
              </w:rPr>
              <w:t>安全文明施工费、规费和税金等不可竞争费用，按照规定的标准计取</w:t>
            </w:r>
            <w:r>
              <w:rPr>
                <w:rFonts w:ascii="Times New Roman" w:hAnsi="Times New Roman" w:cs="Times New Roman"/>
              </w:rPr>
              <w:t>。</w:t>
            </w:r>
          </w:p>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7</w:t>
            </w:r>
            <w:r>
              <w:rPr>
                <w:rFonts w:ascii="Times New Roman" w:hAnsi="Times New Roman" w:cs="Times New Roman"/>
              </w:rPr>
              <w:t>）已标价</w:t>
            </w:r>
            <w:r>
              <w:rPr>
                <w:rFonts w:ascii="Times New Roman" w:hAnsi="Times New Roman" w:cs="Times New Roman"/>
                <w:kern w:val="0"/>
                <w:szCs w:val="21"/>
              </w:rPr>
              <w:t>工程量清单中未更改询比文件确定的暂列金额。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pPr>
        <w:widowControl/>
        <w:spacing w:line="360" w:lineRule="atLeast"/>
        <w:jc w:val="center"/>
        <w:rPr>
          <w:rFonts w:ascii="Times New Roman" w:hAnsi="Times New Roman" w:cs="Times New Roman"/>
        </w:rPr>
      </w:pPr>
    </w:p>
    <w:tbl>
      <w:tblPr>
        <w:tblStyle w:val="1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1696" w:type="dxa"/>
            <w:vAlign w:val="center"/>
          </w:tcPr>
          <w:p>
            <w:pPr>
              <w:snapToGrid w:val="0"/>
              <w:jc w:val="center"/>
              <w:rPr>
                <w:rFonts w:ascii="Times New Roman" w:hAnsi="Times New Roman" w:cs="Times New Roman"/>
                <w:b/>
                <w:bCs/>
                <w:kern w:val="0"/>
                <w:szCs w:val="21"/>
              </w:rPr>
            </w:pPr>
            <w:r>
              <w:rPr>
                <w:rFonts w:ascii="Times New Roman" w:hAnsi="Times New Roman" w:cs="Times New Roman"/>
                <w:b/>
                <w:bCs/>
                <w:kern w:val="0"/>
                <w:szCs w:val="21"/>
              </w:rPr>
              <w:t>条款号</w:t>
            </w:r>
          </w:p>
        </w:tc>
        <w:tc>
          <w:tcPr>
            <w:tcW w:w="1276" w:type="dxa"/>
            <w:tcMar>
              <w:left w:w="75" w:type="dxa"/>
            </w:tcMar>
            <w:vAlign w:val="center"/>
          </w:tcPr>
          <w:p>
            <w:pPr>
              <w:snapToGrid w:val="0"/>
              <w:jc w:val="center"/>
              <w:rPr>
                <w:rFonts w:ascii="Times New Roman" w:hAnsi="Times New Roman" w:cs="Times New Roman"/>
                <w:b/>
                <w:bCs/>
                <w:kern w:val="0"/>
                <w:szCs w:val="21"/>
              </w:rPr>
            </w:pPr>
            <w:r>
              <w:rPr>
                <w:rFonts w:ascii="Times New Roman" w:hAnsi="Times New Roman" w:cs="Times New Roman"/>
                <w:b/>
                <w:bCs/>
                <w:kern w:val="0"/>
                <w:szCs w:val="21"/>
              </w:rPr>
              <w:t>条款内容</w:t>
            </w:r>
          </w:p>
        </w:tc>
        <w:tc>
          <w:tcPr>
            <w:tcW w:w="6232" w:type="dxa"/>
            <w:vAlign w:val="center"/>
          </w:tcPr>
          <w:p>
            <w:pPr>
              <w:widowControl/>
              <w:snapToGrid w:val="0"/>
              <w:jc w:val="center"/>
              <w:rPr>
                <w:rFonts w:ascii="Times New Roman" w:hAnsi="Times New Roman" w:cs="Times New Roman"/>
                <w:b/>
                <w:bCs/>
                <w:kern w:val="0"/>
                <w:szCs w:val="21"/>
              </w:rPr>
            </w:pPr>
            <w:r>
              <w:rPr>
                <w:rFonts w:ascii="Times New Roman" w:hAnsi="Times New Roman" w:cs="Times New Roman"/>
                <w:b/>
                <w:bCs/>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1696" w:type="dxa"/>
            <w:vAlign w:val="center"/>
          </w:tcPr>
          <w:p>
            <w:pPr>
              <w:snapToGrid w:val="0"/>
              <w:jc w:val="center"/>
              <w:rPr>
                <w:rFonts w:ascii="Times New Roman" w:hAnsi="Times New Roman" w:cs="Times New Roman"/>
                <w:bCs/>
                <w:kern w:val="0"/>
                <w:szCs w:val="21"/>
              </w:rPr>
            </w:pPr>
            <w:r>
              <w:rPr>
                <w:rFonts w:ascii="Times New Roman" w:hAnsi="Times New Roman" w:cs="Times New Roman"/>
                <w:bCs/>
                <w:kern w:val="0"/>
                <w:szCs w:val="21"/>
              </w:rPr>
              <w:t>2.2.1</w:t>
            </w:r>
          </w:p>
        </w:tc>
        <w:tc>
          <w:tcPr>
            <w:tcW w:w="1276" w:type="dxa"/>
            <w:tcMar>
              <w:left w:w="75" w:type="dxa"/>
            </w:tcMar>
            <w:vAlign w:val="center"/>
          </w:tcPr>
          <w:p>
            <w:pPr>
              <w:snapToGrid w:val="0"/>
              <w:jc w:val="left"/>
              <w:rPr>
                <w:rFonts w:ascii="Times New Roman" w:hAnsi="Times New Roman" w:cs="Times New Roman"/>
                <w:bCs/>
                <w:kern w:val="0"/>
                <w:szCs w:val="21"/>
              </w:rPr>
            </w:pPr>
            <w:r>
              <w:rPr>
                <w:rFonts w:ascii="Times New Roman" w:hAnsi="Times New Roman" w:cs="Times New Roman"/>
                <w:szCs w:val="21"/>
              </w:rPr>
              <w:t>分值构成（100分）</w:t>
            </w:r>
          </w:p>
        </w:tc>
        <w:tc>
          <w:tcPr>
            <w:tcW w:w="6232" w:type="dxa"/>
            <w:vAlign w:val="center"/>
          </w:tcPr>
          <w:p>
            <w:pPr>
              <w:spacing w:line="360" w:lineRule="atLeast"/>
              <w:ind w:firstLine="420"/>
              <w:rPr>
                <w:rFonts w:ascii="Times New Roman" w:hAnsi="Times New Roman" w:cs="Times New Roman"/>
                <w:szCs w:val="21"/>
              </w:rPr>
            </w:pPr>
            <w:r>
              <w:rPr>
                <w:rFonts w:hint="eastAsia" w:ascii="Times New Roman" w:hAnsi="Times New Roman" w:cs="Times New Roman"/>
                <w:szCs w:val="21"/>
              </w:rPr>
              <w:t>项目管理机构</w:t>
            </w:r>
            <w:r>
              <w:rPr>
                <w:rFonts w:ascii="Times New Roman" w:hAnsi="Times New Roman" w:cs="Times New Roman"/>
                <w:szCs w:val="21"/>
              </w:rPr>
              <w:t>：</w:t>
            </w:r>
            <w:r>
              <w:rPr>
                <w:rFonts w:hint="eastAsia" w:ascii="Times New Roman" w:hAnsi="Times New Roman" w:cs="Times New Roman"/>
                <w:szCs w:val="21"/>
                <w:u w:val="single"/>
              </w:rPr>
              <w:t>10</w:t>
            </w:r>
            <w:r>
              <w:rPr>
                <w:rFonts w:ascii="Times New Roman" w:hAnsi="Times New Roman" w:cs="Times New Roman"/>
                <w:szCs w:val="21"/>
              </w:rPr>
              <w:t>_分</w:t>
            </w:r>
          </w:p>
          <w:p>
            <w:pPr>
              <w:spacing w:line="360" w:lineRule="atLeast"/>
              <w:ind w:firstLine="420"/>
              <w:rPr>
                <w:rFonts w:ascii="Times New Roman" w:hAnsi="Times New Roman" w:cs="Times New Roman"/>
                <w:szCs w:val="21"/>
              </w:rPr>
            </w:pPr>
            <w:r>
              <w:rPr>
                <w:rFonts w:ascii="Times New Roman" w:hAnsi="Times New Roman" w:cs="Times New Roman"/>
                <w:szCs w:val="21"/>
              </w:rPr>
              <w:t>施工组织设计：</w:t>
            </w:r>
            <w:r>
              <w:rPr>
                <w:rFonts w:hint="eastAsia" w:ascii="Times New Roman" w:hAnsi="Times New Roman" w:cs="Times New Roman"/>
                <w:szCs w:val="21"/>
                <w:u w:val="single"/>
                <w:lang w:val="en-US" w:eastAsia="zh-CN"/>
              </w:rPr>
              <w:t>20</w:t>
            </w:r>
            <w:r>
              <w:rPr>
                <w:rFonts w:ascii="Times New Roman" w:hAnsi="Times New Roman" w:cs="Times New Roman"/>
                <w:szCs w:val="21"/>
              </w:rPr>
              <w:t>分</w:t>
            </w:r>
          </w:p>
          <w:p>
            <w:pPr>
              <w:spacing w:line="360" w:lineRule="atLeast"/>
              <w:ind w:firstLine="420"/>
              <w:rPr>
                <w:rFonts w:ascii="Times New Roman" w:hAnsi="Times New Roman" w:cs="Times New Roman"/>
                <w:kern w:val="0"/>
                <w:szCs w:val="21"/>
              </w:rPr>
            </w:pPr>
            <w:r>
              <w:rPr>
                <w:rFonts w:ascii="Times New Roman" w:hAnsi="Times New Roman" w:cs="Times New Roman"/>
                <w:szCs w:val="21"/>
              </w:rPr>
              <w:t>评审价：</w:t>
            </w:r>
            <w:r>
              <w:rPr>
                <w:rFonts w:hint="eastAsia" w:ascii="Times New Roman" w:hAnsi="Times New Roman" w:cs="Times New Roman"/>
                <w:szCs w:val="21"/>
                <w:u w:val="single"/>
              </w:rPr>
              <w:t>70</w:t>
            </w:r>
            <w:r>
              <w:rPr>
                <w:rFonts w:ascii="Times New Roman" w:hAnsi="Times New Roman" w:cs="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1696" w:type="dxa"/>
            <w:tcBorders>
              <w:top w:val="single" w:color="auto" w:sz="4" w:space="0"/>
              <w:bottom w:val="single" w:color="auto" w:sz="4" w:space="0"/>
              <w:right w:val="single" w:color="auto" w:sz="4" w:space="0"/>
            </w:tcBorders>
            <w:vAlign w:val="center"/>
          </w:tcPr>
          <w:p>
            <w:pPr>
              <w:snapToGrid w:val="0"/>
              <w:jc w:val="center"/>
              <w:rPr>
                <w:rFonts w:ascii="Times New Roman" w:hAnsi="Times New Roman" w:cs="Times New Roman"/>
                <w:bCs/>
                <w:kern w:val="0"/>
                <w:szCs w:val="21"/>
              </w:rPr>
            </w:pPr>
            <w:r>
              <w:rPr>
                <w:rFonts w:ascii="Times New Roman" w:hAnsi="Times New Roman"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pPr>
              <w:snapToGrid w:val="0"/>
              <w:jc w:val="left"/>
              <w:rPr>
                <w:rFonts w:ascii="Times New Roman" w:hAnsi="Times New Roman" w:cs="Times New Roman"/>
                <w:szCs w:val="21"/>
              </w:rPr>
            </w:pPr>
            <w:r>
              <w:rPr>
                <w:rFonts w:ascii="Times New Roman" w:hAnsi="Times New Roman"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tLeast"/>
              <w:ind w:firstLine="420" w:firstLineChars="200"/>
              <w:rPr>
                <w:rFonts w:hint="eastAsia" w:ascii="Times New Roman" w:hAnsi="Times New Roman" w:cs="Times New Roman"/>
                <w:szCs w:val="21"/>
              </w:rPr>
            </w:pPr>
            <w:r>
              <w:rPr>
                <w:rFonts w:hint="eastAsia" w:ascii="Times New Roman" w:hAnsi="Times New Roman" w:cs="Times New Roman"/>
                <w:szCs w:val="21"/>
                <w:lang w:val="en-US" w:eastAsia="zh-CN"/>
              </w:rPr>
              <w:t>a.</w:t>
            </w:r>
            <w:r>
              <w:rPr>
                <w:rFonts w:hint="eastAsia" w:ascii="Times New Roman" w:hAnsi="Times New Roman" w:cs="Times New Roman"/>
                <w:szCs w:val="21"/>
              </w:rPr>
              <w:t xml:space="preserve">确定评标价 评标价=投标函文字报价； </w:t>
            </w:r>
          </w:p>
          <w:p>
            <w:pPr>
              <w:numPr>
                <w:ilvl w:val="0"/>
                <w:numId w:val="0"/>
              </w:numPr>
              <w:spacing w:line="360" w:lineRule="atLeast"/>
              <w:ind w:firstLine="420" w:firstLineChars="200"/>
              <w:rPr>
                <w:rFonts w:hint="eastAsia" w:ascii="Times New Roman" w:hAnsi="Times New Roman" w:cs="Times New Roman"/>
                <w:szCs w:val="21"/>
              </w:rPr>
            </w:pPr>
            <w:r>
              <w:rPr>
                <w:rFonts w:hint="eastAsia" w:ascii="Times New Roman" w:hAnsi="Times New Roman" w:cs="Times New Roman"/>
                <w:szCs w:val="21"/>
              </w:rPr>
              <w:t xml:space="preserve">b.纳入评标价平均值计算均须满足的情形 </w:t>
            </w:r>
          </w:p>
          <w:p>
            <w:pPr>
              <w:numPr>
                <w:ilvl w:val="0"/>
                <w:numId w:val="0"/>
              </w:numPr>
              <w:spacing w:line="360" w:lineRule="atLeast"/>
              <w:ind w:firstLine="420" w:firstLineChars="200"/>
              <w:rPr>
                <w:rFonts w:hint="eastAsia" w:ascii="Times New Roman" w:hAnsi="Times New Roman" w:cs="Times New Roman"/>
                <w:szCs w:val="21"/>
              </w:rPr>
            </w:pPr>
            <w:r>
              <w:rPr>
                <w:rFonts w:hint="eastAsia" w:ascii="Times New Roman" w:hAnsi="Times New Roman" w:cs="Times New Roman"/>
                <w:szCs w:val="21"/>
              </w:rPr>
              <w:t xml:space="preserve">（a）通过报价文件初步评审的投标文件的评标价； </w:t>
            </w:r>
          </w:p>
          <w:p>
            <w:pPr>
              <w:numPr>
                <w:ilvl w:val="0"/>
                <w:numId w:val="0"/>
              </w:numPr>
              <w:spacing w:line="360" w:lineRule="atLeast"/>
              <w:ind w:firstLine="420" w:firstLineChars="200"/>
              <w:rPr>
                <w:rFonts w:hint="eastAsia" w:ascii="Times New Roman" w:hAnsi="Times New Roman" w:cs="Times New Roman"/>
                <w:szCs w:val="21"/>
              </w:rPr>
            </w:pPr>
            <w:r>
              <w:rPr>
                <w:rFonts w:hint="eastAsia" w:ascii="Times New Roman" w:hAnsi="Times New Roman" w:cs="Times New Roman"/>
                <w:szCs w:val="21"/>
              </w:rPr>
              <w:t xml:space="preserve"> c.计算评标价平均值 </w:t>
            </w:r>
          </w:p>
          <w:p>
            <w:pPr>
              <w:numPr>
                <w:ilvl w:val="0"/>
                <w:numId w:val="0"/>
              </w:numPr>
              <w:spacing w:line="360" w:lineRule="atLeast"/>
              <w:ind w:firstLine="420" w:firstLineChars="200"/>
              <w:rPr>
                <w:rFonts w:hint="eastAsia" w:ascii="Times New Roman" w:hAnsi="Times New Roman" w:cs="Times New Roman"/>
                <w:szCs w:val="21"/>
              </w:rPr>
            </w:pPr>
            <w:r>
              <w:rPr>
                <w:rFonts w:hint="eastAsia" w:ascii="Times New Roman" w:hAnsi="Times New Roman" w:cs="Times New Roman"/>
                <w:szCs w:val="21"/>
              </w:rPr>
              <w:t xml:space="preserve">以通过上述“b.纳入评标价平均值计算均须满足的情形”评审 的投标文件的评标价作为有效评标价;如出现无法计算评标价平均 值的情况，评标委员会将否决所有投标。 </w:t>
            </w:r>
          </w:p>
          <w:p>
            <w:pPr>
              <w:numPr>
                <w:ilvl w:val="0"/>
                <w:numId w:val="0"/>
              </w:numPr>
              <w:spacing w:line="360" w:lineRule="atLeast"/>
              <w:ind w:firstLine="420" w:firstLineChars="200"/>
              <w:rPr>
                <w:rFonts w:hint="eastAsia" w:ascii="Times New Roman" w:hAnsi="Times New Roman" w:cs="Times New Roman"/>
                <w:szCs w:val="21"/>
              </w:rPr>
            </w:pPr>
            <w:r>
              <w:rPr>
                <w:rFonts w:hint="eastAsia" w:ascii="Times New Roman" w:hAnsi="Times New Roman" w:cs="Times New Roman"/>
                <w:szCs w:val="21"/>
              </w:rPr>
              <w:t xml:space="preserve">对所有有效评标价按照由低到高进行排序，去除 n 个较高有效 评标价和 n 个较低有效评标价，取其他有效评标价进行算术平均得 出评标价平均值。设有效评标价对应的投标人数量为 X，n 按照以 下规定取值： </w:t>
            </w:r>
          </w:p>
          <w:p>
            <w:pPr>
              <w:numPr>
                <w:ilvl w:val="0"/>
                <w:numId w:val="0"/>
              </w:numPr>
              <w:spacing w:line="360" w:lineRule="atLeast"/>
              <w:rPr>
                <w:rFonts w:hint="eastAsia" w:ascii="Times New Roman" w:hAnsi="Times New Roman" w:cs="Times New Roman"/>
                <w:szCs w:val="21"/>
              </w:rPr>
            </w:pPr>
            <w:r>
              <w:rPr>
                <w:rFonts w:hint="eastAsia" w:ascii="Times New Roman" w:hAnsi="Times New Roman" w:cs="Times New Roman"/>
                <w:szCs w:val="21"/>
              </w:rPr>
              <w:t>①当 X≤5，n=0；</w:t>
            </w:r>
          </w:p>
          <w:p>
            <w:pPr>
              <w:spacing w:line="360" w:lineRule="atLeast"/>
              <w:rPr>
                <w:rFonts w:hint="eastAsia" w:ascii="Times New Roman" w:hAnsi="Times New Roman" w:cs="Times New Roman"/>
                <w:szCs w:val="21"/>
              </w:rPr>
            </w:pPr>
            <w:r>
              <w:rPr>
                <w:rFonts w:hint="eastAsia" w:ascii="Times New Roman" w:hAnsi="Times New Roman" w:cs="Times New Roman"/>
                <w:szCs w:val="21"/>
              </w:rPr>
              <w:t xml:space="preserve">②当 5＜X≤10，n=1； </w:t>
            </w:r>
          </w:p>
          <w:p>
            <w:pPr>
              <w:spacing w:line="360" w:lineRule="atLeast"/>
              <w:rPr>
                <w:rFonts w:hint="eastAsia" w:ascii="Times New Roman" w:hAnsi="Times New Roman" w:cs="Times New Roman"/>
                <w:szCs w:val="21"/>
              </w:rPr>
            </w:pPr>
            <w:r>
              <w:rPr>
                <w:rFonts w:hint="eastAsia" w:ascii="Times New Roman" w:hAnsi="Times New Roman" w:cs="Times New Roman"/>
                <w:szCs w:val="21"/>
              </w:rPr>
              <w:t xml:space="preserve">③当 10＜X≤20，n=2； </w:t>
            </w:r>
          </w:p>
          <w:p>
            <w:pPr>
              <w:spacing w:line="360" w:lineRule="atLeast"/>
              <w:rPr>
                <w:rFonts w:hint="eastAsia" w:ascii="Times New Roman" w:hAnsi="Times New Roman" w:cs="Times New Roman"/>
                <w:szCs w:val="21"/>
              </w:rPr>
            </w:pPr>
            <w:r>
              <w:rPr>
                <w:rFonts w:hint="eastAsia" w:ascii="Times New Roman" w:hAnsi="Times New Roman" w:cs="Times New Roman"/>
                <w:szCs w:val="21"/>
              </w:rPr>
              <w:t xml:space="preserve">④当 20＜X≤30，n=3；以此类推。 </w:t>
            </w:r>
          </w:p>
          <w:p>
            <w:pPr>
              <w:spacing w:line="360" w:lineRule="atLeast"/>
              <w:ind w:firstLine="420" w:firstLineChars="200"/>
              <w:rPr>
                <w:rFonts w:hint="eastAsia" w:ascii="Times New Roman" w:hAnsi="Times New Roman" w:cs="Times New Roman" w:eastAsiaTheme="minorEastAsia"/>
                <w:szCs w:val="21"/>
                <w:lang w:eastAsia="zh-CN"/>
              </w:rPr>
            </w:pPr>
            <w:r>
              <w:rPr>
                <w:rFonts w:hint="eastAsia" w:ascii="Times New Roman" w:hAnsi="Times New Roman" w:cs="Times New Roman"/>
                <w:szCs w:val="21"/>
              </w:rPr>
              <w:t>d.确定评标基准价 评标基准价=评标价平均值 评标基准价除存在计算错误之外，不随任何因素发生变化</w:t>
            </w:r>
            <w:r>
              <w:rPr>
                <w:rFonts w:hint="eastAsia" w:ascii="Times New Roman" w:hAnsi="Times New Roman"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1696" w:type="dxa"/>
            <w:tcBorders>
              <w:top w:val="single" w:color="auto" w:sz="4" w:space="0"/>
              <w:right w:val="single" w:color="auto" w:sz="4"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2.2.3</w:t>
            </w:r>
          </w:p>
        </w:tc>
        <w:tc>
          <w:tcPr>
            <w:tcW w:w="1276" w:type="dxa"/>
            <w:tcBorders>
              <w:top w:val="single" w:color="auto" w:sz="4" w:space="0"/>
              <w:right w:val="single" w:color="auto" w:sz="4" w:space="0"/>
            </w:tcBorders>
            <w:tcMar>
              <w:left w:w="75" w:type="dxa"/>
            </w:tcMar>
            <w:vAlign w:val="center"/>
          </w:tcPr>
          <w:p>
            <w:pPr>
              <w:snapToGrid w:val="0"/>
              <w:jc w:val="left"/>
              <w:rPr>
                <w:rFonts w:ascii="Times New Roman" w:hAnsi="Times New Roman" w:cs="Times New Roman"/>
                <w:szCs w:val="21"/>
              </w:rPr>
            </w:pPr>
            <w:r>
              <w:rPr>
                <w:rFonts w:ascii="Times New Roman" w:hAnsi="Times New Roman"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pPr>
              <w:spacing w:line="360" w:lineRule="atLeast"/>
              <w:ind w:firstLine="420"/>
              <w:rPr>
                <w:rFonts w:ascii="Times New Roman" w:hAnsi="Times New Roman" w:cs="Times New Roman"/>
                <w:szCs w:val="21"/>
              </w:rPr>
            </w:pPr>
            <w:r>
              <w:rPr>
                <w:rFonts w:ascii="Times New Roman" w:hAnsi="Times New Roman" w:cs="Times New Roman"/>
                <w:szCs w:val="21"/>
              </w:rPr>
              <w:t>偏差率=100% ×（供应商评审价－评审基准价）/评审基准价</w:t>
            </w:r>
          </w:p>
          <w:p>
            <w:pPr>
              <w:spacing w:line="360" w:lineRule="atLeast"/>
              <w:ind w:firstLine="420"/>
              <w:rPr>
                <w:rFonts w:ascii="Times New Roman" w:hAnsi="Times New Roman" w:cs="Times New Roman"/>
                <w:szCs w:val="21"/>
              </w:rPr>
            </w:pPr>
            <w:r>
              <w:rPr>
                <w:rFonts w:ascii="Times New Roman" w:hAnsi="Times New Roman" w:cs="Times New Roman"/>
                <w:szCs w:val="21"/>
              </w:rPr>
              <w:t>偏差率保留</w:t>
            </w:r>
            <w:r>
              <w:rPr>
                <w:rFonts w:ascii="Times New Roman" w:hAnsi="Times New Roman" w:cs="Times New Roman"/>
                <w:szCs w:val="21"/>
                <w:u w:val="single"/>
              </w:rPr>
              <w:t xml:space="preserve">  </w:t>
            </w:r>
            <w:r>
              <w:rPr>
                <w:rFonts w:hint="eastAsia" w:ascii="Times New Roman" w:hAnsi="Times New Roman" w:cs="Times New Roman"/>
                <w:szCs w:val="21"/>
                <w:u w:val="single"/>
              </w:rPr>
              <w:t>2</w:t>
            </w:r>
            <w:r>
              <w:rPr>
                <w:rFonts w:ascii="Times New Roman" w:hAnsi="Times New Roman" w:cs="Times New Roman"/>
                <w:szCs w:val="21"/>
                <w:u w:val="single"/>
              </w:rPr>
              <w:t xml:space="preserve">  </w:t>
            </w:r>
            <w:r>
              <w:rPr>
                <w:rFonts w:ascii="Times New Roman" w:hAnsi="Times New Roman" w:cs="Times New Roman"/>
                <w:szCs w:val="21"/>
              </w:rPr>
              <w:t>位小数</w:t>
            </w:r>
          </w:p>
        </w:tc>
      </w:tr>
    </w:tbl>
    <w:p>
      <w:pPr>
        <w:jc w:val="right"/>
        <w:rPr>
          <w:rFonts w:ascii="Times New Roman" w:hAnsi="Times New Roman" w:cs="Times New Roman"/>
          <w:spacing w:val="4"/>
          <w:szCs w:val="21"/>
        </w:rPr>
      </w:pPr>
    </w:p>
    <w:p>
      <w:pPr>
        <w:jc w:val="left"/>
        <w:rPr>
          <w:rFonts w:hint="eastAsia" w:ascii="仿宋_GB2312" w:hAnsi="仿宋_GB2312" w:eastAsia="仿宋_GB2312" w:cs="仿宋_GB2312"/>
          <w:spacing w:val="4"/>
          <w:sz w:val="32"/>
          <w:szCs w:val="32"/>
          <w:lang w:val="en-US" w:eastAsia="zh-CN"/>
        </w:rPr>
      </w:pPr>
    </w:p>
    <w:p>
      <w:pPr>
        <w:jc w:val="left"/>
        <w:rPr>
          <w:rFonts w:ascii="Times New Roman" w:hAnsi="Times New Roman" w:cs="Times New Roman"/>
          <w:spacing w:val="4"/>
          <w:szCs w:val="21"/>
        </w:rPr>
      </w:pPr>
    </w:p>
    <w:p>
      <w:pPr>
        <w:jc w:val="right"/>
        <w:rPr>
          <w:rFonts w:ascii="Times New Roman" w:hAnsi="Times New Roman" w:cs="Times New Roman"/>
        </w:rPr>
      </w:pPr>
      <w:r>
        <w:rPr>
          <w:rFonts w:ascii="Times New Roman" w:hAnsi="Times New Roman" w:cs="Times New Roman"/>
          <w:spacing w:val="4"/>
          <w:szCs w:val="21"/>
        </w:rPr>
        <w:t>续上表</w:t>
      </w:r>
    </w:p>
    <w:tbl>
      <w:tblPr>
        <w:tblStyle w:val="13"/>
        <w:tblW w:w="92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635"/>
        <w:gridCol w:w="1005"/>
        <w:gridCol w:w="1453"/>
        <w:gridCol w:w="1133"/>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386" w:type="dxa"/>
            <w:gridSpan w:val="5"/>
            <w:tcBorders>
              <w:top w:val="single" w:color="auto" w:sz="4" w:space="0"/>
            </w:tcBorders>
          </w:tcPr>
          <w:p>
            <w:pPr>
              <w:spacing w:line="380" w:lineRule="atLeast"/>
              <w:jc w:val="center"/>
              <w:rPr>
                <w:rFonts w:ascii="Times New Roman" w:hAnsi="Times New Roman" w:cs="Times New Roman"/>
                <w:b/>
                <w:szCs w:val="21"/>
              </w:rPr>
            </w:pPr>
            <w:r>
              <w:rPr>
                <w:rFonts w:ascii="Times New Roman" w:hAnsi="Times New Roman" w:cs="Times New Roman"/>
                <w:b/>
                <w:szCs w:val="21"/>
              </w:rPr>
              <w:t>评分因素与权重分值</w:t>
            </w:r>
          </w:p>
        </w:tc>
        <w:tc>
          <w:tcPr>
            <w:tcW w:w="2818" w:type="dxa"/>
            <w:vMerge w:val="restart"/>
            <w:tcBorders>
              <w:top w:val="single" w:color="auto" w:sz="4" w:space="0"/>
            </w:tcBorders>
            <w:vAlign w:val="center"/>
          </w:tcPr>
          <w:p>
            <w:pPr>
              <w:spacing w:line="380" w:lineRule="atLeast"/>
              <w:jc w:val="center"/>
              <w:rPr>
                <w:rFonts w:ascii="Times New Roman" w:hAnsi="Times New Roman" w:cs="Times New Roman"/>
                <w:b/>
                <w:szCs w:val="21"/>
              </w:rPr>
            </w:pPr>
            <w:r>
              <w:rPr>
                <w:rFonts w:ascii="Times New Roman" w:hAnsi="Times New Roman" w:cs="Times New Roman"/>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60" w:type="dxa"/>
            <w:vAlign w:val="center"/>
          </w:tcPr>
          <w:p>
            <w:pPr>
              <w:spacing w:line="380" w:lineRule="atLeast"/>
              <w:jc w:val="center"/>
              <w:rPr>
                <w:rFonts w:ascii="Times New Roman" w:hAnsi="Times New Roman" w:cs="Times New Roman"/>
                <w:b/>
                <w:szCs w:val="21"/>
              </w:rPr>
            </w:pPr>
            <w:r>
              <w:rPr>
                <w:rFonts w:ascii="Times New Roman" w:hAnsi="Times New Roman" w:cs="Times New Roman"/>
                <w:b/>
                <w:szCs w:val="21"/>
              </w:rPr>
              <w:t>条款号</w:t>
            </w:r>
          </w:p>
        </w:tc>
        <w:tc>
          <w:tcPr>
            <w:tcW w:w="1635" w:type="dxa"/>
            <w:vAlign w:val="center"/>
          </w:tcPr>
          <w:p>
            <w:pPr>
              <w:spacing w:line="380" w:lineRule="atLeast"/>
              <w:jc w:val="center"/>
              <w:rPr>
                <w:rFonts w:ascii="Times New Roman" w:hAnsi="Times New Roman" w:cs="Times New Roman"/>
                <w:b/>
                <w:szCs w:val="21"/>
              </w:rPr>
            </w:pPr>
            <w:r>
              <w:rPr>
                <w:rFonts w:ascii="Times New Roman" w:hAnsi="Times New Roman" w:cs="Times New Roman"/>
                <w:b/>
                <w:szCs w:val="21"/>
              </w:rPr>
              <w:t>评分因素</w:t>
            </w:r>
          </w:p>
        </w:tc>
        <w:tc>
          <w:tcPr>
            <w:tcW w:w="1005" w:type="dxa"/>
            <w:vAlign w:val="center"/>
          </w:tcPr>
          <w:p>
            <w:pPr>
              <w:spacing w:line="380" w:lineRule="atLeast"/>
              <w:ind w:left="-105" w:leftChars="-50" w:right="-105" w:rightChars="-50"/>
              <w:jc w:val="center"/>
              <w:rPr>
                <w:rFonts w:ascii="Times New Roman" w:hAnsi="Times New Roman" w:cs="Times New Roman"/>
                <w:b/>
                <w:szCs w:val="21"/>
              </w:rPr>
            </w:pPr>
            <w:r>
              <w:rPr>
                <w:rFonts w:ascii="Times New Roman" w:hAnsi="Times New Roman" w:cs="Times New Roman"/>
                <w:b/>
                <w:szCs w:val="21"/>
              </w:rPr>
              <w:t>评分因素权重分值</w:t>
            </w:r>
          </w:p>
        </w:tc>
        <w:tc>
          <w:tcPr>
            <w:tcW w:w="1453" w:type="dxa"/>
            <w:vAlign w:val="center"/>
          </w:tcPr>
          <w:p>
            <w:pPr>
              <w:spacing w:line="380" w:lineRule="atLeast"/>
              <w:jc w:val="center"/>
              <w:rPr>
                <w:rFonts w:ascii="Times New Roman" w:hAnsi="Times New Roman" w:cs="Times New Roman"/>
                <w:b/>
                <w:szCs w:val="21"/>
              </w:rPr>
            </w:pPr>
            <w:r>
              <w:rPr>
                <w:rFonts w:ascii="Times New Roman" w:hAnsi="Times New Roman" w:cs="Times New Roman"/>
                <w:b/>
                <w:szCs w:val="21"/>
              </w:rPr>
              <w:t>各评分因素细分项</w:t>
            </w:r>
          </w:p>
        </w:tc>
        <w:tc>
          <w:tcPr>
            <w:tcW w:w="1133" w:type="dxa"/>
            <w:vAlign w:val="center"/>
          </w:tcPr>
          <w:p>
            <w:pPr>
              <w:spacing w:line="380" w:lineRule="atLeast"/>
              <w:jc w:val="right"/>
              <w:rPr>
                <w:rFonts w:ascii="Times New Roman" w:hAnsi="Times New Roman" w:cs="Times New Roman"/>
                <w:b/>
                <w:szCs w:val="21"/>
              </w:rPr>
            </w:pPr>
            <w:r>
              <w:rPr>
                <w:rFonts w:ascii="Times New Roman" w:hAnsi="Times New Roman" w:cs="Times New Roman"/>
                <w:b/>
                <w:szCs w:val="21"/>
              </w:rPr>
              <w:t>分值</w:t>
            </w:r>
          </w:p>
        </w:tc>
        <w:tc>
          <w:tcPr>
            <w:tcW w:w="2818" w:type="dxa"/>
            <w:vMerge w:val="continue"/>
          </w:tcPr>
          <w:p>
            <w:pPr>
              <w:spacing w:line="380" w:lineRule="atLeast"/>
              <w:jc w:val="center"/>
              <w:rPr>
                <w:rFonts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vAlign w:val="center"/>
          </w:tcPr>
          <w:p>
            <w:pPr>
              <w:spacing w:line="380" w:lineRule="atLeast"/>
              <w:jc w:val="center"/>
              <w:rPr>
                <w:rFonts w:ascii="Times New Roman" w:hAnsi="Times New Roman" w:cs="Times New Roman"/>
                <w:szCs w:val="21"/>
              </w:rPr>
            </w:pPr>
            <w:r>
              <w:rPr>
                <w:rFonts w:ascii="Times New Roman" w:hAnsi="Times New Roman" w:cs="Times New Roman"/>
                <w:szCs w:val="21"/>
              </w:rPr>
              <w:t>2.2.4</w:t>
            </w:r>
            <w:r>
              <w:rPr>
                <w:rFonts w:hint="eastAsia" w:ascii="Times New Roman" w:hAnsi="Times New Roman" w:cs="Times New Roman"/>
                <w:szCs w:val="21"/>
              </w:rPr>
              <w:t>（</w:t>
            </w:r>
            <w:r>
              <w:rPr>
                <w:rFonts w:hint="eastAsia" w:ascii="Times New Roman" w:hAnsi="Times New Roman" w:cs="Times New Roman"/>
                <w:szCs w:val="21"/>
                <w:lang w:val="en-US" w:eastAsia="zh-CN"/>
              </w:rPr>
              <w:t>1</w:t>
            </w:r>
            <w:r>
              <w:rPr>
                <w:rFonts w:hint="eastAsia" w:ascii="Times New Roman" w:hAnsi="Times New Roman" w:cs="Times New Roman"/>
                <w:szCs w:val="21"/>
              </w:rPr>
              <w:t>）</w:t>
            </w:r>
          </w:p>
        </w:tc>
        <w:tc>
          <w:tcPr>
            <w:tcW w:w="1635" w:type="dxa"/>
            <w:vMerge w:val="restart"/>
            <w:vAlign w:val="center"/>
          </w:tcPr>
          <w:p>
            <w:pPr>
              <w:spacing w:line="380" w:lineRule="atLeast"/>
              <w:jc w:val="center"/>
              <w:rPr>
                <w:rFonts w:ascii="Times New Roman" w:hAnsi="Times New Roman" w:cs="Times New Roman"/>
                <w:szCs w:val="21"/>
              </w:rPr>
            </w:pPr>
            <w:r>
              <w:rPr>
                <w:rFonts w:hint="eastAsia" w:ascii="Times New Roman" w:hAnsi="Times New Roman" w:cs="Times New Roman"/>
                <w:szCs w:val="21"/>
              </w:rPr>
              <w:t>项目管理机构</w:t>
            </w:r>
          </w:p>
        </w:tc>
        <w:tc>
          <w:tcPr>
            <w:tcW w:w="1005" w:type="dxa"/>
            <w:vMerge w:val="restart"/>
            <w:vAlign w:val="center"/>
          </w:tcPr>
          <w:p>
            <w:pPr>
              <w:spacing w:line="380" w:lineRule="atLeast"/>
              <w:jc w:val="center"/>
              <w:rPr>
                <w:rFonts w:ascii="Times New Roman" w:hAnsi="Times New Roman" w:cs="Times New Roman"/>
                <w:szCs w:val="21"/>
                <w:u w:val="single"/>
              </w:rPr>
            </w:pPr>
            <w:r>
              <w:rPr>
                <w:rFonts w:hint="eastAsia" w:ascii="Times New Roman" w:hAnsi="Times New Roman" w:cs="Times New Roman"/>
                <w:szCs w:val="21"/>
                <w:u w:val="single"/>
              </w:rPr>
              <w:t>10</w:t>
            </w:r>
            <w:r>
              <w:rPr>
                <w:rFonts w:ascii="Times New Roman" w:hAnsi="Times New Roman" w:cs="Times New Roman"/>
                <w:szCs w:val="21"/>
                <w:u w:val="single"/>
              </w:rPr>
              <w:t xml:space="preserve">  </w:t>
            </w:r>
            <w:r>
              <w:rPr>
                <w:rFonts w:ascii="Times New Roman" w:hAnsi="Times New Roman" w:cs="Times New Roman"/>
                <w:szCs w:val="21"/>
              </w:rPr>
              <w:t>分</w:t>
            </w:r>
          </w:p>
        </w:tc>
        <w:tc>
          <w:tcPr>
            <w:tcW w:w="1453" w:type="dxa"/>
            <w:vAlign w:val="center"/>
          </w:tcPr>
          <w:p>
            <w:pPr>
              <w:spacing w:line="380" w:lineRule="atLeast"/>
              <w:jc w:val="center"/>
              <w:rPr>
                <w:rFonts w:ascii="Times New Roman" w:hAnsi="Times New Roman" w:cs="Times New Roman"/>
                <w:szCs w:val="21"/>
              </w:rPr>
            </w:pPr>
            <w:r>
              <w:rPr>
                <w:rFonts w:ascii="Times New Roman" w:hAnsi="Times New Roman" w:cs="Times New Roman"/>
                <w:szCs w:val="21"/>
              </w:rPr>
              <w:t>拟任项目经理资质</w:t>
            </w:r>
          </w:p>
        </w:tc>
        <w:tc>
          <w:tcPr>
            <w:tcW w:w="1133" w:type="dxa"/>
            <w:vAlign w:val="center"/>
          </w:tcPr>
          <w:p>
            <w:pPr>
              <w:spacing w:line="380" w:lineRule="atLeast"/>
              <w:jc w:val="center"/>
              <w:rPr>
                <w:rFonts w:ascii="Times New Roman" w:hAnsi="Times New Roman" w:cs="Times New Roman"/>
                <w:szCs w:val="21"/>
              </w:rPr>
            </w:pPr>
            <w:r>
              <w:rPr>
                <w:rFonts w:hint="eastAsia" w:ascii="Times New Roman" w:hAnsi="Times New Roman" w:cs="Times New Roman"/>
                <w:szCs w:val="21"/>
              </w:rPr>
              <w:t>5分</w:t>
            </w:r>
          </w:p>
        </w:tc>
        <w:tc>
          <w:tcPr>
            <w:tcW w:w="2818" w:type="dxa"/>
            <w:vAlign w:val="center"/>
          </w:tcPr>
          <w:p>
            <w:pPr>
              <w:spacing w:line="380" w:lineRule="atLeast"/>
              <w:jc w:val="center"/>
              <w:rPr>
                <w:rFonts w:hint="eastAsia" w:ascii="Times New Roman" w:hAnsi="Times New Roman" w:cs="Times New Roman" w:eastAsiaTheme="minorEastAsia"/>
                <w:szCs w:val="21"/>
                <w:lang w:val="en-US" w:eastAsia="zh-CN"/>
              </w:rPr>
            </w:pPr>
            <w:r>
              <w:rPr>
                <w:rFonts w:hint="eastAsia" w:ascii="宋体" w:hAnsi="宋体" w:cs="宋体"/>
                <w:szCs w:val="22"/>
              </w:rPr>
              <w:t>拟任项目经理具有建筑工程二级及以上建造师证书且常驻现场的得5分，</w:t>
            </w:r>
            <w:r>
              <w:rPr>
                <w:rFonts w:hint="eastAsia" w:ascii="宋体" w:hAnsi="宋体" w:cs="仿宋"/>
                <w:szCs w:val="22"/>
              </w:rPr>
              <w:t>满分5分</w:t>
            </w:r>
            <w:r>
              <w:rPr>
                <w:rFonts w:hint="eastAsia" w:ascii="宋体" w:hAnsi="宋体"/>
                <w:kern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0" w:type="dxa"/>
            <w:vMerge w:val="continue"/>
            <w:vAlign w:val="center"/>
          </w:tcPr>
          <w:p>
            <w:pPr>
              <w:spacing w:line="380" w:lineRule="atLeast"/>
              <w:jc w:val="center"/>
              <w:rPr>
                <w:rFonts w:ascii="Times New Roman" w:hAnsi="Times New Roman" w:cs="Times New Roman"/>
                <w:szCs w:val="21"/>
              </w:rPr>
            </w:pPr>
          </w:p>
        </w:tc>
        <w:tc>
          <w:tcPr>
            <w:tcW w:w="1635" w:type="dxa"/>
            <w:vMerge w:val="continue"/>
            <w:vAlign w:val="center"/>
          </w:tcPr>
          <w:p>
            <w:pPr>
              <w:spacing w:line="380" w:lineRule="atLeast"/>
              <w:jc w:val="center"/>
              <w:rPr>
                <w:rFonts w:ascii="Times New Roman" w:hAnsi="Times New Roman" w:cs="Times New Roman"/>
                <w:szCs w:val="21"/>
              </w:rPr>
            </w:pPr>
          </w:p>
        </w:tc>
        <w:tc>
          <w:tcPr>
            <w:tcW w:w="1005" w:type="dxa"/>
            <w:vMerge w:val="continue"/>
            <w:vAlign w:val="center"/>
          </w:tcPr>
          <w:p>
            <w:pPr>
              <w:spacing w:line="380" w:lineRule="atLeast"/>
              <w:jc w:val="center"/>
              <w:rPr>
                <w:rFonts w:ascii="Times New Roman" w:hAnsi="Times New Roman" w:cs="Times New Roman"/>
                <w:szCs w:val="21"/>
                <w:u w:val="single"/>
              </w:rPr>
            </w:pPr>
          </w:p>
        </w:tc>
        <w:tc>
          <w:tcPr>
            <w:tcW w:w="1453" w:type="dxa"/>
            <w:vAlign w:val="center"/>
          </w:tcPr>
          <w:p>
            <w:pPr>
              <w:spacing w:line="380" w:lineRule="atLeast"/>
              <w:jc w:val="center"/>
              <w:rPr>
                <w:rFonts w:ascii="Times New Roman" w:hAnsi="Times New Roman" w:cs="Times New Roman"/>
                <w:szCs w:val="21"/>
              </w:rPr>
            </w:pPr>
            <w:r>
              <w:rPr>
                <w:rFonts w:hint="eastAsia" w:ascii="Times New Roman" w:hAnsi="Times New Roman" w:cs="Times New Roman"/>
                <w:szCs w:val="21"/>
              </w:rPr>
              <w:t>拟派项目管理人员情况</w:t>
            </w:r>
          </w:p>
        </w:tc>
        <w:tc>
          <w:tcPr>
            <w:tcW w:w="1133" w:type="dxa"/>
            <w:vAlign w:val="center"/>
          </w:tcPr>
          <w:p>
            <w:pPr>
              <w:spacing w:line="380" w:lineRule="atLeast"/>
              <w:jc w:val="center"/>
              <w:rPr>
                <w:rFonts w:ascii="Times New Roman" w:hAnsi="Times New Roman" w:cs="Times New Roman"/>
                <w:szCs w:val="21"/>
              </w:rPr>
            </w:pPr>
            <w:r>
              <w:rPr>
                <w:rFonts w:hint="eastAsia" w:ascii="Times New Roman" w:hAnsi="Times New Roman" w:cs="Times New Roman"/>
                <w:szCs w:val="21"/>
                <w:lang w:val="en-US" w:eastAsia="zh-CN"/>
              </w:rPr>
              <w:t>5</w:t>
            </w:r>
            <w:r>
              <w:rPr>
                <w:rFonts w:hint="eastAsia" w:ascii="Times New Roman" w:hAnsi="Times New Roman" w:cs="Times New Roman"/>
                <w:szCs w:val="21"/>
              </w:rPr>
              <w:t>分</w:t>
            </w:r>
          </w:p>
        </w:tc>
        <w:tc>
          <w:tcPr>
            <w:tcW w:w="2818" w:type="dxa"/>
            <w:vAlign w:val="center"/>
          </w:tcPr>
          <w:p>
            <w:pPr>
              <w:spacing w:line="380" w:lineRule="atLeast"/>
              <w:jc w:val="center"/>
              <w:rPr>
                <w:rFonts w:hint="eastAsia" w:ascii="宋体" w:hAnsi="宋体" w:cs="宋体" w:eastAsiaTheme="minorEastAsia"/>
                <w:szCs w:val="22"/>
                <w:lang w:eastAsia="zh-CN"/>
              </w:rPr>
            </w:pPr>
            <w:r>
              <w:rPr>
                <w:rFonts w:hint="eastAsia" w:ascii="宋体" w:hAnsi="宋体"/>
                <w:kern w:val="0"/>
              </w:rPr>
              <w:t>拟派项目管理人员满足基本要求（项目经理、技术负责人、安全员、施工员各1人）的得基本分3分，根据工程实际需要，</w:t>
            </w:r>
            <w:r>
              <w:rPr>
                <w:rFonts w:hint="eastAsia" w:ascii="宋体" w:hAnsi="宋体"/>
                <w:kern w:val="0"/>
                <w:highlight w:val="yellow"/>
              </w:rPr>
              <w:t>视管理人员调配情况（经验丰富责任心强）或增加的项目管理人员酌情增加0-2分</w:t>
            </w:r>
            <w:r>
              <w:rPr>
                <w:rFonts w:hint="eastAsia" w:ascii="宋体" w:hAnsi="宋体"/>
                <w:kern w:val="0"/>
              </w:rPr>
              <w:t>，满分5分</w:t>
            </w:r>
            <w:r>
              <w:rPr>
                <w:rFonts w:hint="eastAsia" w:ascii="宋体" w:hAnsi="宋体"/>
                <w:kern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vAlign w:val="center"/>
          </w:tcPr>
          <w:p>
            <w:pPr>
              <w:spacing w:line="380" w:lineRule="atLeast"/>
              <w:jc w:val="center"/>
              <w:rPr>
                <w:rFonts w:ascii="Times New Roman" w:hAnsi="Times New Roman" w:cs="Times New Roman"/>
                <w:szCs w:val="21"/>
              </w:rPr>
            </w:pPr>
            <w:r>
              <w:rPr>
                <w:rFonts w:ascii="Times New Roman" w:hAnsi="Times New Roman" w:cs="Times New Roman"/>
                <w:szCs w:val="21"/>
              </w:rPr>
              <w:t>2.2.4</w:t>
            </w:r>
            <w:r>
              <w:rPr>
                <w:rFonts w:hint="eastAsia" w:ascii="Times New Roman" w:hAnsi="Times New Roman" w:cs="Times New Roman"/>
                <w:szCs w:val="21"/>
              </w:rPr>
              <w:t>（</w:t>
            </w:r>
            <w:r>
              <w:rPr>
                <w:rFonts w:hint="eastAsia" w:ascii="Times New Roman" w:hAnsi="Times New Roman" w:cs="Times New Roman"/>
                <w:szCs w:val="21"/>
                <w:lang w:val="en-US" w:eastAsia="zh-CN"/>
              </w:rPr>
              <w:t>2</w:t>
            </w:r>
            <w:r>
              <w:rPr>
                <w:rFonts w:hint="eastAsia" w:ascii="Times New Roman" w:hAnsi="Times New Roman" w:cs="Times New Roman"/>
                <w:szCs w:val="21"/>
              </w:rPr>
              <w:t>）</w:t>
            </w:r>
          </w:p>
        </w:tc>
        <w:tc>
          <w:tcPr>
            <w:tcW w:w="1635" w:type="dxa"/>
            <w:vMerge w:val="restart"/>
            <w:vAlign w:val="center"/>
          </w:tcPr>
          <w:p>
            <w:pPr>
              <w:spacing w:line="380" w:lineRule="atLeast"/>
              <w:jc w:val="center"/>
              <w:rPr>
                <w:rFonts w:ascii="Times New Roman" w:hAnsi="Times New Roman" w:cs="Times New Roman"/>
                <w:szCs w:val="21"/>
              </w:rPr>
            </w:pPr>
            <w:r>
              <w:rPr>
                <w:rFonts w:hint="eastAsia" w:ascii="Times New Roman" w:hAnsi="Times New Roman" w:cs="Times New Roman"/>
                <w:szCs w:val="21"/>
              </w:rPr>
              <w:t>施工组织设计</w:t>
            </w:r>
          </w:p>
        </w:tc>
        <w:tc>
          <w:tcPr>
            <w:tcW w:w="1005" w:type="dxa"/>
            <w:vMerge w:val="restart"/>
            <w:vAlign w:val="center"/>
          </w:tcPr>
          <w:p>
            <w:pPr>
              <w:spacing w:line="380" w:lineRule="atLeast"/>
              <w:jc w:val="right"/>
              <w:rPr>
                <w:rFonts w:ascii="Times New Roman" w:hAnsi="Times New Roman" w:cs="Times New Roman"/>
                <w:szCs w:val="21"/>
                <w:u w:val="single"/>
              </w:rPr>
            </w:pP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20</w:t>
            </w:r>
            <w:r>
              <w:rPr>
                <w:rFonts w:ascii="Times New Roman" w:hAnsi="Times New Roman" w:cs="Times New Roman"/>
                <w:szCs w:val="21"/>
                <w:u w:val="single"/>
              </w:rPr>
              <w:t xml:space="preserve"> </w:t>
            </w:r>
            <w:r>
              <w:rPr>
                <w:rFonts w:ascii="Times New Roman" w:hAnsi="Times New Roman" w:cs="Times New Roman"/>
                <w:szCs w:val="21"/>
              </w:rPr>
              <w:t>分</w:t>
            </w:r>
          </w:p>
        </w:tc>
        <w:tc>
          <w:tcPr>
            <w:tcW w:w="1453" w:type="dxa"/>
            <w:vAlign w:val="center"/>
          </w:tcPr>
          <w:p>
            <w:pPr>
              <w:widowControl/>
              <w:jc w:val="center"/>
            </w:pPr>
            <w:r>
              <w:rPr>
                <w:rFonts w:hint="eastAsia" w:ascii="宋体" w:hAnsi="宋体" w:eastAsia="宋体" w:cs="宋体"/>
                <w:color w:val="000000"/>
                <w:kern w:val="0"/>
                <w:szCs w:val="21"/>
                <w:lang w:bidi="ar"/>
              </w:rPr>
              <w:t>主要施工方法及拟投入的主要物资、施工机械、设备、劳动力安排计划</w:t>
            </w:r>
          </w:p>
          <w:p>
            <w:pPr>
              <w:spacing w:line="380" w:lineRule="atLeast"/>
              <w:jc w:val="center"/>
              <w:rPr>
                <w:rFonts w:ascii="Times New Roman" w:hAnsi="Times New Roman" w:cs="Times New Roman"/>
                <w:szCs w:val="21"/>
              </w:rPr>
            </w:pPr>
          </w:p>
        </w:tc>
        <w:tc>
          <w:tcPr>
            <w:tcW w:w="1133" w:type="dxa"/>
            <w:vAlign w:val="center"/>
          </w:tcPr>
          <w:p>
            <w:pPr>
              <w:spacing w:line="380" w:lineRule="atLeast"/>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4</w:t>
            </w:r>
          </w:p>
        </w:tc>
        <w:tc>
          <w:tcPr>
            <w:tcW w:w="2818" w:type="dxa"/>
            <w:vAlign w:val="top"/>
          </w:tcPr>
          <w:p>
            <w:pPr>
              <w:widowControl/>
              <w:jc w:val="both"/>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各主要分部施工方法符合项目实际，须有详尽的施工技术方案，工艺先进、方法科学合理、可行，能指导具体施工并确保安全。拟投入的施工材料、机械、设备、机具、劳动力有详细计划且计划周密， 满足施工需要。</w:t>
            </w:r>
          </w:p>
          <w:p>
            <w:pPr>
              <w:widowControl/>
              <w:jc w:val="both"/>
              <w:rPr>
                <w:rFonts w:ascii="Times New Roman" w:hAnsi="Times New Roman" w:cs="Times New Roman"/>
                <w:szCs w:val="21"/>
              </w:rPr>
            </w:pPr>
            <w:r>
              <w:rPr>
                <w:rFonts w:hint="eastAsia" w:ascii="宋体" w:hAnsi="宋体" w:eastAsia="宋体" w:cs="宋体"/>
                <w:b/>
                <w:bCs/>
                <w:color w:val="000000"/>
                <w:kern w:val="0"/>
                <w:sz w:val="22"/>
                <w:szCs w:val="22"/>
                <w:lang w:bidi="ar"/>
              </w:rPr>
              <w:t>满足采购文件要求得</w:t>
            </w:r>
            <w:r>
              <w:rPr>
                <w:rFonts w:hint="eastAsia" w:ascii="宋体" w:hAnsi="宋体" w:eastAsia="宋体" w:cs="宋体"/>
                <w:b/>
                <w:bCs/>
                <w:color w:val="000000"/>
                <w:kern w:val="0"/>
                <w:sz w:val="22"/>
                <w:szCs w:val="22"/>
                <w:lang w:val="en-US" w:eastAsia="zh-CN" w:bidi="ar"/>
              </w:rPr>
              <w:t>2.4</w:t>
            </w:r>
            <w:r>
              <w:rPr>
                <w:rFonts w:hint="eastAsia" w:ascii="宋体" w:hAnsi="宋体" w:eastAsia="宋体" w:cs="宋体"/>
                <w:b/>
                <w:bCs/>
                <w:color w:val="000000"/>
                <w:kern w:val="0"/>
                <w:sz w:val="22"/>
                <w:szCs w:val="22"/>
                <w:lang w:bidi="ar"/>
              </w:rPr>
              <w:t>分，根据合理性、针对性情况加 0-</w:t>
            </w:r>
            <w:r>
              <w:rPr>
                <w:rFonts w:hint="eastAsia" w:ascii="宋体" w:hAnsi="宋体" w:eastAsia="宋体" w:cs="宋体"/>
                <w:b/>
                <w:bCs/>
                <w:color w:val="000000"/>
                <w:kern w:val="0"/>
                <w:sz w:val="22"/>
                <w:szCs w:val="22"/>
                <w:lang w:val="en-US" w:eastAsia="zh-CN" w:bidi="ar"/>
              </w:rPr>
              <w:t>1.6</w:t>
            </w:r>
            <w:r>
              <w:rPr>
                <w:rFonts w:hint="eastAsia" w:ascii="宋体" w:hAnsi="宋体" w:eastAsia="宋体" w:cs="宋体"/>
                <w:b/>
                <w:bCs/>
                <w:color w:val="000000"/>
                <w:kern w:val="0"/>
                <w:sz w:val="22"/>
                <w:szCs w:val="22"/>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0" w:type="dxa"/>
            <w:vMerge w:val="continue"/>
            <w:vAlign w:val="center"/>
          </w:tcPr>
          <w:p>
            <w:pPr>
              <w:spacing w:line="380" w:lineRule="atLeast"/>
              <w:jc w:val="center"/>
              <w:rPr>
                <w:rFonts w:ascii="Times New Roman" w:hAnsi="Times New Roman" w:cs="Times New Roman"/>
                <w:szCs w:val="21"/>
              </w:rPr>
            </w:pPr>
          </w:p>
        </w:tc>
        <w:tc>
          <w:tcPr>
            <w:tcW w:w="1635" w:type="dxa"/>
            <w:vMerge w:val="continue"/>
            <w:vAlign w:val="center"/>
          </w:tcPr>
          <w:p>
            <w:pPr>
              <w:spacing w:line="380" w:lineRule="atLeast"/>
              <w:jc w:val="center"/>
              <w:rPr>
                <w:rFonts w:ascii="Times New Roman" w:hAnsi="Times New Roman" w:cs="Times New Roman"/>
                <w:szCs w:val="21"/>
              </w:rPr>
            </w:pPr>
          </w:p>
        </w:tc>
        <w:tc>
          <w:tcPr>
            <w:tcW w:w="1005" w:type="dxa"/>
            <w:vMerge w:val="continue"/>
            <w:vAlign w:val="center"/>
          </w:tcPr>
          <w:p>
            <w:pPr>
              <w:spacing w:line="380" w:lineRule="atLeast"/>
              <w:jc w:val="right"/>
              <w:rPr>
                <w:rFonts w:ascii="Times New Roman" w:hAnsi="Times New Roman" w:cs="Times New Roman"/>
                <w:szCs w:val="21"/>
                <w:u w:val="single"/>
              </w:rPr>
            </w:pPr>
          </w:p>
        </w:tc>
        <w:tc>
          <w:tcPr>
            <w:tcW w:w="1453" w:type="dxa"/>
            <w:vAlign w:val="center"/>
          </w:tcPr>
          <w:p>
            <w:pPr>
              <w:widowControl/>
              <w:jc w:val="center"/>
            </w:pPr>
            <w:r>
              <w:rPr>
                <w:rFonts w:hint="eastAsia" w:ascii="宋体" w:hAnsi="宋体" w:eastAsia="宋体" w:cs="宋体"/>
                <w:color w:val="000000"/>
                <w:kern w:val="0"/>
                <w:szCs w:val="21"/>
                <w:lang w:bidi="ar"/>
              </w:rPr>
              <w:t>确保工程</w:t>
            </w:r>
          </w:p>
          <w:p>
            <w:pPr>
              <w:widowControl/>
              <w:jc w:val="center"/>
            </w:pPr>
            <w:r>
              <w:rPr>
                <w:rFonts w:hint="eastAsia" w:ascii="宋体" w:hAnsi="宋体" w:eastAsia="宋体" w:cs="宋体"/>
                <w:color w:val="000000"/>
                <w:kern w:val="0"/>
                <w:szCs w:val="21"/>
                <w:lang w:bidi="ar"/>
              </w:rPr>
              <w:t>质量、工</w:t>
            </w:r>
          </w:p>
          <w:p>
            <w:pPr>
              <w:widowControl/>
              <w:jc w:val="center"/>
            </w:pPr>
            <w:r>
              <w:rPr>
                <w:rFonts w:hint="eastAsia" w:ascii="宋体" w:hAnsi="宋体" w:eastAsia="宋体" w:cs="宋体"/>
                <w:color w:val="000000"/>
                <w:kern w:val="0"/>
                <w:szCs w:val="21"/>
                <w:lang w:bidi="ar"/>
              </w:rPr>
              <w:t>期的技术</w:t>
            </w:r>
          </w:p>
          <w:p>
            <w:pPr>
              <w:widowControl/>
              <w:jc w:val="center"/>
            </w:pPr>
            <w:r>
              <w:rPr>
                <w:rFonts w:hint="eastAsia" w:ascii="宋体" w:hAnsi="宋体" w:eastAsia="宋体" w:cs="宋体"/>
                <w:color w:val="000000"/>
                <w:kern w:val="0"/>
                <w:szCs w:val="21"/>
                <w:lang w:bidi="ar"/>
              </w:rPr>
              <w:t>组织措施</w:t>
            </w:r>
          </w:p>
          <w:p>
            <w:pPr>
              <w:spacing w:line="380" w:lineRule="atLeast"/>
              <w:jc w:val="center"/>
              <w:rPr>
                <w:rFonts w:ascii="Times New Roman" w:hAnsi="Times New Roman" w:cs="Times New Roman"/>
                <w:szCs w:val="21"/>
              </w:rPr>
            </w:pPr>
          </w:p>
        </w:tc>
        <w:tc>
          <w:tcPr>
            <w:tcW w:w="1133" w:type="dxa"/>
            <w:vAlign w:val="center"/>
          </w:tcPr>
          <w:p>
            <w:pPr>
              <w:spacing w:line="380" w:lineRule="atLeast"/>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4</w:t>
            </w:r>
          </w:p>
        </w:tc>
        <w:tc>
          <w:tcPr>
            <w:tcW w:w="2818" w:type="dxa"/>
            <w:vAlign w:val="top"/>
          </w:tcPr>
          <w:p>
            <w:pPr>
              <w:widowControl/>
              <w:jc w:val="both"/>
            </w:pPr>
            <w:r>
              <w:rPr>
                <w:rFonts w:hint="eastAsia" w:ascii="宋体" w:hAnsi="宋体" w:eastAsia="宋体" w:cs="宋体"/>
                <w:color w:val="000000"/>
                <w:kern w:val="0"/>
                <w:szCs w:val="21"/>
                <w:lang w:bidi="ar"/>
              </w:rPr>
              <w:t>施工项目确保质量及工期应有专门的管理措施，且人员配备合理、措施得当。主要</w:t>
            </w:r>
          </w:p>
          <w:p>
            <w:pPr>
              <w:widowControl/>
              <w:jc w:val="both"/>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工序应有质量技术保证措施和手段，自控体系完整。应有施工总进度表或施工网络图，各项计划图表编制完善，安排科学合理，符合本项目施工实际要求。</w:t>
            </w:r>
          </w:p>
          <w:p>
            <w:pPr>
              <w:widowControl/>
              <w:jc w:val="both"/>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满足采购文件要求得</w:t>
            </w:r>
            <w:r>
              <w:rPr>
                <w:rFonts w:hint="eastAsia" w:ascii="宋体" w:hAnsi="宋体" w:eastAsia="宋体" w:cs="宋体"/>
                <w:b/>
                <w:bCs/>
                <w:color w:val="000000"/>
                <w:kern w:val="0"/>
                <w:sz w:val="22"/>
                <w:szCs w:val="22"/>
                <w:lang w:val="en-US" w:eastAsia="zh-CN" w:bidi="ar"/>
              </w:rPr>
              <w:t>2.4</w:t>
            </w:r>
            <w:r>
              <w:rPr>
                <w:rFonts w:hint="eastAsia" w:ascii="宋体" w:hAnsi="宋体" w:eastAsia="宋体" w:cs="宋体"/>
                <w:b/>
                <w:bCs/>
                <w:color w:val="000000"/>
                <w:kern w:val="0"/>
                <w:sz w:val="22"/>
                <w:szCs w:val="22"/>
                <w:lang w:bidi="ar"/>
              </w:rPr>
              <w:t>分，根据合理性、针对性情况加 0-</w:t>
            </w:r>
            <w:r>
              <w:rPr>
                <w:rFonts w:hint="eastAsia" w:ascii="宋体" w:hAnsi="宋体" w:eastAsia="宋体" w:cs="宋体"/>
                <w:b/>
                <w:bCs/>
                <w:color w:val="000000"/>
                <w:kern w:val="0"/>
                <w:sz w:val="22"/>
                <w:szCs w:val="22"/>
                <w:lang w:val="en-US" w:eastAsia="zh-CN" w:bidi="ar"/>
              </w:rPr>
              <w:t>1.6</w:t>
            </w:r>
            <w:r>
              <w:rPr>
                <w:rFonts w:hint="eastAsia" w:ascii="宋体" w:hAnsi="宋体" w:eastAsia="宋体" w:cs="宋体"/>
                <w:b/>
                <w:bCs/>
                <w:color w:val="000000"/>
                <w:kern w:val="0"/>
                <w:sz w:val="22"/>
                <w:szCs w:val="22"/>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pPr>
              <w:spacing w:line="380" w:lineRule="atLeast"/>
              <w:jc w:val="center"/>
              <w:rPr>
                <w:rFonts w:ascii="Times New Roman" w:hAnsi="Times New Roman" w:cs="Times New Roman"/>
                <w:szCs w:val="21"/>
              </w:rPr>
            </w:pPr>
          </w:p>
        </w:tc>
        <w:tc>
          <w:tcPr>
            <w:tcW w:w="1635" w:type="dxa"/>
            <w:vMerge w:val="continue"/>
            <w:vAlign w:val="center"/>
          </w:tcPr>
          <w:p>
            <w:pPr>
              <w:spacing w:line="380" w:lineRule="atLeast"/>
              <w:jc w:val="center"/>
              <w:rPr>
                <w:rFonts w:ascii="Times New Roman" w:hAnsi="Times New Roman" w:cs="Times New Roman"/>
                <w:szCs w:val="21"/>
              </w:rPr>
            </w:pPr>
          </w:p>
        </w:tc>
        <w:tc>
          <w:tcPr>
            <w:tcW w:w="1005" w:type="dxa"/>
            <w:vMerge w:val="continue"/>
            <w:vAlign w:val="center"/>
          </w:tcPr>
          <w:p>
            <w:pPr>
              <w:spacing w:line="380" w:lineRule="atLeast"/>
              <w:jc w:val="right"/>
              <w:rPr>
                <w:rFonts w:ascii="Times New Roman" w:hAnsi="Times New Roman" w:cs="Times New Roman"/>
                <w:szCs w:val="21"/>
                <w:u w:val="single"/>
              </w:rPr>
            </w:pPr>
          </w:p>
        </w:tc>
        <w:tc>
          <w:tcPr>
            <w:tcW w:w="1453" w:type="dxa"/>
            <w:vAlign w:val="center"/>
          </w:tcPr>
          <w:p>
            <w:pPr>
              <w:widowControl/>
              <w:jc w:val="center"/>
            </w:pPr>
            <w:r>
              <w:rPr>
                <w:rFonts w:hint="eastAsia" w:ascii="宋体" w:hAnsi="宋体" w:eastAsia="宋体" w:cs="宋体"/>
                <w:color w:val="000000"/>
                <w:kern w:val="0"/>
                <w:szCs w:val="21"/>
                <w:lang w:bidi="ar"/>
              </w:rPr>
              <w:t>确保安全</w:t>
            </w:r>
          </w:p>
          <w:p>
            <w:pPr>
              <w:widowControl/>
              <w:jc w:val="center"/>
            </w:pPr>
            <w:r>
              <w:rPr>
                <w:rFonts w:hint="eastAsia" w:ascii="宋体" w:hAnsi="宋体" w:eastAsia="宋体" w:cs="宋体"/>
                <w:color w:val="000000"/>
                <w:kern w:val="0"/>
                <w:szCs w:val="21"/>
                <w:lang w:bidi="ar"/>
              </w:rPr>
              <w:t>生产、文</w:t>
            </w:r>
          </w:p>
          <w:p>
            <w:pPr>
              <w:widowControl/>
              <w:jc w:val="center"/>
            </w:pPr>
            <w:r>
              <w:rPr>
                <w:rFonts w:hint="eastAsia" w:ascii="宋体" w:hAnsi="宋体" w:eastAsia="宋体" w:cs="宋体"/>
                <w:color w:val="000000"/>
                <w:kern w:val="0"/>
                <w:szCs w:val="21"/>
                <w:lang w:bidi="ar"/>
              </w:rPr>
              <w:t>明施工的</w:t>
            </w:r>
          </w:p>
          <w:p>
            <w:pPr>
              <w:widowControl/>
              <w:jc w:val="center"/>
            </w:pPr>
            <w:r>
              <w:rPr>
                <w:rFonts w:hint="eastAsia" w:ascii="宋体" w:hAnsi="宋体" w:eastAsia="宋体" w:cs="宋体"/>
                <w:color w:val="000000"/>
                <w:kern w:val="0"/>
                <w:szCs w:val="21"/>
                <w:lang w:bidi="ar"/>
              </w:rPr>
              <w:t>技术组织</w:t>
            </w:r>
          </w:p>
          <w:p>
            <w:pPr>
              <w:widowControl/>
              <w:jc w:val="center"/>
            </w:pPr>
            <w:r>
              <w:rPr>
                <w:rFonts w:hint="eastAsia" w:ascii="宋体" w:hAnsi="宋体" w:eastAsia="宋体" w:cs="宋体"/>
                <w:color w:val="000000"/>
                <w:kern w:val="0"/>
                <w:szCs w:val="21"/>
                <w:lang w:bidi="ar"/>
              </w:rPr>
              <w:t>措施</w:t>
            </w:r>
          </w:p>
          <w:p>
            <w:pPr>
              <w:spacing w:line="380" w:lineRule="atLeast"/>
              <w:jc w:val="center"/>
              <w:rPr>
                <w:rFonts w:ascii="Times New Roman" w:hAnsi="Times New Roman" w:cs="Times New Roman"/>
                <w:szCs w:val="21"/>
              </w:rPr>
            </w:pPr>
          </w:p>
        </w:tc>
        <w:tc>
          <w:tcPr>
            <w:tcW w:w="1133" w:type="dxa"/>
            <w:vAlign w:val="center"/>
          </w:tcPr>
          <w:p>
            <w:pPr>
              <w:spacing w:line="380" w:lineRule="atLeast"/>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4</w:t>
            </w:r>
          </w:p>
        </w:tc>
        <w:tc>
          <w:tcPr>
            <w:tcW w:w="2818" w:type="dxa"/>
            <w:vAlign w:val="top"/>
          </w:tcPr>
          <w:p>
            <w:pPr>
              <w:widowControl/>
              <w:jc w:val="both"/>
            </w:pPr>
            <w:r>
              <w:rPr>
                <w:rFonts w:hint="eastAsia" w:ascii="宋体" w:hAnsi="宋体" w:eastAsia="宋体" w:cs="宋体"/>
                <w:color w:val="000000"/>
                <w:kern w:val="0"/>
                <w:szCs w:val="21"/>
                <w:lang w:bidi="ar"/>
              </w:rPr>
              <w:t xml:space="preserve">施工项目应有专门的安全管理人员和制度，且人员 </w:t>
            </w:r>
          </w:p>
          <w:p>
            <w:pPr>
              <w:widowControl/>
              <w:jc w:val="both"/>
            </w:pPr>
            <w:r>
              <w:rPr>
                <w:rFonts w:hint="eastAsia" w:ascii="宋体" w:hAnsi="宋体" w:eastAsia="宋体" w:cs="宋体"/>
                <w:color w:val="000000"/>
                <w:kern w:val="0"/>
                <w:szCs w:val="21"/>
                <w:lang w:bidi="ar"/>
              </w:rPr>
              <w:t xml:space="preserve">配备合理，制度健全，各道工序安全技术措施针对性强，符合实际且满足有关安全技术标准要求。现场防火、社会治安安全措施得力。针对本工程项目特点，应有现场文明施工计划，环境保护措施，且计划措施内容应达到“安全质量标准化示范工地” 标准。应有施工总平面布置图，安排科学合理，符 </w:t>
            </w:r>
          </w:p>
          <w:p>
            <w:pPr>
              <w:widowControl/>
              <w:jc w:val="both"/>
            </w:pPr>
            <w:r>
              <w:rPr>
                <w:rFonts w:hint="eastAsia" w:ascii="宋体" w:hAnsi="宋体" w:eastAsia="宋体" w:cs="宋体"/>
                <w:color w:val="000000"/>
                <w:kern w:val="0"/>
                <w:szCs w:val="21"/>
                <w:lang w:bidi="ar"/>
              </w:rPr>
              <w:t>合本项目施工实际要求。</w:t>
            </w:r>
          </w:p>
          <w:p>
            <w:pPr>
              <w:spacing w:line="380" w:lineRule="atLeast"/>
              <w:jc w:val="both"/>
              <w:rPr>
                <w:rFonts w:ascii="Times New Roman" w:hAnsi="Times New Roman" w:cs="Times New Roman"/>
                <w:szCs w:val="21"/>
              </w:rPr>
            </w:pPr>
            <w:r>
              <w:rPr>
                <w:rFonts w:hint="eastAsia" w:ascii="宋体" w:hAnsi="宋体" w:eastAsia="宋体" w:cs="宋体"/>
                <w:b/>
                <w:bCs/>
                <w:color w:val="000000"/>
                <w:kern w:val="0"/>
                <w:sz w:val="22"/>
                <w:szCs w:val="22"/>
                <w:lang w:bidi="ar"/>
              </w:rPr>
              <w:t>满足采购文件要求得</w:t>
            </w:r>
            <w:r>
              <w:rPr>
                <w:rFonts w:hint="eastAsia" w:ascii="宋体" w:hAnsi="宋体" w:eastAsia="宋体" w:cs="宋体"/>
                <w:b/>
                <w:bCs/>
                <w:color w:val="000000"/>
                <w:kern w:val="0"/>
                <w:sz w:val="22"/>
                <w:szCs w:val="22"/>
                <w:lang w:val="en-US" w:eastAsia="zh-CN" w:bidi="ar"/>
              </w:rPr>
              <w:t>2.4</w:t>
            </w:r>
            <w:r>
              <w:rPr>
                <w:rFonts w:hint="eastAsia" w:ascii="宋体" w:hAnsi="宋体" w:eastAsia="宋体" w:cs="宋体"/>
                <w:b/>
                <w:bCs/>
                <w:color w:val="000000"/>
                <w:kern w:val="0"/>
                <w:sz w:val="22"/>
                <w:szCs w:val="22"/>
                <w:lang w:bidi="ar"/>
              </w:rPr>
              <w:t>分，根据合理性、针对性情况加 0-</w:t>
            </w:r>
            <w:r>
              <w:rPr>
                <w:rFonts w:hint="eastAsia" w:ascii="宋体" w:hAnsi="宋体" w:eastAsia="宋体" w:cs="宋体"/>
                <w:b/>
                <w:bCs/>
                <w:color w:val="000000"/>
                <w:kern w:val="0"/>
                <w:sz w:val="22"/>
                <w:szCs w:val="22"/>
                <w:lang w:val="en-US" w:eastAsia="zh-CN" w:bidi="ar"/>
              </w:rPr>
              <w:t>1.6</w:t>
            </w:r>
            <w:r>
              <w:rPr>
                <w:rFonts w:hint="eastAsia" w:ascii="宋体" w:hAnsi="宋体" w:eastAsia="宋体" w:cs="宋体"/>
                <w:b/>
                <w:bCs/>
                <w:color w:val="000000"/>
                <w:kern w:val="0"/>
                <w:sz w:val="22"/>
                <w:szCs w:val="22"/>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pPr>
              <w:spacing w:line="380" w:lineRule="atLeast"/>
              <w:jc w:val="center"/>
              <w:rPr>
                <w:rFonts w:ascii="Times New Roman" w:hAnsi="Times New Roman" w:cs="Times New Roman"/>
                <w:szCs w:val="21"/>
              </w:rPr>
            </w:pPr>
          </w:p>
        </w:tc>
        <w:tc>
          <w:tcPr>
            <w:tcW w:w="1635" w:type="dxa"/>
            <w:vMerge w:val="continue"/>
            <w:vAlign w:val="center"/>
          </w:tcPr>
          <w:p>
            <w:pPr>
              <w:spacing w:line="380" w:lineRule="atLeast"/>
              <w:jc w:val="center"/>
              <w:rPr>
                <w:rFonts w:ascii="Times New Roman" w:hAnsi="Times New Roman" w:cs="Times New Roman"/>
                <w:szCs w:val="21"/>
              </w:rPr>
            </w:pPr>
          </w:p>
        </w:tc>
        <w:tc>
          <w:tcPr>
            <w:tcW w:w="1005" w:type="dxa"/>
            <w:vMerge w:val="continue"/>
            <w:vAlign w:val="center"/>
          </w:tcPr>
          <w:p>
            <w:pPr>
              <w:spacing w:line="380" w:lineRule="atLeast"/>
              <w:jc w:val="right"/>
              <w:rPr>
                <w:rFonts w:ascii="Times New Roman" w:hAnsi="Times New Roman" w:cs="Times New Roman"/>
                <w:szCs w:val="21"/>
                <w:u w:val="single"/>
              </w:rPr>
            </w:pPr>
          </w:p>
        </w:tc>
        <w:tc>
          <w:tcPr>
            <w:tcW w:w="1453" w:type="dxa"/>
            <w:vAlign w:val="center"/>
          </w:tcPr>
          <w:p>
            <w:pPr>
              <w:widowControl/>
              <w:jc w:val="center"/>
            </w:pPr>
            <w:r>
              <w:rPr>
                <w:rFonts w:hint="eastAsia" w:ascii="宋体" w:hAnsi="宋体" w:eastAsia="宋体" w:cs="宋体"/>
                <w:color w:val="000000"/>
                <w:kern w:val="0"/>
                <w:szCs w:val="21"/>
                <w:lang w:bidi="ar"/>
              </w:rPr>
              <w:t>减少施工</w:t>
            </w:r>
          </w:p>
          <w:p>
            <w:pPr>
              <w:widowControl/>
              <w:jc w:val="center"/>
            </w:pPr>
            <w:r>
              <w:rPr>
                <w:rFonts w:hint="eastAsia" w:ascii="宋体" w:hAnsi="宋体" w:eastAsia="宋体" w:cs="宋体"/>
                <w:color w:val="000000"/>
                <w:kern w:val="0"/>
                <w:szCs w:val="21"/>
                <w:lang w:bidi="ar"/>
              </w:rPr>
              <w:t>影响的措</w:t>
            </w:r>
          </w:p>
          <w:p>
            <w:pPr>
              <w:widowControl/>
              <w:jc w:val="center"/>
            </w:pPr>
            <w:r>
              <w:rPr>
                <w:rFonts w:hint="eastAsia" w:ascii="宋体" w:hAnsi="宋体" w:eastAsia="宋体" w:cs="宋体"/>
                <w:color w:val="000000"/>
                <w:kern w:val="0"/>
                <w:szCs w:val="21"/>
                <w:lang w:bidi="ar"/>
              </w:rPr>
              <w:t>施</w:t>
            </w:r>
          </w:p>
          <w:p>
            <w:pPr>
              <w:spacing w:line="380" w:lineRule="atLeast"/>
              <w:jc w:val="center"/>
              <w:rPr>
                <w:rFonts w:ascii="Times New Roman" w:hAnsi="Times New Roman" w:cs="Times New Roman"/>
                <w:szCs w:val="21"/>
              </w:rPr>
            </w:pPr>
          </w:p>
        </w:tc>
        <w:tc>
          <w:tcPr>
            <w:tcW w:w="1133" w:type="dxa"/>
            <w:vAlign w:val="center"/>
          </w:tcPr>
          <w:p>
            <w:pPr>
              <w:spacing w:line="380" w:lineRule="atLeast"/>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4</w:t>
            </w:r>
          </w:p>
        </w:tc>
        <w:tc>
          <w:tcPr>
            <w:tcW w:w="2818" w:type="dxa"/>
            <w:vAlign w:val="top"/>
          </w:tcPr>
          <w:p>
            <w:pPr>
              <w:widowControl/>
              <w:jc w:val="both"/>
            </w:pPr>
            <w:r>
              <w:rPr>
                <w:rFonts w:hint="eastAsia" w:ascii="宋体" w:hAnsi="宋体" w:eastAsia="宋体" w:cs="宋体"/>
                <w:color w:val="000000"/>
                <w:kern w:val="0"/>
                <w:szCs w:val="21"/>
                <w:lang w:bidi="ar"/>
              </w:rPr>
              <w:t xml:space="preserve">结合现场实际，提出减少施工对服务区经营、司乘 </w:t>
            </w:r>
          </w:p>
          <w:p>
            <w:pPr>
              <w:widowControl/>
              <w:jc w:val="both"/>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人员服务影响的措施等。</w:t>
            </w:r>
          </w:p>
          <w:p>
            <w:pPr>
              <w:widowControl/>
              <w:jc w:val="both"/>
              <w:rPr>
                <w:rFonts w:ascii="宋体" w:hAnsi="宋体" w:eastAsia="宋体" w:cs="宋体"/>
                <w:color w:val="000000"/>
                <w:kern w:val="0"/>
                <w:szCs w:val="21"/>
                <w:lang w:bidi="ar"/>
              </w:rPr>
            </w:pPr>
            <w:r>
              <w:rPr>
                <w:rFonts w:hint="eastAsia" w:ascii="宋体" w:hAnsi="宋体" w:eastAsia="宋体" w:cs="宋体"/>
                <w:b/>
                <w:bCs/>
                <w:color w:val="000000"/>
                <w:kern w:val="0"/>
                <w:sz w:val="22"/>
                <w:szCs w:val="22"/>
                <w:lang w:bidi="ar"/>
              </w:rPr>
              <w:t>满足采购文件要求得</w:t>
            </w:r>
            <w:r>
              <w:rPr>
                <w:rFonts w:hint="eastAsia" w:ascii="宋体" w:hAnsi="宋体" w:eastAsia="宋体" w:cs="宋体"/>
                <w:b/>
                <w:bCs/>
                <w:color w:val="000000"/>
                <w:kern w:val="0"/>
                <w:sz w:val="22"/>
                <w:szCs w:val="22"/>
                <w:lang w:val="en-US" w:eastAsia="zh-CN" w:bidi="ar"/>
              </w:rPr>
              <w:t>2.4</w:t>
            </w:r>
            <w:r>
              <w:rPr>
                <w:rFonts w:hint="eastAsia" w:ascii="宋体" w:hAnsi="宋体" w:eastAsia="宋体" w:cs="宋体"/>
                <w:b/>
                <w:bCs/>
                <w:color w:val="000000"/>
                <w:kern w:val="0"/>
                <w:sz w:val="22"/>
                <w:szCs w:val="22"/>
                <w:lang w:bidi="ar"/>
              </w:rPr>
              <w:t>分，根据合理性、针对性情况加 0-</w:t>
            </w:r>
            <w:r>
              <w:rPr>
                <w:rFonts w:hint="eastAsia" w:ascii="宋体" w:hAnsi="宋体" w:eastAsia="宋体" w:cs="宋体"/>
                <w:b/>
                <w:bCs/>
                <w:color w:val="000000"/>
                <w:kern w:val="0"/>
                <w:sz w:val="22"/>
                <w:szCs w:val="22"/>
                <w:lang w:val="en-US" w:eastAsia="zh-CN" w:bidi="ar"/>
              </w:rPr>
              <w:t>1.6</w:t>
            </w:r>
            <w:r>
              <w:rPr>
                <w:rFonts w:hint="eastAsia" w:ascii="宋体" w:hAnsi="宋体" w:eastAsia="宋体" w:cs="宋体"/>
                <w:b/>
                <w:bCs/>
                <w:color w:val="000000"/>
                <w:kern w:val="0"/>
                <w:sz w:val="22"/>
                <w:szCs w:val="22"/>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pPr>
              <w:spacing w:line="380" w:lineRule="atLeast"/>
              <w:jc w:val="center"/>
              <w:rPr>
                <w:rFonts w:ascii="Times New Roman" w:hAnsi="Times New Roman" w:cs="Times New Roman"/>
                <w:szCs w:val="21"/>
              </w:rPr>
            </w:pPr>
          </w:p>
        </w:tc>
        <w:tc>
          <w:tcPr>
            <w:tcW w:w="1635" w:type="dxa"/>
            <w:vMerge w:val="continue"/>
            <w:vAlign w:val="center"/>
          </w:tcPr>
          <w:p>
            <w:pPr>
              <w:spacing w:line="380" w:lineRule="atLeast"/>
              <w:jc w:val="center"/>
              <w:rPr>
                <w:rFonts w:ascii="Times New Roman" w:hAnsi="Times New Roman" w:cs="Times New Roman"/>
                <w:szCs w:val="21"/>
              </w:rPr>
            </w:pPr>
          </w:p>
        </w:tc>
        <w:tc>
          <w:tcPr>
            <w:tcW w:w="1005" w:type="dxa"/>
            <w:vMerge w:val="continue"/>
            <w:vAlign w:val="center"/>
          </w:tcPr>
          <w:p>
            <w:pPr>
              <w:spacing w:line="380" w:lineRule="atLeast"/>
              <w:jc w:val="right"/>
              <w:rPr>
                <w:rFonts w:ascii="Times New Roman" w:hAnsi="Times New Roman" w:cs="Times New Roman"/>
                <w:szCs w:val="21"/>
                <w:u w:val="single"/>
              </w:rPr>
            </w:pPr>
          </w:p>
        </w:tc>
        <w:tc>
          <w:tcPr>
            <w:tcW w:w="1453" w:type="dxa"/>
            <w:vAlign w:val="center"/>
          </w:tcPr>
          <w:p>
            <w:pPr>
              <w:widowControl/>
              <w:jc w:val="center"/>
            </w:pPr>
            <w:r>
              <w:rPr>
                <w:rFonts w:hint="eastAsia" w:ascii="宋体" w:hAnsi="宋体" w:eastAsia="宋体" w:cs="宋体"/>
                <w:color w:val="000000"/>
                <w:kern w:val="0"/>
                <w:szCs w:val="21"/>
                <w:lang w:bidi="ar"/>
              </w:rPr>
              <w:t>合理化建</w:t>
            </w:r>
          </w:p>
          <w:p>
            <w:pPr>
              <w:widowControl/>
              <w:jc w:val="center"/>
              <w:rPr>
                <w:rFonts w:ascii="Times New Roman" w:hAnsi="Times New Roman" w:cs="Times New Roman"/>
                <w:szCs w:val="21"/>
              </w:rPr>
            </w:pPr>
            <w:r>
              <w:rPr>
                <w:rFonts w:hint="eastAsia" w:ascii="宋体" w:hAnsi="宋体" w:eastAsia="宋体" w:cs="宋体"/>
                <w:color w:val="000000"/>
                <w:kern w:val="0"/>
                <w:szCs w:val="21"/>
                <w:lang w:bidi="ar"/>
              </w:rPr>
              <w:t>议</w:t>
            </w:r>
          </w:p>
        </w:tc>
        <w:tc>
          <w:tcPr>
            <w:tcW w:w="1133" w:type="dxa"/>
            <w:vAlign w:val="center"/>
          </w:tcPr>
          <w:p>
            <w:pPr>
              <w:spacing w:line="380" w:lineRule="atLeast"/>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4</w:t>
            </w:r>
          </w:p>
        </w:tc>
        <w:tc>
          <w:tcPr>
            <w:tcW w:w="2818" w:type="dxa"/>
            <w:vAlign w:val="top"/>
          </w:tcPr>
          <w:p>
            <w:pPr>
              <w:widowControl/>
              <w:jc w:val="both"/>
            </w:pPr>
            <w:r>
              <w:rPr>
                <w:rFonts w:hint="eastAsia"/>
              </w:rPr>
              <w:t>针对本项目实际，结合以往类似工程管理经验， 对本项目提出合理化建议。</w:t>
            </w:r>
          </w:p>
          <w:p>
            <w:pPr>
              <w:pStyle w:val="2"/>
              <w:jc w:val="both"/>
            </w:pPr>
            <w:r>
              <w:rPr>
                <w:rFonts w:hint="eastAsia" w:ascii="宋体" w:hAnsi="宋体" w:eastAsia="宋体" w:cs="宋体"/>
                <w:b/>
                <w:bCs/>
                <w:color w:val="000000"/>
                <w:kern w:val="0"/>
                <w:sz w:val="22"/>
                <w:szCs w:val="22"/>
                <w:lang w:bidi="ar"/>
              </w:rPr>
              <w:t>满足采购文件要求得</w:t>
            </w:r>
            <w:r>
              <w:rPr>
                <w:rFonts w:hint="eastAsia" w:ascii="宋体" w:hAnsi="宋体" w:eastAsia="宋体" w:cs="宋体"/>
                <w:b/>
                <w:bCs/>
                <w:color w:val="000000"/>
                <w:kern w:val="0"/>
                <w:sz w:val="22"/>
                <w:szCs w:val="22"/>
                <w:lang w:val="en-US" w:eastAsia="zh-CN" w:bidi="ar"/>
              </w:rPr>
              <w:t>2.4</w:t>
            </w:r>
            <w:r>
              <w:rPr>
                <w:rFonts w:hint="eastAsia" w:ascii="宋体" w:hAnsi="宋体" w:eastAsia="宋体" w:cs="宋体"/>
                <w:b/>
                <w:bCs/>
                <w:color w:val="000000"/>
                <w:kern w:val="0"/>
                <w:sz w:val="22"/>
                <w:szCs w:val="22"/>
                <w:lang w:bidi="ar"/>
              </w:rPr>
              <w:t>分，根据合理性、针对性情况加 0-</w:t>
            </w:r>
            <w:r>
              <w:rPr>
                <w:rFonts w:hint="eastAsia" w:ascii="宋体" w:hAnsi="宋体" w:eastAsia="宋体" w:cs="宋体"/>
                <w:b/>
                <w:bCs/>
                <w:color w:val="000000"/>
                <w:kern w:val="0"/>
                <w:sz w:val="22"/>
                <w:szCs w:val="22"/>
                <w:lang w:val="en-US" w:eastAsia="zh-CN" w:bidi="ar"/>
              </w:rPr>
              <w:t>1.6</w:t>
            </w:r>
            <w:r>
              <w:rPr>
                <w:rFonts w:hint="eastAsia" w:ascii="宋体" w:hAnsi="宋体" w:eastAsia="宋体" w:cs="宋体"/>
                <w:b/>
                <w:bCs/>
                <w:color w:val="000000"/>
                <w:kern w:val="0"/>
                <w:sz w:val="22"/>
                <w:szCs w:val="22"/>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Align w:val="center"/>
          </w:tcPr>
          <w:p>
            <w:pPr>
              <w:spacing w:line="380" w:lineRule="atLeast"/>
              <w:jc w:val="center"/>
              <w:rPr>
                <w:rFonts w:ascii="Times New Roman" w:hAnsi="Times New Roman" w:cs="Times New Roman"/>
                <w:szCs w:val="21"/>
              </w:rPr>
            </w:pPr>
            <w:r>
              <w:rPr>
                <w:rFonts w:ascii="Times New Roman" w:hAnsi="Times New Roman" w:cs="Times New Roman"/>
                <w:szCs w:val="21"/>
              </w:rPr>
              <w:t>2.2.4</w:t>
            </w:r>
            <w:r>
              <w:rPr>
                <w:rFonts w:hint="eastAsia" w:ascii="Times New Roman" w:hAnsi="Times New Roman" w:cs="Times New Roman"/>
                <w:szCs w:val="21"/>
              </w:rPr>
              <w:t>（</w:t>
            </w:r>
            <w:r>
              <w:rPr>
                <w:rFonts w:hint="eastAsia" w:ascii="Times New Roman" w:hAnsi="Times New Roman" w:cs="Times New Roman"/>
                <w:szCs w:val="21"/>
                <w:lang w:val="en-US" w:eastAsia="zh-CN"/>
              </w:rPr>
              <w:t>3</w:t>
            </w:r>
            <w:r>
              <w:rPr>
                <w:rFonts w:hint="eastAsia" w:ascii="Times New Roman" w:hAnsi="Times New Roman" w:cs="Times New Roman"/>
                <w:szCs w:val="21"/>
              </w:rPr>
              <w:t>）</w:t>
            </w:r>
          </w:p>
        </w:tc>
        <w:tc>
          <w:tcPr>
            <w:tcW w:w="1635" w:type="dxa"/>
            <w:vAlign w:val="center"/>
          </w:tcPr>
          <w:p>
            <w:pPr>
              <w:spacing w:line="380" w:lineRule="atLeast"/>
              <w:jc w:val="center"/>
              <w:rPr>
                <w:rFonts w:ascii="Times New Roman" w:hAnsi="Times New Roman" w:cs="Times New Roman"/>
                <w:szCs w:val="21"/>
              </w:rPr>
            </w:pPr>
            <w:r>
              <w:rPr>
                <w:rFonts w:ascii="Times New Roman" w:hAnsi="Times New Roman" w:cs="Times New Roman"/>
                <w:szCs w:val="21"/>
              </w:rPr>
              <w:t>评审价</w:t>
            </w:r>
          </w:p>
          <w:p>
            <w:pPr>
              <w:spacing w:line="380" w:lineRule="atLeast"/>
              <w:jc w:val="center"/>
              <w:rPr>
                <w:rFonts w:ascii="Times New Roman" w:hAnsi="Times New Roman" w:cs="Times New Roman"/>
                <w:szCs w:val="21"/>
              </w:rPr>
            </w:pPr>
          </w:p>
        </w:tc>
        <w:tc>
          <w:tcPr>
            <w:tcW w:w="1005" w:type="dxa"/>
            <w:vAlign w:val="center"/>
          </w:tcPr>
          <w:p>
            <w:pPr>
              <w:spacing w:line="380" w:lineRule="atLeast"/>
              <w:jc w:val="right"/>
              <w:rPr>
                <w:rFonts w:ascii="Times New Roman" w:hAnsi="Times New Roman" w:cs="Times New Roman"/>
                <w:szCs w:val="21"/>
              </w:rPr>
            </w:pPr>
            <w:r>
              <w:rPr>
                <w:rFonts w:hint="eastAsia" w:ascii="Times New Roman" w:hAnsi="Times New Roman" w:cs="Times New Roman"/>
                <w:szCs w:val="21"/>
                <w:u w:val="single"/>
              </w:rPr>
              <w:t>70</w:t>
            </w:r>
            <w:r>
              <w:rPr>
                <w:rFonts w:ascii="Times New Roman" w:hAnsi="Times New Roman" w:cs="Times New Roman"/>
                <w:szCs w:val="21"/>
              </w:rPr>
              <w:t>分</w:t>
            </w:r>
          </w:p>
        </w:tc>
        <w:tc>
          <w:tcPr>
            <w:tcW w:w="5404" w:type="dxa"/>
            <w:gridSpan w:val="3"/>
            <w:shd w:val="clear" w:color="auto" w:fill="auto"/>
          </w:tcPr>
          <w:p>
            <w:pPr>
              <w:spacing w:line="380" w:lineRule="atLeast"/>
              <w:rPr>
                <w:rFonts w:ascii="Times New Roman" w:hAnsi="Times New Roman" w:cs="Times New Roman"/>
                <w:szCs w:val="21"/>
              </w:rPr>
            </w:pPr>
            <w:r>
              <w:rPr>
                <w:rFonts w:ascii="Times New Roman" w:hAnsi="Times New Roman" w:cs="Times New Roman"/>
                <w:szCs w:val="21"/>
              </w:rPr>
              <w:t>评审价得分计算公式示例：</w:t>
            </w:r>
          </w:p>
          <w:p>
            <w:pPr>
              <w:spacing w:line="380" w:lineRule="atLeast"/>
              <w:rPr>
                <w:rFonts w:ascii="Times New Roman" w:hAnsi="Times New Roman" w:cs="Times New Roman"/>
                <w:szCs w:val="21"/>
              </w:rPr>
            </w:pPr>
            <w:r>
              <w:rPr>
                <w:rFonts w:ascii="Times New Roman" w:hAnsi="Times New Roman" w:cs="Times New Roman"/>
                <w:szCs w:val="21"/>
              </w:rPr>
              <w:t>（1）如果供应商的评审价&gt;评审基准价，则评审价得分＝F－偏差率×100× E</w:t>
            </w:r>
            <w:r>
              <w:rPr>
                <w:rFonts w:ascii="Times New Roman" w:hAnsi="Times New Roman" w:cs="Times New Roman"/>
                <w:szCs w:val="21"/>
                <w:vertAlign w:val="subscript"/>
              </w:rPr>
              <w:t>1</w:t>
            </w:r>
            <w:r>
              <w:rPr>
                <w:rFonts w:ascii="Times New Roman" w:hAnsi="Times New Roman" w:cs="Times New Roman"/>
                <w:szCs w:val="21"/>
              </w:rPr>
              <w:t>；</w:t>
            </w:r>
          </w:p>
          <w:p>
            <w:pPr>
              <w:spacing w:line="380" w:lineRule="atLeast"/>
              <w:rPr>
                <w:rFonts w:ascii="Times New Roman" w:hAnsi="Times New Roman" w:cs="Times New Roman"/>
                <w:szCs w:val="21"/>
              </w:rPr>
            </w:pPr>
            <w:r>
              <w:rPr>
                <w:rFonts w:ascii="Times New Roman" w:hAnsi="Times New Roman" w:cs="Times New Roman"/>
                <w:szCs w:val="21"/>
              </w:rPr>
              <w:t>（2）如果供应商的评审价≤评审基准价，则评审价得分＝F＋偏差率× 100× E</w:t>
            </w:r>
            <w:r>
              <w:rPr>
                <w:rFonts w:ascii="Times New Roman" w:hAnsi="Times New Roman" w:cs="Times New Roman"/>
                <w:szCs w:val="21"/>
                <w:vertAlign w:val="subscript"/>
              </w:rPr>
              <w:t>2</w:t>
            </w:r>
            <w:r>
              <w:rPr>
                <w:rFonts w:ascii="Times New Roman" w:hAnsi="Times New Roman" w:cs="Times New Roman"/>
                <w:szCs w:val="21"/>
              </w:rPr>
              <w:t>。</w:t>
            </w:r>
          </w:p>
          <w:p>
            <w:pPr>
              <w:spacing w:line="380" w:lineRule="atLeast"/>
              <w:rPr>
                <w:rFonts w:ascii="Times New Roman" w:hAnsi="Times New Roman" w:cs="Times New Roman"/>
                <w:szCs w:val="21"/>
              </w:rPr>
            </w:pPr>
            <w:r>
              <w:rPr>
                <w:rFonts w:ascii="Times New Roman" w:hAnsi="Times New Roman" w:cs="Times New Roman"/>
                <w:szCs w:val="21"/>
              </w:rPr>
              <w:t>其中：F是评审价所占的权重分值，E</w:t>
            </w:r>
            <w:r>
              <w:rPr>
                <w:rFonts w:ascii="Times New Roman" w:hAnsi="Times New Roman" w:cs="Times New Roman"/>
                <w:szCs w:val="21"/>
                <w:vertAlign w:val="subscript"/>
              </w:rPr>
              <w:t>1</w:t>
            </w:r>
            <w:r>
              <w:rPr>
                <w:rFonts w:ascii="Times New Roman" w:hAnsi="Times New Roman" w:cs="Times New Roman"/>
                <w:szCs w:val="21"/>
              </w:rPr>
              <w:t>是评审价每高于评审基准价一个百分点的扣分值，E</w:t>
            </w:r>
            <w:r>
              <w:rPr>
                <w:rFonts w:ascii="Times New Roman" w:hAnsi="Times New Roman" w:cs="Times New Roman"/>
                <w:szCs w:val="21"/>
                <w:vertAlign w:val="subscript"/>
              </w:rPr>
              <w:t>2</w:t>
            </w:r>
            <w:r>
              <w:rPr>
                <w:rFonts w:ascii="Times New Roman" w:hAnsi="Times New Roman" w:cs="Times New Roman"/>
                <w:szCs w:val="21"/>
              </w:rPr>
              <w:t>是评审价每低于评审基准价一个百分点的扣分值；E1</w:t>
            </w:r>
            <w:r>
              <w:rPr>
                <w:rFonts w:hint="eastAsia" w:ascii="Times New Roman" w:hAnsi="Times New Roman" w:cs="Times New Roman"/>
                <w:szCs w:val="21"/>
              </w:rPr>
              <w:t>=2</w:t>
            </w:r>
            <w:r>
              <w:rPr>
                <w:rFonts w:ascii="Times New Roman" w:hAnsi="Times New Roman" w:cs="Times New Roman"/>
                <w:szCs w:val="21"/>
              </w:rPr>
              <w:t>、E2</w:t>
            </w:r>
            <w:r>
              <w:rPr>
                <w:rFonts w:hint="eastAsia" w:ascii="Times New Roman" w:hAnsi="Times New Roman" w:cs="Times New Roman"/>
                <w:szCs w:val="21"/>
              </w:rPr>
              <w:t>=1。评审价得分最低为0分。</w:t>
            </w:r>
          </w:p>
        </w:tc>
      </w:tr>
    </w:tbl>
    <w:p>
      <w:pPr>
        <w:adjustRightInd w:val="0"/>
        <w:snapToGrid w:val="0"/>
        <w:spacing w:line="360" w:lineRule="auto"/>
        <w:ind w:firstLine="640" w:firstLineChars="200"/>
        <w:rPr>
          <w:rFonts w:hint="eastAsia" w:ascii="仿宋" w:hAnsi="仿宋" w:eastAsia="仿宋" w:cs="仿宋_GB2312"/>
          <w:b/>
          <w:bCs/>
          <w:kern w:val="0"/>
          <w:sz w:val="32"/>
          <w:szCs w:val="32"/>
        </w:rPr>
      </w:pPr>
    </w:p>
    <w:p>
      <w:pPr>
        <w:widowControl/>
        <w:jc w:val="left"/>
        <w:rPr>
          <w:rFonts w:ascii="Times New Roman" w:hAnsi="Times New Roman" w:cs="Times New Roman"/>
          <w:szCs w:val="21"/>
        </w:rPr>
      </w:pP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pPr>
        <w:spacing w:line="440" w:lineRule="exact"/>
        <w:ind w:firstLine="420"/>
        <w:rPr>
          <w:rFonts w:ascii="Times New Roman" w:hAnsi="Times New Roman" w:cs="Times New Roman"/>
        </w:rPr>
      </w:pPr>
      <w:r>
        <w:rPr>
          <w:rFonts w:ascii="Times New Roman" w:hAnsi="Times New Roman" w:cs="Times New Roman"/>
        </w:rPr>
        <w:t>本次评审采用综合评分法。</w:t>
      </w:r>
      <w:r>
        <w:rPr>
          <w:rFonts w:hint="eastAsia" w:ascii="Times New Roman" w:hAnsi="Times New Roman" w:cs="Times New Roman"/>
        </w:rPr>
        <w:t>评审小组</w:t>
      </w:r>
      <w:r>
        <w:rPr>
          <w:rFonts w:ascii="Times New Roman" w:hAnsi="Times New Roman" w:cs="Times New Roman"/>
        </w:rPr>
        <w:t>对满足询比文件实质性要求的响应文件按照本章第2.2款规定的评分标准进行打分，按照得分由高到低依次推荐成交候选人。如得分相同的，按照评审办法前附表中的规定确定成交候选人顺序。</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pPr>
        <w:spacing w:line="440" w:lineRule="exact"/>
        <w:ind w:firstLine="420"/>
        <w:rPr>
          <w:rFonts w:ascii="Times New Roman" w:hAnsi="Times New Roman" w:cs="Times New Roman"/>
        </w:rPr>
      </w:pPr>
      <w:r>
        <w:rPr>
          <w:rFonts w:ascii="Times New Roman" w:hAnsi="Times New Roman" w:cs="Times New Roman"/>
        </w:rPr>
        <w:t>2.2.1分值构成：</w:t>
      </w:r>
    </w:p>
    <w:p>
      <w:pPr>
        <w:spacing w:line="440" w:lineRule="exact"/>
        <w:ind w:firstLine="420"/>
        <w:rPr>
          <w:rFonts w:ascii="Times New Roman" w:hAnsi="Times New Roman" w:cs="Times New Roman"/>
        </w:rPr>
      </w:pPr>
      <w:r>
        <w:rPr>
          <w:rFonts w:ascii="Times New Roman" w:hAnsi="Times New Roman" w:cs="Times New Roman"/>
        </w:rPr>
        <w:t>（1）项目管理机构：见评审办法前附表；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其他</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施工组织设计</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2.2.2 评审基准价计算</w:t>
      </w:r>
    </w:p>
    <w:p>
      <w:pPr>
        <w:spacing w:line="440" w:lineRule="exact"/>
        <w:ind w:firstLine="420"/>
        <w:rPr>
          <w:rFonts w:ascii="Times New Roman" w:hAnsi="Times New Roman" w:cs="Times New Roman"/>
        </w:rPr>
      </w:pPr>
      <w:r>
        <w:rPr>
          <w:rFonts w:ascii="Times New Roman" w:hAnsi="Times New Roman" w:cs="Times New Roman"/>
        </w:rPr>
        <w:t>评审基准价计算方法：见评审办法前附表。</w:t>
      </w:r>
    </w:p>
    <w:p>
      <w:pPr>
        <w:spacing w:line="440" w:lineRule="exact"/>
        <w:ind w:firstLine="420"/>
        <w:rPr>
          <w:rFonts w:ascii="Times New Roman" w:hAnsi="Times New Roman" w:cs="Times New Roman"/>
        </w:rPr>
      </w:pPr>
      <w:r>
        <w:rPr>
          <w:rFonts w:ascii="Times New Roman" w:hAnsi="Times New Roman" w:cs="Times New Roman"/>
        </w:rPr>
        <w:t>2.2.3 评审价的偏差率计算</w:t>
      </w:r>
    </w:p>
    <w:p>
      <w:pPr>
        <w:spacing w:line="440" w:lineRule="exact"/>
        <w:ind w:firstLine="420"/>
        <w:rPr>
          <w:rFonts w:ascii="Times New Roman" w:hAnsi="Times New Roman" w:cs="Times New Roman"/>
        </w:rPr>
      </w:pPr>
      <w:r>
        <w:rPr>
          <w:rFonts w:ascii="Times New Roman" w:hAnsi="Times New Roman" w:cs="Times New Roman"/>
        </w:rPr>
        <w:t>评审价的偏差率计算公式：见评审办法前附表。</w:t>
      </w:r>
    </w:p>
    <w:p>
      <w:pPr>
        <w:spacing w:line="440" w:lineRule="exact"/>
        <w:ind w:firstLine="420"/>
        <w:rPr>
          <w:rFonts w:ascii="Times New Roman" w:hAnsi="Times New Roman" w:cs="Times New Roman"/>
        </w:rPr>
      </w:pPr>
      <w:r>
        <w:rPr>
          <w:rFonts w:ascii="Times New Roman" w:hAnsi="Times New Roman" w:cs="Times New Roman"/>
        </w:rPr>
        <w:t>2.2.4评分标准：</w:t>
      </w:r>
    </w:p>
    <w:p>
      <w:pPr>
        <w:spacing w:line="440" w:lineRule="exact"/>
        <w:ind w:firstLine="420"/>
        <w:rPr>
          <w:rFonts w:ascii="Times New Roman" w:hAnsi="Times New Roman" w:cs="Times New Roman"/>
        </w:rPr>
      </w:pPr>
      <w:r>
        <w:rPr>
          <w:rFonts w:ascii="Times New Roman" w:hAnsi="Times New Roman" w:cs="Times New Roman"/>
        </w:rPr>
        <w:t>（1）项目管理机构评分标准：见评审办法前附表；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其他</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施工组织设计</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评分标准：见评审办法前附表。</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响应文件中填报的报价、工期、工程质量标准前后不一致时，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pPr>
        <w:keepNext/>
        <w:keepLines/>
        <w:spacing w:before="120" w:after="120"/>
        <w:outlineLvl w:val="2"/>
        <w:rPr>
          <w:rFonts w:ascii="Times New Roman" w:hAnsi="Times New Roman" w:cs="Times New Roman"/>
          <w:color w:val="000000"/>
        </w:rPr>
      </w:pPr>
      <w:r>
        <w:rPr>
          <w:rFonts w:ascii="Times New Roman" w:hAnsi="Times New Roman" w:eastAsia="黑体" w:cs="Times New Roman"/>
          <w:bCs/>
          <w:sz w:val="24"/>
          <w:szCs w:val="32"/>
        </w:rPr>
        <w:t>3.2 详细评审</w:t>
      </w:r>
    </w:p>
    <w:p>
      <w:pPr>
        <w:spacing w:line="440" w:lineRule="exact"/>
        <w:ind w:firstLine="420"/>
        <w:rPr>
          <w:rFonts w:ascii="Times New Roman" w:hAnsi="Times New Roman" w:cs="Times New Roman"/>
          <w:color w:val="000000"/>
        </w:rPr>
      </w:pPr>
      <w:r>
        <w:rPr>
          <w:rFonts w:ascii="Times New Roman" w:hAnsi="Times New Roman" w:cs="Times New Roman"/>
          <w:color w:val="000000"/>
        </w:rPr>
        <w:t xml:space="preserve">3.2.1 </w:t>
      </w:r>
      <w:r>
        <w:rPr>
          <w:rFonts w:hint="eastAsia" w:ascii="Times New Roman" w:hAnsi="Times New Roman" w:cs="Times New Roman"/>
          <w:color w:val="000000"/>
        </w:rPr>
        <w:t>评审小组</w:t>
      </w:r>
      <w:r>
        <w:rPr>
          <w:rFonts w:ascii="Times New Roman" w:hAnsi="Times New Roman" w:cs="Times New Roman"/>
          <w:color w:val="000000"/>
        </w:rPr>
        <w:t>按本章第2.2款规定的量化因素和分值进行打分，并计算出综合评估得分。</w:t>
      </w:r>
    </w:p>
    <w:p>
      <w:pPr>
        <w:spacing w:line="440" w:lineRule="exact"/>
        <w:ind w:firstLine="420"/>
        <w:rPr>
          <w:rFonts w:ascii="Times New Roman" w:hAnsi="Times New Roman" w:cs="Times New Roman"/>
        </w:rPr>
      </w:pPr>
      <w:r>
        <w:rPr>
          <w:rFonts w:ascii="Times New Roman" w:hAnsi="Times New Roman" w:cs="Times New Roman"/>
        </w:rPr>
        <w:t>（1）按本章第2.2.4(1)目规定的评审因素和分值对</w:t>
      </w:r>
      <w:r>
        <w:rPr>
          <w:rFonts w:hint="eastAsia" w:ascii="Times New Roman" w:hAnsi="Times New Roman" w:cs="Times New Roman"/>
        </w:rPr>
        <w:t>项目管理机构</w:t>
      </w:r>
      <w:r>
        <w:rPr>
          <w:rFonts w:ascii="Times New Roman" w:hAnsi="Times New Roman" w:cs="Times New Roman"/>
        </w:rPr>
        <w:t>计算出得分</w:t>
      </w:r>
      <w:r>
        <w:rPr>
          <w:rFonts w:hint="eastAsia" w:ascii="Times New Roman" w:hAnsi="Times New Roman" w:cs="Times New Roman"/>
        </w:rPr>
        <w:t>I</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（2）按本章第2.2.4(2)目规定的评审因素和分值对</w:t>
      </w:r>
      <w:r>
        <w:rPr>
          <w:rFonts w:hint="eastAsia" w:ascii="Times New Roman" w:hAnsi="Times New Roman" w:cs="Times New Roman"/>
        </w:rPr>
        <w:t>其他</w:t>
      </w:r>
      <w:r>
        <w:rPr>
          <w:rFonts w:ascii="Times New Roman" w:hAnsi="Times New Roman" w:cs="Times New Roman"/>
        </w:rPr>
        <w:t>计算出得分</w:t>
      </w:r>
      <w:r>
        <w:rPr>
          <w:rFonts w:hint="eastAsia" w:ascii="Times New Roman" w:hAnsi="Times New Roman" w:cs="Times New Roman"/>
        </w:rPr>
        <w:t>II</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（3）按本章第2.2.4(3)目规定的评审因素和分值对</w:t>
      </w:r>
      <w:r>
        <w:rPr>
          <w:rFonts w:hint="eastAsia" w:ascii="Times New Roman" w:hAnsi="Times New Roman" w:cs="Times New Roman"/>
        </w:rPr>
        <w:t>施工组织设计</w:t>
      </w:r>
      <w:r>
        <w:rPr>
          <w:rFonts w:ascii="Times New Roman" w:hAnsi="Times New Roman" w:cs="Times New Roman"/>
        </w:rPr>
        <w:t>计算出得分</w:t>
      </w:r>
      <w:r>
        <w:rPr>
          <w:rFonts w:hint="eastAsia" w:ascii="Times New Roman" w:hAnsi="Times New Roman" w:cs="Times New Roman"/>
        </w:rPr>
        <w:t>III</w:t>
      </w:r>
      <w:r>
        <w:rPr>
          <w:rFonts w:ascii="Times New Roman" w:hAnsi="Times New Roman" w:cs="Times New Roman"/>
        </w:rPr>
        <w:t>；</w:t>
      </w:r>
    </w:p>
    <w:p>
      <w:pPr>
        <w:spacing w:line="440" w:lineRule="exact"/>
        <w:ind w:firstLine="420"/>
        <w:rPr>
          <w:rFonts w:ascii="Times New Roman" w:hAnsi="Times New Roman" w:cs="Times New Roman"/>
          <w:color w:val="000000"/>
        </w:rPr>
      </w:pPr>
      <w:r>
        <w:rPr>
          <w:rFonts w:ascii="Times New Roman" w:hAnsi="Times New Roman" w:cs="Times New Roman"/>
        </w:rPr>
        <w:t>（4）按本章第2.2.4(4)目规定的评审因素和分值对</w:t>
      </w:r>
      <w:r>
        <w:rPr>
          <w:rFonts w:hint="eastAsia" w:ascii="Times New Roman" w:hAnsi="Times New Roman" w:cs="Times New Roman"/>
        </w:rPr>
        <w:t>评审价</w:t>
      </w:r>
      <w:r>
        <w:rPr>
          <w:rFonts w:ascii="Times New Roman" w:hAnsi="Times New Roman" w:cs="Times New Roman"/>
        </w:rPr>
        <w:t>计算出得分</w:t>
      </w:r>
      <w:r>
        <w:rPr>
          <w:rFonts w:hint="eastAsia" w:ascii="Times New Roman" w:hAnsi="Times New Roman" w:cs="Times New Roman"/>
        </w:rPr>
        <w:t>IV</w:t>
      </w:r>
      <w:r>
        <w:rPr>
          <w:rFonts w:ascii="Times New Roman" w:hAnsi="Times New Roman" w:cs="Times New Roman"/>
        </w:rPr>
        <w:t>。</w:t>
      </w:r>
    </w:p>
    <w:p>
      <w:pPr>
        <w:spacing w:line="400" w:lineRule="exact"/>
        <w:ind w:firstLine="420" w:firstLineChars="200"/>
        <w:rPr>
          <w:rFonts w:ascii="Times New Roman" w:hAnsi="Times New Roman" w:cs="Times New Roman"/>
          <w:color w:val="000000"/>
        </w:rPr>
      </w:pPr>
      <w:r>
        <w:rPr>
          <w:rFonts w:ascii="Times New Roman" w:hAnsi="Times New Roman" w:cs="Times New Roman"/>
          <w:color w:val="000000"/>
        </w:rPr>
        <w:t>3.2.2 评分分值计算保留小数点后两位，小数点后第三位“四舍五入”。</w:t>
      </w:r>
    </w:p>
    <w:p>
      <w:pPr>
        <w:spacing w:line="400" w:lineRule="exact"/>
        <w:ind w:firstLine="420" w:firstLineChars="200"/>
        <w:rPr>
          <w:rFonts w:ascii="Times New Roman" w:hAnsi="Times New Roman" w:cs="Times New Roman"/>
          <w:color w:val="000000"/>
        </w:rPr>
      </w:pPr>
      <w:r>
        <w:rPr>
          <w:rFonts w:ascii="Times New Roman" w:hAnsi="Times New Roman" w:cs="Times New Roman"/>
          <w:color w:val="000000"/>
        </w:rPr>
        <w:t xml:space="preserve">3.2.3 </w:t>
      </w:r>
      <w:r>
        <w:rPr>
          <w:rFonts w:hint="eastAsia" w:ascii="Times New Roman" w:hAnsi="Times New Roman" w:cs="Times New Roman"/>
          <w:color w:val="000000"/>
        </w:rPr>
        <w:t>评审小组成员对</w:t>
      </w:r>
      <w:r>
        <w:rPr>
          <w:rFonts w:ascii="Times New Roman" w:hAnsi="Times New Roman" w:cs="Times New Roman"/>
          <w:color w:val="000000"/>
        </w:rPr>
        <w:t>供应商</w:t>
      </w:r>
      <w:r>
        <w:rPr>
          <w:rFonts w:hint="eastAsia" w:ascii="Times New Roman" w:hAnsi="Times New Roman" w:cs="Times New Roman"/>
          <w:color w:val="000000"/>
        </w:rPr>
        <w:t>综合评分=I</w:t>
      </w:r>
      <w:r>
        <w:rPr>
          <w:rFonts w:ascii="Times New Roman" w:hAnsi="Times New Roman" w:cs="Times New Roman"/>
          <w:color w:val="000000"/>
        </w:rPr>
        <w:t>+</w:t>
      </w:r>
      <w:r>
        <w:rPr>
          <w:rFonts w:hint="eastAsia" w:ascii="Times New Roman" w:hAnsi="Times New Roman" w:cs="Times New Roman"/>
          <w:color w:val="000000"/>
        </w:rPr>
        <w:t>II</w:t>
      </w:r>
      <w:r>
        <w:rPr>
          <w:rFonts w:ascii="Times New Roman" w:hAnsi="Times New Roman" w:cs="Times New Roman"/>
          <w:color w:val="000000"/>
        </w:rPr>
        <w:t>+</w:t>
      </w:r>
      <w:r>
        <w:rPr>
          <w:rFonts w:hint="eastAsia" w:ascii="Times New Roman" w:hAnsi="Times New Roman" w:cs="Times New Roman"/>
          <w:color w:val="000000"/>
        </w:rPr>
        <w:t>III</w:t>
      </w:r>
      <w:r>
        <w:rPr>
          <w:rFonts w:ascii="Times New Roman" w:hAnsi="Times New Roman" w:cs="Times New Roman"/>
          <w:color w:val="000000"/>
        </w:rPr>
        <w:t>+</w:t>
      </w:r>
      <w:r>
        <w:rPr>
          <w:rFonts w:hint="eastAsia" w:ascii="Times New Roman" w:hAnsi="Times New Roman" w:cs="Times New Roman"/>
          <w:color w:val="000000"/>
        </w:rPr>
        <w:t>IV，供应商最终得分为各评审小组成员评分的算数平均值</w:t>
      </w:r>
      <w:r>
        <w:rPr>
          <w:rFonts w:ascii="Times New Roman" w:hAnsi="Times New Roman" w:cs="Times New Roman"/>
          <w:color w:val="000000"/>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pPr>
        <w:spacing w:line="440" w:lineRule="exact"/>
        <w:ind w:firstLine="420"/>
        <w:rPr>
          <w:rFonts w:ascii="Times New Roman" w:hAnsi="Times New Roman" w:cs="Times New Roman"/>
        </w:rPr>
      </w:pPr>
      <w:r>
        <w:rPr>
          <w:rFonts w:hint="eastAsia" w:ascii="Times New Roman" w:hAnsi="Times New Roman" w:cs="Times New Roman"/>
        </w:rPr>
        <w:t>对在评审过程中发现供应商存在串通报价、弄虚作假、行贿等违法行为的，评审小组应否决其响应文件。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pPr>
        <w:spacing w:line="440" w:lineRule="exact"/>
        <w:ind w:firstLine="420"/>
        <w:rPr>
          <w:rFonts w:ascii="Times New Roman" w:hAnsi="Times New Roman" w:cs="Times New Roman"/>
          <w:strike/>
        </w:rPr>
      </w:pPr>
      <w:r>
        <w:rPr>
          <w:rFonts w:ascii="Times New Roman" w:hAnsi="Times New Roman" w:cs="Times New Roman"/>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评审结果</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完成评审后，应当向采购人提交评审报告。评审报告应当如实记载以下内容：</w:t>
      </w:r>
    </w:p>
    <w:p>
      <w:pPr>
        <w:spacing w:line="440" w:lineRule="exact"/>
        <w:ind w:firstLine="420"/>
        <w:rPr>
          <w:rFonts w:ascii="Times New Roman" w:hAnsi="Times New Roman" w:cs="Times New Roman"/>
        </w:rPr>
      </w:pPr>
      <w:r>
        <w:rPr>
          <w:rFonts w:ascii="Times New Roman" w:hAnsi="Times New Roman" w:cs="Times New Roman"/>
        </w:rPr>
        <w:t>（一）采购项目基本情况</w:t>
      </w:r>
    </w:p>
    <w:p>
      <w:pPr>
        <w:spacing w:line="440" w:lineRule="exact"/>
        <w:ind w:firstLine="420"/>
        <w:rPr>
          <w:rFonts w:ascii="Times New Roman" w:hAnsi="Times New Roman" w:cs="Times New Roman"/>
        </w:rPr>
      </w:pPr>
      <w:r>
        <w:rPr>
          <w:rFonts w:ascii="Times New Roman" w:hAnsi="Times New Roman" w:cs="Times New Roman"/>
        </w:rPr>
        <w:t>（二）采购过程回顾</w:t>
      </w:r>
    </w:p>
    <w:p>
      <w:pPr>
        <w:spacing w:line="440" w:lineRule="exact"/>
        <w:ind w:firstLine="420"/>
        <w:rPr>
          <w:rFonts w:ascii="Times New Roman" w:hAnsi="Times New Roman" w:cs="Times New Roman"/>
        </w:rPr>
      </w:pPr>
      <w:r>
        <w:rPr>
          <w:rFonts w:ascii="Times New Roman" w:hAnsi="Times New Roman" w:cs="Times New Roman"/>
        </w:rPr>
        <w:t>（三）评审小组成员名单</w:t>
      </w:r>
    </w:p>
    <w:p>
      <w:pPr>
        <w:spacing w:line="440" w:lineRule="exact"/>
        <w:ind w:firstLine="420"/>
        <w:rPr>
          <w:rFonts w:ascii="Times New Roman" w:hAnsi="Times New Roman" w:cs="Times New Roman"/>
        </w:rPr>
      </w:pPr>
      <w:r>
        <w:rPr>
          <w:rFonts w:ascii="Times New Roman" w:hAnsi="Times New Roman" w:cs="Times New Roman"/>
        </w:rPr>
        <w:t>（四）询比评审工作</w:t>
      </w:r>
    </w:p>
    <w:p>
      <w:pPr>
        <w:spacing w:line="440" w:lineRule="exact"/>
        <w:ind w:firstLine="420"/>
        <w:rPr>
          <w:rFonts w:ascii="Times New Roman" w:hAnsi="Times New Roman" w:cs="Times New Roman"/>
        </w:rPr>
      </w:pPr>
      <w:r>
        <w:rPr>
          <w:rFonts w:ascii="Times New Roman" w:hAnsi="Times New Roman" w:cs="Times New Roman"/>
        </w:rPr>
        <w:t>1、评审办法</w:t>
      </w:r>
    </w:p>
    <w:p>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详细评审情况（</w:t>
      </w:r>
      <w:r>
        <w:rPr>
          <w:rFonts w:ascii="Times New Roman" w:hAnsi="Times New Roman" w:cs="Times New Roman"/>
        </w:rPr>
        <w:t>供应商的</w:t>
      </w:r>
      <w:r>
        <w:rPr>
          <w:rFonts w:hint="eastAsia" w:ascii="Times New Roman" w:hAnsi="Times New Roman" w:cs="Times New Roman"/>
          <w:color w:val="FF0000"/>
        </w:rPr>
        <w:t>综合</w:t>
      </w:r>
      <w:r>
        <w:rPr>
          <w:rFonts w:ascii="Times New Roman" w:hAnsi="Times New Roman" w:cs="Times New Roman"/>
        </w:rPr>
        <w:t>评分情况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pPr>
        <w:spacing w:line="440" w:lineRule="exact"/>
        <w:ind w:firstLine="420"/>
        <w:rPr>
          <w:rFonts w:ascii="Times New Roman" w:hAnsi="Times New Roman" w:cs="Times New Roman"/>
        </w:rPr>
      </w:pPr>
      <w:r>
        <w:rPr>
          <w:rFonts w:ascii="Times New Roman" w:hAnsi="Times New Roman" w:cs="Times New Roman"/>
        </w:rPr>
        <w:t>5、推荐候选供应商排序</w:t>
      </w:r>
    </w:p>
    <w:p>
      <w:pPr>
        <w:spacing w:line="440" w:lineRule="exact"/>
        <w:ind w:firstLine="420"/>
        <w:rPr>
          <w:rFonts w:ascii="Times New Roman" w:hAnsi="Times New Roman" w:cs="Times New Roman"/>
        </w:rPr>
      </w:pPr>
      <w:r>
        <w:rPr>
          <w:rFonts w:ascii="Times New Roman" w:hAnsi="Times New Roman" w:cs="Times New Roman"/>
        </w:rPr>
        <w:t>（五）需要说明的其他事项</w:t>
      </w:r>
    </w:p>
    <w:p>
      <w:pPr>
        <w:spacing w:line="440" w:lineRule="exact"/>
        <w:ind w:firstLine="420"/>
        <w:rPr>
          <w:rFonts w:ascii="Times New Roman" w:hAnsi="Times New Roman" w:cs="Times New Roman"/>
        </w:rPr>
      </w:pPr>
      <w:r>
        <w:rPr>
          <w:rFonts w:ascii="Times New Roman" w:hAnsi="Times New Roman" w:cs="Times New Roman"/>
        </w:rPr>
        <w:t>（六）评审附表</w:t>
      </w:r>
    </w:p>
    <w:p>
      <w:pPr>
        <w:spacing w:line="440" w:lineRule="exact"/>
        <w:ind w:firstLine="420"/>
        <w:rPr>
          <w:rFonts w:ascii="Times New Roman" w:hAnsi="Times New Roman" w:cs="Times New Roman"/>
        </w:rPr>
      </w:pPr>
      <w:r>
        <w:rPr>
          <w:rFonts w:ascii="Times New Roman" w:hAnsi="Times New Roman" w:cs="Times New Roman"/>
        </w:rPr>
        <w:t>1、响应文件开启记录表</w:t>
      </w:r>
    </w:p>
    <w:p>
      <w:pPr>
        <w:spacing w:line="440" w:lineRule="exact"/>
        <w:ind w:firstLine="420"/>
        <w:rPr>
          <w:rFonts w:ascii="Times New Roman" w:hAnsi="Times New Roman" w:cs="Times New Roman"/>
        </w:rPr>
      </w:pPr>
      <w:r>
        <w:rPr>
          <w:rFonts w:ascii="Times New Roman" w:hAnsi="Times New Roman" w:cs="Times New Roman"/>
        </w:rPr>
        <w:t>2、评审表格</w:t>
      </w:r>
    </w:p>
    <w:p>
      <w:pPr>
        <w:pStyle w:val="2"/>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pStyle w:val="3"/>
        <w:spacing w:before="312" w:after="312"/>
        <w:rPr>
          <w:rFonts w:ascii="Times New Roman" w:hAnsi="Times New Roman" w:eastAsia="黑体" w:cs="Times New Roman"/>
          <w:sz w:val="28"/>
          <w:szCs w:val="28"/>
        </w:rPr>
      </w:pPr>
      <w:r>
        <w:rPr>
          <w:rFonts w:hint="eastAsia" w:ascii="Times New Roman" w:hAnsi="Times New Roman" w:eastAsia="宋体" w:cs="Times New Roman"/>
        </w:rPr>
        <w:t>合同内容</w:t>
      </w:r>
    </w:p>
    <w:p>
      <w:pPr>
        <w:widowControl/>
        <w:ind w:firstLine="210" w:firstLineChars="100"/>
        <w:rPr>
          <w:rFonts w:ascii="黑体" w:eastAsia="黑体"/>
          <w:szCs w:val="21"/>
          <w:u w:val="single"/>
        </w:rPr>
      </w:pPr>
      <w:r>
        <w:rPr>
          <w:rFonts w:hint="eastAsia" w:ascii="黑体" w:eastAsia="黑体"/>
          <w:szCs w:val="21"/>
        </w:rPr>
        <w:t>项目名称：</w:t>
      </w:r>
      <w:r>
        <w:rPr>
          <w:rFonts w:hint="eastAsia" w:ascii="黑体" w:eastAsia="黑体"/>
          <w:szCs w:val="21"/>
          <w:u w:val="single"/>
        </w:rPr>
        <w:t xml:space="preserve">                     </w:t>
      </w:r>
    </w:p>
    <w:p>
      <w:pPr>
        <w:pStyle w:val="2"/>
        <w:rPr>
          <w:rFonts w:ascii="黑体" w:eastAsia="黑体"/>
          <w:szCs w:val="21"/>
        </w:rPr>
      </w:pPr>
    </w:p>
    <w:p>
      <w:pPr>
        <w:pStyle w:val="2"/>
        <w:rPr>
          <w:rFonts w:ascii="黑体" w:eastAsia="黑体"/>
          <w:szCs w:val="21"/>
        </w:rPr>
      </w:pPr>
    </w:p>
    <w:p>
      <w:pPr>
        <w:pStyle w:val="2"/>
        <w:rPr>
          <w:rFonts w:ascii="黑体" w:eastAsia="黑体"/>
          <w:szCs w:val="21"/>
        </w:rPr>
      </w:pPr>
      <w:r>
        <w:rPr>
          <w:rFonts w:hint="eastAsia" w:ascii="黑体" w:eastAsia="黑体"/>
          <w:szCs w:val="21"/>
        </w:rPr>
        <w:t>、</w:t>
      </w: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pStyle w:val="2"/>
        <w:jc w:val="center"/>
        <w:rPr>
          <w:rFonts w:ascii="黑体" w:eastAsia="黑体"/>
          <w:szCs w:val="21"/>
        </w:rPr>
      </w:pPr>
      <w:r>
        <w:rPr>
          <w:rFonts w:hint="eastAsia" w:ascii="黑体" w:eastAsia="黑体"/>
          <w:szCs w:val="21"/>
        </w:rPr>
        <w:t>劳</w:t>
      </w:r>
    </w:p>
    <w:p>
      <w:pPr>
        <w:pStyle w:val="2"/>
        <w:jc w:val="center"/>
        <w:rPr>
          <w:rFonts w:ascii="黑体" w:eastAsia="黑体"/>
          <w:szCs w:val="21"/>
        </w:rPr>
      </w:pPr>
      <w:r>
        <w:rPr>
          <w:rFonts w:hint="eastAsia" w:ascii="黑体" w:eastAsia="黑体"/>
          <w:szCs w:val="21"/>
        </w:rPr>
        <w:t>务</w:t>
      </w:r>
    </w:p>
    <w:p>
      <w:pPr>
        <w:spacing w:line="360" w:lineRule="auto"/>
        <w:jc w:val="center"/>
        <w:rPr>
          <w:rFonts w:ascii="黑体" w:eastAsia="黑体"/>
          <w:szCs w:val="21"/>
        </w:rPr>
      </w:pPr>
      <w:r>
        <w:rPr>
          <w:rFonts w:hint="eastAsia" w:ascii="黑体" w:eastAsia="黑体"/>
          <w:szCs w:val="21"/>
        </w:rPr>
        <w:t>合</w:t>
      </w:r>
    </w:p>
    <w:p>
      <w:pPr>
        <w:spacing w:line="360" w:lineRule="auto"/>
        <w:jc w:val="center"/>
        <w:rPr>
          <w:rFonts w:ascii="黑体" w:eastAsia="黑体"/>
          <w:szCs w:val="21"/>
        </w:rPr>
      </w:pPr>
      <w:r>
        <w:rPr>
          <w:rFonts w:hint="eastAsia" w:ascii="黑体" w:eastAsia="黑体"/>
          <w:szCs w:val="21"/>
        </w:rPr>
        <w:t>同</w:t>
      </w:r>
    </w:p>
    <w:p>
      <w:pPr>
        <w:spacing w:line="360" w:lineRule="auto"/>
        <w:jc w:val="center"/>
        <w:rPr>
          <w:rFonts w:ascii="黑体" w:eastAsia="黑体"/>
          <w:szCs w:val="21"/>
        </w:rPr>
      </w:pPr>
      <w:r>
        <w:rPr>
          <w:rFonts w:hint="eastAsia" w:ascii="黑体" w:eastAsia="黑体"/>
          <w:szCs w:val="21"/>
        </w:rPr>
        <w:t>协</w:t>
      </w:r>
    </w:p>
    <w:p>
      <w:pPr>
        <w:spacing w:line="360" w:lineRule="auto"/>
        <w:jc w:val="center"/>
        <w:rPr>
          <w:rFonts w:ascii="黑体" w:eastAsia="黑体"/>
          <w:szCs w:val="21"/>
        </w:rPr>
      </w:pPr>
      <w:r>
        <w:rPr>
          <w:rFonts w:hint="eastAsia" w:ascii="黑体" w:eastAsia="黑体"/>
          <w:szCs w:val="21"/>
        </w:rPr>
        <w:t>议</w:t>
      </w:r>
    </w:p>
    <w:p>
      <w:pPr>
        <w:spacing w:line="360" w:lineRule="auto"/>
        <w:jc w:val="center"/>
        <w:rPr>
          <w:rFonts w:ascii="黑体" w:eastAsia="黑体"/>
          <w:szCs w:val="21"/>
        </w:rPr>
      </w:pPr>
      <w:r>
        <w:rPr>
          <w:rFonts w:hint="eastAsia" w:ascii="黑体" w:eastAsia="黑体"/>
          <w:szCs w:val="21"/>
        </w:rPr>
        <w:t>书</w:t>
      </w:r>
    </w:p>
    <w:p>
      <w:pPr>
        <w:pStyle w:val="2"/>
        <w:rPr>
          <w:rFonts w:ascii="黑体" w:eastAsia="黑体"/>
          <w:szCs w:val="21"/>
        </w:rPr>
      </w:pPr>
    </w:p>
    <w:p>
      <w:pPr>
        <w:pStyle w:val="2"/>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rPr>
          <w:rFonts w:ascii="黑体" w:eastAsia="黑体"/>
          <w:szCs w:val="21"/>
        </w:rPr>
      </w:pPr>
    </w:p>
    <w:p>
      <w:pPr>
        <w:pStyle w:val="2"/>
        <w:rPr>
          <w:rFonts w:ascii="黑体" w:eastAsia="黑体"/>
          <w:szCs w:val="21"/>
        </w:rPr>
      </w:pPr>
    </w:p>
    <w:p>
      <w:pPr>
        <w:pStyle w:val="2"/>
        <w:rPr>
          <w:rFonts w:ascii="黑体" w:eastAsia="黑体"/>
          <w:szCs w:val="21"/>
        </w:rPr>
      </w:pP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甲方（全称）：</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乙方（全称）： </w:t>
      </w:r>
    </w:p>
    <w:p>
      <w:pPr>
        <w:pStyle w:val="2"/>
        <w:rPr>
          <w:rFonts w:ascii="黑体" w:eastAsia="黑体"/>
          <w:szCs w:val="21"/>
        </w:rPr>
      </w:pPr>
    </w:p>
    <w:p>
      <w:pPr>
        <w:spacing w:line="560" w:lineRule="exact"/>
        <w:jc w:val="center"/>
        <w:rPr>
          <w:rFonts w:ascii="黑体" w:eastAsia="黑体"/>
          <w:szCs w:val="21"/>
        </w:rPr>
        <w:sectPr>
          <w:pgSz w:w="11906" w:h="16838"/>
          <w:pgMar w:top="1440" w:right="1800" w:bottom="1440" w:left="1800" w:header="851" w:footer="992" w:gutter="0"/>
          <w:pgNumType w:fmt="decimal"/>
          <w:cols w:space="425" w:num="1"/>
          <w:docGrid w:type="lines" w:linePitch="312" w:charSpace="0"/>
        </w:sectPr>
      </w:pPr>
    </w:p>
    <w:p>
      <w:pPr>
        <w:spacing w:line="560" w:lineRule="exact"/>
        <w:jc w:val="center"/>
        <w:rPr>
          <w:rFonts w:ascii="黑体" w:eastAsia="黑体"/>
          <w:szCs w:val="21"/>
        </w:rPr>
      </w:pPr>
      <w:r>
        <w:rPr>
          <w:rFonts w:hint="eastAsia" w:ascii="黑体" w:eastAsia="黑体"/>
          <w:szCs w:val="21"/>
        </w:rPr>
        <w:t>劳务合同</w:t>
      </w:r>
    </w:p>
    <w:p>
      <w:pPr>
        <w:spacing w:line="560" w:lineRule="exact"/>
        <w:rPr>
          <w:rFonts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甲方（全称）：</w:t>
      </w:r>
      <w:r>
        <w:rPr>
          <w:rFonts w:hint="eastAsia" w:ascii="仿宋_GB2312" w:hAnsi="仿宋_GB2312" w:eastAsia="仿宋_GB2312" w:cs="仿宋_GB2312"/>
          <w:color w:val="000000"/>
          <w:szCs w:val="21"/>
          <w:u w:val="single"/>
        </w:rPr>
        <w:t xml:space="preserve">                   </w:t>
      </w:r>
    </w:p>
    <w:p>
      <w:pPr>
        <w:spacing w:line="560" w:lineRule="exact"/>
        <w:rPr>
          <w:rFonts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乙方（全称）：</w:t>
      </w:r>
      <w:r>
        <w:rPr>
          <w:rFonts w:hint="eastAsia" w:ascii="仿宋_GB2312" w:hAnsi="仿宋_GB2312" w:eastAsia="仿宋_GB2312" w:cs="仿宋_GB2312"/>
          <w:color w:val="000000"/>
          <w:szCs w:val="21"/>
          <w:u w:val="single"/>
        </w:rPr>
        <w:t xml:space="preserve">                   </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 </w:t>
      </w:r>
    </w:p>
    <w:p>
      <w:pPr>
        <w:wordWrap w:val="0"/>
        <w:topLinePunct/>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为规范项目管理，全面履约，保证对业主各项承诺的兑现，在确保工期、质量、安全文明施工、标准化管理等目标管理的基础上，使该工程取得预期经济、社会效益，在乙方仔细阅读并自愿接受甲方与业主签订的《建设工程施工合同》（以下简称“业主合同”）条款内容约束的基础上，</w:t>
      </w:r>
      <w:r>
        <w:rPr>
          <w:rFonts w:hint="eastAsia" w:ascii="仿宋_GB2312" w:hAnsi="仿宋_GB2312" w:eastAsia="仿宋_GB2312" w:cs="仿宋_GB2312"/>
          <w:color w:val="000000"/>
          <w:szCs w:val="21"/>
        </w:rPr>
        <w:t>根据《中华人民共和国合同法》、《中华人民共和国建筑法》及有关法律规定，遵循平等、自愿、公平和诚实信用的原则，双方就</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color w:val="000000"/>
          <w:szCs w:val="21"/>
        </w:rPr>
        <w:t>施工及有关事项协商一致，共同达成如下协议：</w:t>
      </w:r>
    </w:p>
    <w:p>
      <w:pPr>
        <w:spacing w:line="56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1.项目基本情况</w:t>
      </w:r>
    </w:p>
    <w:p>
      <w:pPr>
        <w:wordWrap w:val="0"/>
        <w:topLinePunct/>
        <w:spacing w:line="560" w:lineRule="exact"/>
        <w:ind w:left="2108" w:leftChars="304" w:hanging="1470" w:hangingChars="700"/>
        <w:jc w:val="left"/>
        <w:rPr>
          <w:rFonts w:ascii="仿宋_GB2312" w:hAnsi="仿宋_GB2312" w:eastAsia="仿宋_GB2312" w:cs="仿宋_GB2312"/>
          <w:szCs w:val="21"/>
          <w:u w:val="single"/>
        </w:rPr>
      </w:pPr>
      <w:r>
        <w:rPr>
          <w:rFonts w:hint="eastAsia" w:ascii="仿宋_GB2312" w:hAnsi="仿宋_GB2312" w:eastAsia="仿宋_GB2312" w:cs="仿宋_GB2312"/>
          <w:szCs w:val="21"/>
        </w:rPr>
        <w:t>1.1项目名称：</w:t>
      </w:r>
      <w:r>
        <w:rPr>
          <w:rFonts w:hint="eastAsia" w:ascii="仿宋_GB2312" w:hAnsi="仿宋_GB2312" w:eastAsia="仿宋_GB2312" w:cs="仿宋_GB2312"/>
          <w:szCs w:val="21"/>
          <w:u w:val="single"/>
        </w:rPr>
        <w:t xml:space="preserve">                        </w:t>
      </w:r>
    </w:p>
    <w:p>
      <w:pPr>
        <w:wordWrap w:val="0"/>
        <w:topLinePunct/>
        <w:spacing w:line="560" w:lineRule="exact"/>
        <w:ind w:left="2108" w:leftChars="304" w:hanging="1470" w:hangingChars="700"/>
        <w:rPr>
          <w:rFonts w:ascii="仿宋_GB2312" w:hAnsi="仿宋_GB2312" w:eastAsia="仿宋_GB2312" w:cs="仿宋_GB2312"/>
          <w:color w:val="000000"/>
          <w:szCs w:val="21"/>
          <w:u w:val="single"/>
        </w:rPr>
      </w:pPr>
      <w:r>
        <w:rPr>
          <w:rFonts w:hint="eastAsia" w:ascii="仿宋_GB2312" w:hAnsi="仿宋_GB2312" w:eastAsia="仿宋_GB2312" w:cs="仿宋_GB2312"/>
          <w:szCs w:val="21"/>
        </w:rPr>
        <w:t>1.2工程地点：</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color w:val="000000"/>
          <w:szCs w:val="21"/>
          <w:u w:val="single"/>
        </w:rPr>
        <w:t xml:space="preserve"> </w:t>
      </w:r>
    </w:p>
    <w:p>
      <w:pPr>
        <w:pStyle w:val="2"/>
        <w:ind w:left="2108" w:leftChars="304" w:hanging="1470" w:hangingChars="700"/>
        <w:rPr>
          <w:rFonts w:ascii="仿宋_GB2312" w:hAnsi="仿宋_GB2312" w:eastAsia="仿宋_GB2312" w:cs="仿宋_GB2312"/>
          <w:bCs/>
          <w:szCs w:val="21"/>
          <w:u w:val="single"/>
        </w:rPr>
      </w:pPr>
      <w:r>
        <w:rPr>
          <w:rFonts w:hint="eastAsia" w:ascii="仿宋_GB2312" w:hAnsi="仿宋_GB2312" w:eastAsia="仿宋_GB2312" w:cs="仿宋_GB2312"/>
          <w:color w:val="000000"/>
          <w:szCs w:val="21"/>
        </w:rPr>
        <w:t>1.3项目概况：</w:t>
      </w:r>
      <w:r>
        <w:rPr>
          <w:rFonts w:hint="eastAsia" w:ascii="仿宋_GB2312" w:hAnsi="仿宋_GB2312" w:eastAsia="仿宋_GB2312" w:cs="仿宋_GB2312"/>
          <w:color w:val="000000"/>
          <w:szCs w:val="21"/>
          <w:u w:val="single"/>
        </w:rPr>
        <w:t xml:space="preserve">                        </w:t>
      </w:r>
    </w:p>
    <w:p>
      <w:pPr>
        <w:wordWrap w:val="0"/>
        <w:topLinePunct/>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1.4合同工期：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bCs/>
          <w:szCs w:val="21"/>
          <w:u w:val="single"/>
        </w:rPr>
        <w:t>满足业主要求</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 xml:space="preserve">  </w:t>
      </w:r>
      <w:r>
        <w:rPr>
          <w:rFonts w:ascii="仿宋_GB2312" w:hAnsi="仿宋_GB2312" w:eastAsia="仿宋_GB2312" w:cs="仿宋_GB2312"/>
          <w:szCs w:val="21"/>
          <w:u w:val="single"/>
        </w:rPr>
        <w:t xml:space="preserve"> </w:t>
      </w:r>
    </w:p>
    <w:p>
      <w:pPr>
        <w:widowControl/>
        <w:wordWrap w:val="0"/>
        <w:topLinePunct/>
        <w:ind w:firstLine="640"/>
        <w:jc w:val="left"/>
        <w:rPr>
          <w:rFonts w:ascii="仿宋_GB2312" w:hAnsi="仿宋_GB2312" w:eastAsia="仿宋_GB2312" w:cs="仿宋_GB2312"/>
          <w:szCs w:val="21"/>
        </w:rPr>
      </w:pPr>
      <w:r>
        <w:rPr>
          <w:rFonts w:hint="eastAsia" w:ascii="仿宋_GB2312" w:hAnsi="仿宋_GB2312" w:eastAsia="仿宋_GB2312" w:cs="仿宋_GB2312"/>
          <w:szCs w:val="21"/>
        </w:rPr>
        <w:t>1.5签约合同价：</w:t>
      </w:r>
      <w:r>
        <w:rPr>
          <w:rFonts w:hint="eastAsia" w:ascii="仿宋_GB2312" w:hAnsi="仿宋_GB2312" w:eastAsia="仿宋_GB2312" w:cs="仿宋_GB2312"/>
          <w:b/>
          <w:bCs/>
          <w:szCs w:val="21"/>
          <w:u w:val="single"/>
        </w:rPr>
        <w:t xml:space="preserve">小写           元（含甲供材金额，最终以审计结算金额为准） </w:t>
      </w:r>
      <w:r>
        <w:rPr>
          <w:rFonts w:hint="eastAsia" w:ascii="仿宋_GB2312" w:hAnsi="仿宋_GB2312" w:eastAsia="仿宋_GB2312" w:cs="仿宋_GB2312"/>
          <w:szCs w:val="21"/>
          <w:u w:val="single"/>
        </w:rPr>
        <w:t>大写： ；每期付款前乙方应提供建设单位财务部门认可的增值税发票，否则甲方有权拒绝付款。</w:t>
      </w:r>
    </w:p>
    <w:p>
      <w:pPr>
        <w:wordWrap w:val="0"/>
        <w:topLinePunct/>
        <w:spacing w:line="560" w:lineRule="exact"/>
        <w:rPr>
          <w:rFonts w:ascii="仿宋_GB2312" w:hAnsi="仿宋_GB2312" w:eastAsia="仿宋_GB2312" w:cs="仿宋_GB2312"/>
          <w:b/>
          <w:szCs w:val="21"/>
          <w:u w:val="single"/>
        </w:rPr>
      </w:pPr>
      <w:r>
        <w:rPr>
          <w:rFonts w:hint="eastAsia" w:ascii="仿宋_GB2312" w:hAnsi="仿宋_GB2312" w:eastAsia="仿宋_GB2312" w:cs="仿宋_GB2312"/>
          <w:szCs w:val="21"/>
        </w:rPr>
        <w:t xml:space="preserve">    1.6工程质量标准：</w:t>
      </w:r>
      <w:r>
        <w:rPr>
          <w:rFonts w:hint="eastAsia" w:ascii="仿宋_GB2312" w:hAnsi="仿宋_GB2312" w:eastAsia="仿宋_GB2312" w:cs="仿宋_GB2312"/>
          <w:szCs w:val="21"/>
          <w:u w:val="single"/>
        </w:rPr>
        <w:t xml:space="preserve">  合格  </w:t>
      </w:r>
    </w:p>
    <w:p>
      <w:pPr>
        <w:spacing w:line="560" w:lineRule="exact"/>
        <w:ind w:firstLine="422" w:firstLineChars="200"/>
        <w:rPr>
          <w:szCs w:val="21"/>
        </w:rPr>
      </w:pPr>
      <w:r>
        <w:rPr>
          <w:rFonts w:hint="eastAsia" w:ascii="仿宋_GB2312" w:hAnsi="仿宋_GB2312" w:eastAsia="仿宋_GB2312" w:cs="仿宋_GB2312"/>
          <w:b/>
          <w:bCs/>
          <w:color w:val="000000"/>
          <w:szCs w:val="21"/>
        </w:rPr>
        <w:t>2.合作方式</w:t>
      </w:r>
    </w:p>
    <w:p>
      <w:pPr>
        <w:pStyle w:val="5"/>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2.1合同模式：</w:t>
      </w:r>
      <w:r>
        <w:rPr>
          <w:rFonts w:hint="eastAsia" w:ascii="仿宋_GB2312" w:hAnsi="仿宋_GB2312" w:eastAsia="仿宋_GB2312" w:cs="仿宋_GB2312"/>
          <w:szCs w:val="21"/>
          <w:u w:val="single"/>
        </w:rPr>
        <w:t>单价合同</w:t>
      </w:r>
      <w:r>
        <w:rPr>
          <w:rFonts w:hint="eastAsia" w:ascii="仿宋_GB2312" w:hAnsi="仿宋_GB2312" w:eastAsia="仿宋_GB2312" w:cs="仿宋_GB2312"/>
          <w:szCs w:val="21"/>
        </w:rPr>
        <w:t>。</w:t>
      </w:r>
    </w:p>
    <w:p>
      <w:pPr>
        <w:pStyle w:val="5"/>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2.2合同文件构成</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本协议书与下列文件一起构成合同文件：</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 xml:space="preserve">（1）本合同及附件（含合同谈判中的澄清文件(若有）、农民工工资及时支付承诺函、安全生产管理协议书、工程质量保修书等）； </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（2）甲方与业主签订的合同文件及</w:t>
      </w:r>
      <w:r>
        <w:rPr>
          <w:rFonts w:ascii="仿宋_GB2312" w:hAnsi="仿宋_GB2312" w:eastAsia="仿宋_GB2312" w:cs="仿宋_GB2312"/>
          <w:szCs w:val="21"/>
        </w:rPr>
        <w:t>有关文件（若多份文件相同内容有不一致处，以有利于甲方的内容为准）</w:t>
      </w:r>
      <w:r>
        <w:rPr>
          <w:rFonts w:hint="eastAsia" w:ascii="仿宋_GB2312" w:hAnsi="仿宋_GB2312" w:eastAsia="仿宋_GB2312" w:cs="仿宋_GB2312"/>
          <w:szCs w:val="21"/>
        </w:rPr>
        <w:t>；</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（3）甲方的各项规章制度以及施工期间发出的所有指示和指令；</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（4）相关技术规范、技术标准。当本合同适用的技术规范、技术标准更新时同时更新并应用于本项目；</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（5）图纸；</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（6）专业分包工程量清单及报价；</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（7）其他合同文件。</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合同在执行过程中，业主、监理、甲方对工程质量、工艺、安全、环境等方面的书面通知和文件、要求及双方签约人的授权委托书均构成合同文件组成部分。上述各项合同文件包含当事人就该项合同文件所作出的补充和修改，属于同一类内容的文件，以最新签署的为准。</w:t>
      </w:r>
    </w:p>
    <w:p>
      <w:pPr>
        <w:tabs>
          <w:tab w:val="center" w:pos="4153"/>
        </w:tabs>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3.甲、乙双方的权利及义务</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3.1</w:t>
      </w:r>
      <w:r>
        <w:rPr>
          <w:rFonts w:hint="eastAsia" w:ascii="仿宋_GB2312" w:hAnsi="仿宋_GB2312" w:eastAsia="仿宋_GB2312" w:cs="仿宋_GB2312"/>
          <w:color w:val="000000"/>
          <w:szCs w:val="21"/>
        </w:rPr>
        <w:t>甲方的权利及义务</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3.1.</w:t>
      </w:r>
      <w:r>
        <w:rPr>
          <w:rFonts w:hint="eastAsia" w:ascii="仿宋_GB2312" w:hAnsi="仿宋_GB2312" w:eastAsia="仿宋_GB2312" w:cs="仿宋_GB2312"/>
          <w:color w:val="000000"/>
          <w:szCs w:val="21"/>
        </w:rPr>
        <w:t>1派出项目经理等主要管理人员</w:t>
      </w:r>
      <w:r>
        <w:rPr>
          <w:rFonts w:hint="eastAsia" w:ascii="仿宋_GB2312" w:hAnsi="仿宋_GB2312" w:eastAsia="仿宋_GB2312" w:cs="仿宋_GB2312"/>
          <w:szCs w:val="21"/>
        </w:rPr>
        <w:t>进行现场管理。</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3.1.</w:t>
      </w:r>
      <w:r>
        <w:rPr>
          <w:rFonts w:hint="eastAsia" w:ascii="仿宋_GB2312" w:hAnsi="仿宋_GB2312" w:eastAsia="仿宋_GB2312" w:cs="仿宋_GB2312"/>
          <w:color w:val="000000"/>
          <w:szCs w:val="21"/>
        </w:rPr>
        <w:t>2负责审查工程专项施工（安全）技术方案、施工管理规划、全面跟踪工程进度、质量技术、安全生产及合同履约工作。</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3.1.</w:t>
      </w:r>
      <w:r>
        <w:rPr>
          <w:rFonts w:hint="eastAsia" w:ascii="仿宋_GB2312" w:hAnsi="仿宋_GB2312" w:eastAsia="仿宋_GB2312" w:cs="仿宋_GB2312"/>
          <w:color w:val="000000"/>
          <w:szCs w:val="21"/>
        </w:rPr>
        <w:t>3对不能满足业主要求的施工项目提出整改措施。</w:t>
      </w:r>
    </w:p>
    <w:p>
      <w:pPr>
        <w:spacing w:line="560" w:lineRule="exact"/>
        <w:ind w:left="319" w:leftChars="152" w:firstLine="210" w:firstLineChars="100"/>
        <w:rPr>
          <w:rFonts w:ascii="仿宋_GB2312" w:hAnsi="仿宋_GB2312" w:eastAsia="仿宋_GB2312" w:cs="仿宋_GB2312"/>
          <w:color w:val="000000"/>
          <w:szCs w:val="21"/>
        </w:rPr>
      </w:pPr>
      <w:r>
        <w:rPr>
          <w:rFonts w:hint="eastAsia" w:ascii="仿宋_GB2312" w:hAnsi="仿宋_GB2312" w:eastAsia="仿宋_GB2312" w:cs="仿宋_GB2312"/>
          <w:szCs w:val="21"/>
        </w:rPr>
        <w:t>3.1.</w:t>
      </w:r>
      <w:r>
        <w:rPr>
          <w:rFonts w:hint="eastAsia" w:ascii="仿宋_GB2312" w:hAnsi="仿宋_GB2312" w:eastAsia="仿宋_GB2312" w:cs="仿宋_GB2312"/>
          <w:color w:val="000000"/>
          <w:szCs w:val="21"/>
        </w:rPr>
        <w:t>4协助乙方进行质量、安全技术交底。负责对乙方的安全生产进行监督、检查；对存在违章行为和事故隐患进行处罚，对安全隐患提出整改要求，对严重违章和存在的重大事故隐患有权要求停止作业。</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3.2</w:t>
      </w:r>
      <w:r>
        <w:rPr>
          <w:rFonts w:hint="eastAsia" w:ascii="仿宋_GB2312" w:hAnsi="仿宋_GB2312" w:eastAsia="仿宋_GB2312" w:cs="仿宋_GB2312"/>
          <w:color w:val="000000"/>
          <w:szCs w:val="21"/>
        </w:rPr>
        <w:t>乙方权利和义务。</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3.2.1乙方服从并严格执行甲方《项目用工管理办法》、《财务管理办法》、《印章使用管理暂行办法》等各项规章制度。</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3.2.2负责与业主、监理单位和设计单位、地方相关部门的接洽和联系，为施工创造良好的环境。</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3.2.3按业主有关要求组织施工,合理配置施工资源，优化施工方案，确保工程进度、工程质量及工程施工安全。</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3.2.4涉及本项目的工程检验或试验，均由乙方负责现场取样、养护、送检等。超出工地中心试验室业务范围的外委试验由乙方负责。</w:t>
      </w:r>
    </w:p>
    <w:p>
      <w:pPr>
        <w:tabs>
          <w:tab w:val="left" w:pos="700"/>
        </w:tabs>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3.2.5乙方投入到本工程的所有机械进出场费、调遣费及临时设施费等一切费用均由乙方承担。</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3.2.6严格按施工组织设计组织施工，保证工程质量符合施工技术规范和验收标准。一旦在施工中发生事故，应立即报告甲方，妥善处理，因事故引发的损失均由乙方自负。</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3.2.7严格执行国家安全生产法规，设立安全组织机构和专职安全员，对所属人员进行安全管理、教育。施工期间，采取安全防护措施，保证安全生产、文明施工，维护甲方在本地区的信誉。</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3.2.8乙方负责地方相关部门的协调联系并应遵守当地的民风、民俗及相关法规。若发生纠纷，乙方应自行解决。</w:t>
      </w:r>
    </w:p>
    <w:p>
      <w:pPr>
        <w:spacing w:line="560" w:lineRule="exact"/>
        <w:ind w:firstLine="420" w:firstLineChars="200"/>
        <w:rPr>
          <w:rFonts w:ascii="仿宋_GB2312" w:hAnsi="仿宋_GB2312" w:eastAsia="仿宋_GB2312" w:cs="仿宋_GB2312"/>
          <w:kern w:val="0"/>
          <w:szCs w:val="21"/>
          <w:lang w:val="zh-CN"/>
        </w:rPr>
      </w:pPr>
      <w:r>
        <w:rPr>
          <w:rFonts w:hint="eastAsia" w:ascii="仿宋_GB2312" w:hAnsi="仿宋_GB2312" w:eastAsia="仿宋_GB2312" w:cs="仿宋_GB2312"/>
          <w:szCs w:val="21"/>
        </w:rPr>
        <w:t>3.2.9</w:t>
      </w:r>
      <w:r>
        <w:rPr>
          <w:rFonts w:hint="eastAsia" w:ascii="仿宋_GB2312" w:hAnsi="仿宋_GB2312" w:eastAsia="仿宋_GB2312" w:cs="仿宋_GB2312"/>
          <w:kern w:val="0"/>
          <w:szCs w:val="21"/>
          <w:lang w:val="zh-CN"/>
        </w:rPr>
        <w:t>乙方负责施工和生活用电用水、通信等，并承担全部费用。乙方现场自行装表上交水电费。</w:t>
      </w:r>
    </w:p>
    <w:p>
      <w:pPr>
        <w:pStyle w:val="7"/>
        <w:spacing w:line="560" w:lineRule="exact"/>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3.2.10乙方不得将分包的工程进行违法再分包。</w:t>
      </w:r>
    </w:p>
    <w:p>
      <w:pPr>
        <w:spacing w:line="560" w:lineRule="exact"/>
        <w:ind w:firstLine="420" w:firstLineChars="200"/>
        <w:rPr>
          <w:rFonts w:ascii="仿宋_GB2312" w:hAnsi="仿宋_GB2312" w:eastAsia="仿宋_GB2312" w:cs="仿宋_GB2312"/>
          <w:b/>
          <w:kern w:val="0"/>
          <w:szCs w:val="21"/>
          <w:u w:val="single"/>
          <w:lang w:val="zh-CN"/>
        </w:rPr>
      </w:pPr>
      <w:r>
        <w:rPr>
          <w:rFonts w:hint="eastAsia" w:ascii="仿宋_GB2312" w:hAnsi="仿宋_GB2312" w:eastAsia="仿宋_GB2312" w:cs="仿宋_GB2312"/>
          <w:szCs w:val="21"/>
        </w:rPr>
        <w:t>3.2.</w:t>
      </w:r>
      <w:r>
        <w:rPr>
          <w:rFonts w:hint="eastAsia" w:ascii="仿宋_GB2312" w:hAnsi="仿宋_GB2312" w:eastAsia="仿宋_GB2312" w:cs="仿宋_GB2312"/>
          <w:kern w:val="0"/>
          <w:szCs w:val="21"/>
          <w:lang w:val="zh-CN"/>
        </w:rPr>
        <w:t>11乙方在项目实施过程中应积极维护甲方的信誉，确保甲方信誉评价不低于A级且不低于项目实施前的信用等级，力争达到当地建设主管部门信用评定最高等级。</w:t>
      </w:r>
    </w:p>
    <w:p>
      <w:pPr>
        <w:spacing w:line="560" w:lineRule="exact"/>
        <w:ind w:firstLine="422" w:firstLineChars="2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4.项目管理的主要内容</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4.1乙方现场主要责任人员管理</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4.1.1乙方主要责任人员的职责:领导、组织、协调、调配各施工队伍，科学配置各项目施工资源,合理组织；按照业主和甲方制定的安全生产目标、进度计划、质量指标完成施工任务。</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为保证项目顺利实施，合同约定的乙方主要责任人员（投标书中报送的人员配备及承诺）必须坚持在施工现场，且每月在现场工作日不得低于26天。乙方主要责任人离开项目前应安排好施工生产，并取得甲方的同意。</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4.1.2乙方配置项目</w:t>
      </w:r>
      <w:r>
        <w:rPr>
          <w:rFonts w:hint="eastAsia" w:ascii="仿宋_GB2312" w:hAnsi="仿宋_GB2312" w:eastAsia="仿宋_GB2312" w:cs="仿宋_GB2312"/>
          <w:color w:val="000000" w:themeColor="text1"/>
          <w:szCs w:val="21"/>
          <w14:textFill>
            <w14:solidFill>
              <w14:schemeClr w14:val="tx1"/>
            </w14:solidFill>
          </w14:textFill>
        </w:rPr>
        <w:t>管理班子</w:t>
      </w:r>
      <w:r>
        <w:rPr>
          <w:rFonts w:hint="eastAsia" w:ascii="仿宋_GB2312" w:hAnsi="仿宋_GB2312" w:eastAsia="仿宋_GB2312" w:cs="仿宋_GB2312"/>
          <w:szCs w:val="21"/>
        </w:rPr>
        <w:t>人员须满足业主履约要求。如因乙方人员不满足业主要求，需向甲方支付违约金（数额同“施工合同”中业主对甲方的处罚）。乙方未经甲方同意不得更换主要责任人员，主要责任人员如不能积极履行乙方义务，甲方有权要求乙方及时调整，如乙方拒不调整，甲方有权解除本合同，因此发生的费用由乙方承担。</w:t>
      </w:r>
    </w:p>
    <w:p>
      <w:pPr>
        <w:spacing w:line="560" w:lineRule="exact"/>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4.2甲方现场主要履约人员管理</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4.2.</w:t>
      </w:r>
      <w:r>
        <w:rPr>
          <w:rFonts w:hint="eastAsia" w:ascii="仿宋_GB2312" w:hAnsi="仿宋_GB2312" w:eastAsia="仿宋_GB2312" w:cs="仿宋_GB2312"/>
          <w:bCs/>
          <w:kern w:val="0"/>
          <w:szCs w:val="21"/>
        </w:rPr>
        <w:t>1</w:t>
      </w:r>
      <w:r>
        <w:rPr>
          <w:rFonts w:hint="eastAsia" w:ascii="仿宋_GB2312" w:hAnsi="仿宋_GB2312" w:eastAsia="仿宋_GB2312" w:cs="仿宋_GB2312"/>
          <w:szCs w:val="21"/>
        </w:rPr>
        <w:t>甲方管理团队的职责：负责与业主的沟通和协调，办理工程结算；对乙方施工的进度、质量、安全、劳务等进行全面督促管理。</w:t>
      </w:r>
    </w:p>
    <w:p>
      <w:pPr>
        <w:spacing w:line="560" w:lineRule="exact"/>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4.3工程进度管理</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4.3.1进度（包括阶段性工期）需以业主合同文件及实施过程中工期要求等相关文件为准。甲方有权视总体进度情况，要求乙方加大人员、材料、机械的投入，乙方必须无条件执行。乙方拒不接受的，甲方有权直接安排人员和设备实施，发生的费用从乙方应得款项中扣除，人工费按300元/人/天计，材料、机械单价按市场信息价计算，并收取所需费用20%的现场管理费。</w:t>
      </w:r>
    </w:p>
    <w:p>
      <w:pPr>
        <w:pStyle w:val="7"/>
        <w:tabs>
          <w:tab w:val="left" w:pos="5790"/>
        </w:tabs>
        <w:spacing w:line="560" w:lineRule="exact"/>
        <w:ind w:firstLine="411" w:firstLineChars="196"/>
        <w:rPr>
          <w:rFonts w:ascii="仿宋_GB2312" w:hAnsi="仿宋_GB2312" w:eastAsia="仿宋_GB2312" w:cs="仿宋_GB2312"/>
          <w:szCs w:val="21"/>
        </w:rPr>
      </w:pPr>
      <w:r>
        <w:rPr>
          <w:rFonts w:hint="eastAsia" w:ascii="仿宋_GB2312" w:hAnsi="仿宋_GB2312" w:eastAsia="仿宋_GB2312" w:cs="仿宋_GB2312"/>
          <w:szCs w:val="21"/>
        </w:rPr>
        <w:t>4.3.2 乙方应按照业主合同要求制定施工总体进度计划、月进度计划，并确保整体进度计划的落实。进度计划编制完毕后，应及时提交甲方项目管理部进行审核。</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4.3.３乙方应按业主要求满足现场需要。若乙方不能按甲方要求导致影响施工进度的，乙方需向甲方支付业主合同文件约定的逾期交工违约金。</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4.3.4乙方负责其施工范围的地方协调工作，在施工期间发生的涉及地方纠纷和阻工造成的经济损失由乙方承担。在乙方无法协调解决影响项目进度时，甲方有权直接协调，在协调中需要支付赔偿或补偿款时，乙方应无条件接受，从工程结算款中直接扣除，乙方不得以此为由怠工、鼓动地方及施工队伍闹事阻碍施工；否则，乙方应按5000元/天标准向甲方支付违约金，甲方并有权解除合同。</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4.3.5乙方应合理安排时间，争取提前完成工作任务。若乙方进度达不到甲方或业主要求，业主向甲方主张逾期交工违约责任的，所有费用由乙方承担，甲方承担违约责任后有权向乙方追偿或者直接在乙方工程款中予以扣除。施工过程中，乙方月实际进度较计划进度累计延滞超过</w:t>
      </w:r>
      <w:r>
        <w:rPr>
          <w:rFonts w:hint="eastAsia" w:ascii="仿宋_GB2312" w:hAnsi="仿宋_GB2312" w:eastAsia="仿宋_GB2312" w:cs="仿宋_GB2312"/>
          <w:szCs w:val="21"/>
          <w:u w:val="single"/>
        </w:rPr>
        <w:t>10</w:t>
      </w:r>
      <w:r>
        <w:rPr>
          <w:rFonts w:hint="eastAsia" w:ascii="仿宋_GB2312" w:hAnsi="仿宋_GB2312" w:eastAsia="仿宋_GB2312" w:cs="仿宋_GB2312"/>
          <w:szCs w:val="21"/>
        </w:rPr>
        <w:t>天时，应向甲方书面解释延滞原因，报整改计划，采取行之有效的挽救措施。累计延滞超过</w:t>
      </w:r>
      <w:r>
        <w:rPr>
          <w:rFonts w:hint="eastAsia" w:ascii="仿宋_GB2312" w:hAnsi="仿宋_GB2312" w:eastAsia="仿宋_GB2312" w:cs="仿宋_GB2312"/>
          <w:szCs w:val="21"/>
          <w:u w:val="single"/>
        </w:rPr>
        <w:t>20</w:t>
      </w:r>
      <w:r>
        <w:rPr>
          <w:rFonts w:hint="eastAsia" w:ascii="仿宋_GB2312" w:hAnsi="仿宋_GB2312" w:eastAsia="仿宋_GB2312" w:cs="仿宋_GB2312"/>
          <w:szCs w:val="21"/>
        </w:rPr>
        <w:t>天时，甲方有权解除本合同，乙方应配合撤场和结算等善后工作，已完工程量按报价7</w:t>
      </w:r>
      <w:r>
        <w:rPr>
          <w:rFonts w:ascii="仿宋_GB2312" w:hAnsi="仿宋_GB2312" w:eastAsia="仿宋_GB2312" w:cs="仿宋_GB2312"/>
          <w:szCs w:val="21"/>
        </w:rPr>
        <w:t>0%</w:t>
      </w:r>
      <w:r>
        <w:rPr>
          <w:rFonts w:hint="eastAsia" w:ascii="仿宋_GB2312" w:hAnsi="仿宋_GB2312" w:eastAsia="仿宋_GB2312" w:cs="仿宋_GB2312"/>
          <w:szCs w:val="21"/>
        </w:rPr>
        <w:t>结算，乙方接受对此没有任何异议。</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4.3.</w:t>
      </w:r>
      <w:r>
        <w:rPr>
          <w:rFonts w:hint="eastAsia" w:ascii="仿宋_GB2312" w:hAnsi="仿宋_GB2312" w:eastAsia="仿宋_GB2312" w:cs="仿宋_GB2312"/>
          <w:color w:val="000000"/>
          <w:szCs w:val="21"/>
        </w:rPr>
        <w:t xml:space="preserve">6 </w:t>
      </w:r>
      <w:r>
        <w:rPr>
          <w:rFonts w:hint="eastAsia" w:ascii="仿宋_GB2312" w:hAnsi="仿宋_GB2312" w:eastAsia="仿宋_GB2312" w:cs="仿宋_GB2312"/>
          <w:szCs w:val="21"/>
        </w:rPr>
        <w:t>如业主要求提前竣工，乙方接到通知后应遵照执行。发生的赶工费用，经业主同意并支付后，甲方按本合同约定的支付办法予以支付；如业主不支付赶工费用的，乙方不得向甲方主张。</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4.3.7 乙方应充分考虑因不可抗拒的自然灾害和工程款不到位、图纸资料延误以及设计变更等可能引起乙方停工、窝工的风险，因此而发生的乙方人员、设备等误工费用均由乙方承担。</w:t>
      </w:r>
      <w:r>
        <w:rPr>
          <w:rFonts w:hint="eastAsia" w:ascii="仿宋_GB2312" w:hAnsi="仿宋_GB2312" w:eastAsia="仿宋_GB2312" w:cs="仿宋_GB2312"/>
          <w:szCs w:val="21"/>
          <w:u w:val="single"/>
        </w:rPr>
        <w:t>乙方有权依据业主合同文件及时收集有关资料，以甲方名义向业主主张工期索赔和费用索赔，甲方应予以配合，向业主主张权利发生的费用由乙方承担。</w:t>
      </w:r>
      <w:r>
        <w:rPr>
          <w:rFonts w:hint="eastAsia" w:ascii="仿宋_GB2312" w:hAnsi="仿宋_GB2312" w:eastAsia="仿宋_GB2312" w:cs="仿宋_GB2312"/>
          <w:szCs w:val="21"/>
        </w:rPr>
        <w:t>如业主不同意补偿费用和工期顺延，乙方不得向甲方主张补偿或工期顺延权利。</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4.4</w:t>
      </w:r>
      <w:r>
        <w:rPr>
          <w:rFonts w:hint="eastAsia" w:ascii="仿宋_GB2312" w:hAnsi="仿宋_GB2312" w:eastAsia="仿宋_GB2312" w:cs="仿宋_GB2312"/>
          <w:color w:val="000000"/>
          <w:szCs w:val="21"/>
        </w:rPr>
        <w:t>工程质量管理</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4.4.1质量标准：执行行业主管部门颁发的质量标准，并无条件地执行业主和甲方签订的合同规定的质量标准、规范及业主、监理、甲方为了保证本项目工程质量和要求而执行的其他技术标准、规范。</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4.4.2本项目工程的质量目标为：a.分项工程合格率100%；b.确保竣工验收达到</w:t>
      </w:r>
      <w:r>
        <w:rPr>
          <w:rFonts w:hint="eastAsia" w:ascii="仿宋_GB2312" w:hAnsi="仿宋_GB2312" w:eastAsia="仿宋_GB2312" w:cs="仿宋_GB2312"/>
          <w:szCs w:val="21"/>
          <w:u w:val="single"/>
        </w:rPr>
        <w:t>合格</w:t>
      </w:r>
      <w:r>
        <w:rPr>
          <w:rFonts w:hint="eastAsia" w:ascii="仿宋_GB2312" w:hAnsi="仿宋_GB2312" w:eastAsia="仿宋_GB2312" w:cs="仿宋_GB2312"/>
          <w:szCs w:val="21"/>
        </w:rPr>
        <w:t>工程；c.无质量安全责任事故。乙方不能实现质量目标时，甲方有权扣除乙方的质量保证金。</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4.4.3乙方始终对所承包的工程质量安全负责，并将现场技术人员</w:t>
      </w:r>
      <w:r>
        <w:rPr>
          <w:rFonts w:hint="eastAsia" w:ascii="仿宋_GB2312" w:hAnsi="仿宋_GB2312" w:eastAsia="仿宋_GB2312" w:cs="仿宋_GB2312"/>
          <w:color w:val="000000" w:themeColor="text1"/>
          <w:szCs w:val="21"/>
          <w14:textFill>
            <w14:solidFill>
              <w14:schemeClr w14:val="tx1"/>
            </w14:solidFill>
          </w14:textFill>
        </w:rPr>
        <w:t>及专职质检员</w:t>
      </w:r>
      <w:r>
        <w:rPr>
          <w:rFonts w:hint="eastAsia" w:ascii="仿宋_GB2312" w:hAnsi="仿宋_GB2312" w:eastAsia="仿宋_GB2312" w:cs="仿宋_GB2312"/>
          <w:szCs w:val="21"/>
        </w:rPr>
        <w:t>、安全员报甲方。</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4.4.4乙方在施工过程中，严格按照技术规范进行施工。每道工序完成后，应自行检测，并将检测结果报甲方，接受甲方的抽检，并经监理工程师检测，合格后方可进行下一道工序。由于乙方不按技术规范和质量要求进行施工，工程质量达不到标准，甲方派驻人员和监理工程师有权责令其停工、返工，由此造成的损失由乙方承担。</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4.4.5乙方必须按国家规范要求服从业主、监理工程师、甲方的质量管理。接受业主、监理工程师与甲方的检查，并执行业主、监理及甲方下达的工作指令。乙方应积极配合、支持业主、监理及甲方的检查、监督，所发生的费用由乙方负责。对乙方拒绝执行业主、监理或甲方工作指令的，乙方每次应向甲方支付</w:t>
      </w:r>
      <w:r>
        <w:rPr>
          <w:rFonts w:hint="eastAsia" w:ascii="仿宋_GB2312" w:hAnsi="仿宋_GB2312" w:eastAsia="仿宋_GB2312" w:cs="仿宋_GB2312"/>
          <w:szCs w:val="21"/>
          <w:u w:val="single"/>
        </w:rPr>
        <w:t xml:space="preserve"> 5000 </w:t>
      </w:r>
      <w:r>
        <w:rPr>
          <w:rFonts w:hint="eastAsia" w:ascii="仿宋_GB2312" w:hAnsi="仿宋_GB2312" w:eastAsia="仿宋_GB2312" w:cs="仿宋_GB2312"/>
          <w:szCs w:val="21"/>
        </w:rPr>
        <w:t>元的违约金。</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4.4.6乙方在实施过程中质量得不到保证，并被业主或监理累计通报达到两次的，甲方有权单方解除合同，并全面接管或另行组织队伍施工，由此造成的损失由乙方承担。</w:t>
      </w:r>
    </w:p>
    <w:p>
      <w:pPr>
        <w:spacing w:line="560" w:lineRule="exact"/>
        <w:ind w:firstLine="420" w:firstLineChars="200"/>
        <w:rPr>
          <w:rFonts w:ascii="仿宋_GB2312" w:hAnsi="仿宋_GB2312" w:eastAsia="仿宋_GB2312" w:cs="仿宋_GB2312"/>
          <w:bCs/>
          <w:color w:val="000000"/>
          <w:szCs w:val="21"/>
        </w:rPr>
      </w:pPr>
      <w:r>
        <w:rPr>
          <w:rFonts w:hint="eastAsia" w:ascii="仿宋_GB2312" w:hAnsi="仿宋_GB2312" w:eastAsia="仿宋_GB2312" w:cs="仿宋_GB2312"/>
          <w:bCs/>
          <w:szCs w:val="21"/>
        </w:rPr>
        <w:t>4.5</w:t>
      </w:r>
      <w:r>
        <w:rPr>
          <w:rFonts w:hint="eastAsia" w:ascii="仿宋_GB2312" w:hAnsi="仿宋_GB2312" w:eastAsia="仿宋_GB2312" w:cs="仿宋_GB2312"/>
          <w:bCs/>
          <w:color w:val="000000"/>
          <w:szCs w:val="21"/>
        </w:rPr>
        <w:t>安全生产与文明施工管理</w:t>
      </w:r>
    </w:p>
    <w:p>
      <w:pPr>
        <w:widowControl/>
        <w:spacing w:line="560" w:lineRule="exact"/>
        <w:ind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szCs w:val="21"/>
        </w:rPr>
        <w:t>4.5.1乙方应依据业主合同文件（询价文件）规定投保建筑工程一切险、第三者责任险以及工人意外伤害保险，保险费和其他相关费用由乙方承担。</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4.5.2乙方承担施工过程中发生的安全事故和意外事件所造成的一切经济损失（含财产损失和人身伤亡损害赔偿）。因乙方原因导致甲方被追究责任的，乙方承担所有经济损失。</w:t>
      </w:r>
    </w:p>
    <w:p>
      <w:pPr>
        <w:spacing w:line="560" w:lineRule="exact"/>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4.6项目劳务管理</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4.6.1乙方劳务人员年龄段限制在男18—60周岁、女18—55周岁，身体健康，如果甲方发现有不符合年龄条件的，甲方有权直接予以清退，乙方承诺对此不提出任何异议。</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4.6.2乙方应严格执行农民工实名制管理相关规定，乙方用工必需签订合同明确报酬、发放标准，用工合同原件甲方核查留存复印件。乙方每月据实考核及时填报民工工资发放表，积极配合甲方做好民工工资发放的监控工作。</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乙方雇佣的劳务人员的劳动报酬应当及时足额支付，乙方不得以任何理由拖欠，应提前办妥手续委托甲方代为支付到用工人员工资卡。乙方未能及时委托特殊情况下甲方可根据情况对民工工资直接发放，乙方应积极予以配合和协助并无异议。如果劳务人员向甲方主张劳动报酬，乙方负责协调解决，解决不成由甲方处理，所发生一切费用均由乙方承担。</w:t>
      </w:r>
    </w:p>
    <w:p>
      <w:pPr>
        <w:spacing w:line="560" w:lineRule="exact"/>
        <w:ind w:firstLine="420" w:firstLineChars="200"/>
        <w:rPr>
          <w:rFonts w:ascii="仿宋_GB2312" w:hAnsi="仿宋_GB2312" w:eastAsia="仿宋_GB2312" w:cs="仿宋_GB2312"/>
          <w:b/>
          <w:bCs/>
          <w:szCs w:val="21"/>
        </w:rPr>
      </w:pPr>
      <w:r>
        <w:rPr>
          <w:rFonts w:hint="eastAsia" w:ascii="仿宋_GB2312" w:hAnsi="仿宋_GB2312" w:eastAsia="仿宋_GB2312" w:cs="仿宋_GB2312"/>
          <w:szCs w:val="21"/>
        </w:rPr>
        <w:t>用工合同、考勤表、工资发放表经核查每发现一人不属实或相关手续不齐全，每人次每项罚款5</w:t>
      </w:r>
      <w:r>
        <w:rPr>
          <w:rFonts w:ascii="仿宋_GB2312" w:hAnsi="仿宋_GB2312" w:eastAsia="仿宋_GB2312" w:cs="仿宋_GB2312"/>
          <w:szCs w:val="21"/>
        </w:rPr>
        <w:t>00</w:t>
      </w:r>
      <w:r>
        <w:rPr>
          <w:rFonts w:hint="eastAsia" w:ascii="仿宋_GB2312" w:hAnsi="仿宋_GB2312" w:eastAsia="仿宋_GB2312" w:cs="仿宋_GB2312"/>
          <w:szCs w:val="21"/>
        </w:rPr>
        <w:t>元，甲方有权从任何应付款中直接扣除，乙方无任何异议。</w:t>
      </w:r>
    </w:p>
    <w:p>
      <w:pPr>
        <w:spacing w:line="560" w:lineRule="exact"/>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4.7项目资金管理</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4.7.1按甲方财务制度办理相关业务并提供真实、合法、有效的增值税专用发票。发票抬头名称：安徽省经工建设集团有限公司，纳税识别码：91340000148953991G。若不符合财务制度要求的，甲方有权拒付。</w:t>
      </w:r>
    </w:p>
    <w:p>
      <w:pPr>
        <w:spacing w:line="560" w:lineRule="exact"/>
        <w:ind w:firstLine="420" w:firstLineChars="200"/>
        <w:rPr>
          <w:szCs w:val="21"/>
          <w:u w:val="single"/>
        </w:rPr>
      </w:pPr>
      <w:r>
        <w:rPr>
          <w:rFonts w:hint="eastAsia" w:ascii="仿宋_GB2312" w:hAnsi="仿宋_GB2312" w:eastAsia="仿宋_GB2312" w:cs="仿宋_GB2312"/>
          <w:szCs w:val="21"/>
          <w:u w:val="single"/>
        </w:rPr>
        <w:t>工程项目资金（工程款）必须专款专用，不得挪作他用。乙方须按中标金额交纳工程款税金，计税办法依据《中华人民共和国增值税暂行条例》，税金的收取按工程进度款的请付同步计收，工程竣工后以决算金额一次结清（含尚欠工程款和扣留的保修金）。</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4.7.２关于付款的约定：</w:t>
      </w:r>
      <w:r>
        <w:rPr>
          <w:rFonts w:ascii="仿宋_GB2312" w:hAnsi="仿宋_GB2312" w:eastAsia="仿宋_GB2312" w:cs="仿宋_GB2312"/>
          <w:szCs w:val="21"/>
        </w:rPr>
        <w:t xml:space="preserve"> </w:t>
      </w:r>
    </w:p>
    <w:p>
      <w:pPr>
        <w:spacing w:line="560" w:lineRule="exact"/>
        <w:ind w:firstLine="420" w:firstLineChars="200"/>
        <w:rPr>
          <w:rFonts w:ascii="仿宋_GB2312" w:hAnsi="仿宋_GB2312" w:eastAsia="仿宋_GB2312" w:cs="仿宋_GB2312"/>
          <w:szCs w:val="21"/>
          <w:u w:val="single"/>
        </w:rPr>
      </w:pPr>
      <w:r>
        <w:rPr>
          <w:rFonts w:ascii="仿宋_GB2312" w:hAnsi="仿宋_GB2312" w:eastAsia="仿宋_GB2312" w:cs="仿宋_GB2312"/>
          <w:szCs w:val="21"/>
        </w:rPr>
        <w:t>工程款支付：</w:t>
      </w:r>
      <w:r>
        <w:rPr>
          <w:rFonts w:hint="eastAsia" w:ascii="仿宋_GB2312" w:hAnsi="仿宋_GB2312" w:eastAsia="仿宋_GB2312" w:cs="仿宋_GB2312"/>
          <w:szCs w:val="21"/>
          <w:u w:val="single"/>
        </w:rPr>
        <w:t>同业主合同</w:t>
      </w:r>
    </w:p>
    <w:p>
      <w:pPr>
        <w:spacing w:line="560" w:lineRule="exact"/>
        <w:ind w:firstLine="420"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4.7.3进度款审核</w:t>
      </w:r>
      <w:r>
        <w:rPr>
          <w:rFonts w:ascii="仿宋_GB2312" w:hAnsi="仿宋_GB2312" w:eastAsia="仿宋_GB2312" w:cs="仿宋_GB2312"/>
          <w:szCs w:val="21"/>
        </w:rPr>
        <w:t>和时间</w:t>
      </w:r>
    </w:p>
    <w:p>
      <w:pPr>
        <w:spacing w:line="560" w:lineRule="exact"/>
        <w:ind w:firstLine="420"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乙方在达到支付节点当月的15日前报送进度款申请，甲方应在收到后10天内完成审批并签发进度款支付证书。甲方对进度付款申请单有异议的，有权要求乙方修正和提供补充资料，甲方在进度款支付证书签发（含修正后的）后次月15日前完成支付，承包人应在付款前提供等额合规的发票。甲方无正当理由逾期支付进度款的，应按照中国人民银行发布的同期同类存款基准利率支付违约金。在对已签发的进度款支付证书进行阶段汇总和复核中发现错误、遗漏或重复的，甲方有权在下期进度付款中支付或扣除,承包人不得以此为由拖延工期或使工程质量受影响。</w:t>
      </w:r>
    </w:p>
    <w:p>
      <w:pPr>
        <w:spacing w:line="560" w:lineRule="exact"/>
        <w:ind w:firstLine="525" w:firstLineChars="250"/>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关于工资进度款拨付的约定：（1）工资性工程款总额暂按合同价30%计算，根据合同进度款支付约定，发包人将占当期工程进度款总额30％的工资性工程款转入承包人农民工工资专用账户，用于支付当期农民工工资。（2）承包人必须据实编制并向发包人、监理单位申报农民工工资支付表。（3）在备案施工合同以外的设计变更或工程量增加等累计完成超过合同价5%以上的，发包人应在下次支付工程款前，将超过合同价部分的20%作为增加的月工资性工程款存入承包人农民工工资专用账户。</w:t>
      </w:r>
    </w:p>
    <w:p>
      <w:pPr>
        <w:pStyle w:val="11"/>
        <w:spacing w:line="560" w:lineRule="exact"/>
        <w:ind w:firstLine="420"/>
        <w:rPr>
          <w:rFonts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4.7.4</w:t>
      </w:r>
      <w:r>
        <w:rPr>
          <w:rFonts w:hint="eastAsia" w:ascii="Adobe 仿宋 Std R" w:hAnsi="Adobe 仿宋 Std R" w:eastAsia="Adobe 仿宋 Std R"/>
          <w:b/>
          <w:color w:val="000000"/>
          <w:sz w:val="21"/>
          <w:szCs w:val="21"/>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竣工结算</w:t>
      </w:r>
    </w:p>
    <w:p>
      <w:pPr>
        <w:spacing w:line="360" w:lineRule="auto"/>
        <w:ind w:firstLine="525" w:firstLineChars="250"/>
        <w:jc w:val="left"/>
        <w:rPr>
          <w:rFonts w:ascii="仿宋_GB2312" w:hAnsi="仿宋_GB2312" w:eastAsia="仿宋_GB2312" w:cs="仿宋_GB2312"/>
          <w:color w:val="000000" w:themeColor="text1"/>
          <w:szCs w:val="21"/>
          <w:shd w:val="clear" w:color="FFFFFF" w:fill="D9D9D9"/>
          <w14:textFill>
            <w14:solidFill>
              <w14:schemeClr w14:val="tx1"/>
            </w14:solidFill>
          </w14:textFill>
        </w:rPr>
      </w:pPr>
      <w:r>
        <w:rPr>
          <w:rFonts w:hint="eastAsia" w:ascii="仿宋_GB2312" w:hAnsi="仿宋_GB2312" w:eastAsia="仿宋_GB2312" w:cs="仿宋_GB2312"/>
          <w:color w:val="000000" w:themeColor="text1"/>
          <w:szCs w:val="21"/>
          <w:shd w:val="clear" w:color="FFFFFF" w:fill="D9D9D9"/>
          <w14:textFill>
            <w14:solidFill>
              <w14:schemeClr w14:val="tx1"/>
            </w14:solidFill>
          </w14:textFill>
        </w:rPr>
        <w:t>本工程竣工验收合格后</w:t>
      </w:r>
      <w:r>
        <w:rPr>
          <w:rFonts w:ascii="仿宋_GB2312" w:hAnsi="仿宋_GB2312" w:eastAsia="仿宋_GB2312" w:cs="仿宋_GB2312"/>
          <w:color w:val="000000" w:themeColor="text1"/>
          <w:szCs w:val="21"/>
          <w:shd w:val="clear" w:color="FFFFFF" w:fill="D9D9D9"/>
          <w14:textFill>
            <w14:solidFill>
              <w14:schemeClr w14:val="tx1"/>
            </w14:solidFill>
          </w14:textFill>
        </w:rPr>
        <w:t>28</w:t>
      </w:r>
      <w:r>
        <w:rPr>
          <w:rFonts w:hint="eastAsia" w:ascii="仿宋_GB2312" w:hAnsi="仿宋_GB2312" w:eastAsia="仿宋_GB2312" w:cs="仿宋_GB2312"/>
          <w:color w:val="000000" w:themeColor="text1"/>
          <w:szCs w:val="21"/>
          <w:shd w:val="clear" w:color="FFFFFF" w:fill="D9D9D9"/>
          <w14:textFill>
            <w14:solidFill>
              <w14:schemeClr w14:val="tx1"/>
            </w14:solidFill>
          </w14:textFill>
        </w:rPr>
        <w:t>天内乙方需提交完整的竣工结算资料给甲方，甲方</w:t>
      </w:r>
      <w:r>
        <w:rPr>
          <w:rFonts w:ascii="仿宋_GB2312" w:hAnsi="仿宋_GB2312" w:eastAsia="仿宋_GB2312" w:cs="仿宋_GB2312"/>
          <w:color w:val="000000" w:themeColor="text1"/>
          <w:szCs w:val="21"/>
          <w:shd w:val="clear" w:color="FFFFFF" w:fill="D9D9D9"/>
          <w14:textFill>
            <w14:solidFill>
              <w14:schemeClr w14:val="tx1"/>
            </w14:solidFill>
          </w14:textFill>
        </w:rPr>
        <w:t>收到竣工结算</w:t>
      </w:r>
      <w:r>
        <w:rPr>
          <w:rFonts w:hint="eastAsia" w:ascii="仿宋_GB2312" w:hAnsi="仿宋_GB2312" w:eastAsia="仿宋_GB2312" w:cs="仿宋_GB2312"/>
          <w:color w:val="000000" w:themeColor="text1"/>
          <w:szCs w:val="21"/>
          <w:shd w:val="clear" w:color="FFFFFF" w:fill="D9D9D9"/>
          <w14:textFill>
            <w14:solidFill>
              <w14:schemeClr w14:val="tx1"/>
            </w14:solidFill>
          </w14:textFill>
        </w:rPr>
        <w:t>资</w:t>
      </w:r>
      <w:r>
        <w:rPr>
          <w:rFonts w:ascii="仿宋_GB2312" w:hAnsi="仿宋_GB2312" w:eastAsia="仿宋_GB2312" w:cs="仿宋_GB2312"/>
          <w:color w:val="000000" w:themeColor="text1"/>
          <w:szCs w:val="21"/>
          <w:shd w:val="clear" w:color="FFFFFF" w:fill="D9D9D9"/>
          <w14:textFill>
            <w14:solidFill>
              <w14:schemeClr w14:val="tx1"/>
            </w14:solidFill>
          </w14:textFill>
        </w:rPr>
        <w:t>料后</w:t>
      </w:r>
      <w:r>
        <w:rPr>
          <w:rFonts w:hint="eastAsia" w:ascii="仿宋_GB2312" w:hAnsi="仿宋_GB2312" w:eastAsia="仿宋_GB2312" w:cs="仿宋_GB2312"/>
          <w:color w:val="000000" w:themeColor="text1"/>
          <w:szCs w:val="21"/>
          <w:shd w:val="clear" w:color="FFFFFF" w:fill="D9D9D9"/>
          <w14:textFill>
            <w14:solidFill>
              <w14:schemeClr w14:val="tx1"/>
            </w14:solidFill>
          </w14:textFill>
        </w:rPr>
        <w:t>60</w:t>
      </w:r>
      <w:r>
        <w:rPr>
          <w:rFonts w:ascii="仿宋_GB2312" w:hAnsi="仿宋_GB2312" w:eastAsia="仿宋_GB2312" w:cs="仿宋_GB2312"/>
          <w:color w:val="000000" w:themeColor="text1"/>
          <w:szCs w:val="21"/>
          <w:shd w:val="clear" w:color="FFFFFF" w:fill="D9D9D9"/>
          <w14:textFill>
            <w14:solidFill>
              <w14:schemeClr w14:val="tx1"/>
            </w14:solidFill>
          </w14:textFill>
        </w:rPr>
        <w:t>天内完成核查并签发竣工付款证书。</w:t>
      </w:r>
    </w:p>
    <w:p>
      <w:pPr>
        <w:spacing w:line="360" w:lineRule="auto"/>
        <w:ind w:firstLine="525" w:firstLineChars="250"/>
        <w:jc w:val="left"/>
        <w:rPr>
          <w:rFonts w:ascii="仿宋_GB2312" w:hAnsi="仿宋_GB2312" w:eastAsia="仿宋_GB2312" w:cs="仿宋_GB2312"/>
          <w:bCs/>
          <w:szCs w:val="21"/>
        </w:rPr>
      </w:pPr>
      <w:r>
        <w:rPr>
          <w:rFonts w:hint="eastAsia" w:ascii="仿宋_GB2312" w:hAnsi="仿宋_GB2312" w:eastAsia="仿宋_GB2312" w:cs="仿宋_GB2312"/>
          <w:bCs/>
          <w:szCs w:val="21"/>
        </w:rPr>
        <w:t>4.8项目文化建设</w:t>
      </w:r>
    </w:p>
    <w:p>
      <w:pPr>
        <w:adjustRightInd w:val="0"/>
        <w:snapToGrid w:val="0"/>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4.8.1乙方在项目实施期间，项目部门楼、场站、会议室、办公场所及等所有标识、标牌、图表等均应冠以“安徽经工”名称，展现甲方企业文化，不得以乙方或其他单位名义出现。</w:t>
      </w:r>
    </w:p>
    <w:p>
      <w:pPr>
        <w:adjustRightInd w:val="0"/>
        <w:snapToGrid w:val="0"/>
        <w:spacing w:line="560" w:lineRule="exact"/>
        <w:ind w:firstLine="420" w:firstLineChars="200"/>
        <w:rPr>
          <w:rFonts w:ascii="仿宋_GB2312" w:hAnsi="仿宋_GB2312" w:eastAsia="仿宋_GB2312" w:cs="仿宋_GB2312"/>
          <w:szCs w:val="21"/>
          <w:highlight w:val="red"/>
          <w:u w:val="single"/>
        </w:rPr>
      </w:pPr>
      <w:r>
        <w:rPr>
          <w:rFonts w:hint="eastAsia" w:ascii="仿宋_GB2312" w:hAnsi="仿宋_GB2312" w:eastAsia="仿宋_GB2312" w:cs="仿宋_GB2312"/>
          <w:szCs w:val="21"/>
        </w:rPr>
        <w:t>4.8.2因乙方在项目文化建设和宣传方面不执行甲方的规定，而因此被业主或其他部门追究责任或给甲方带来的损失后果由乙方承担。</w:t>
      </w:r>
    </w:p>
    <w:p>
      <w:pPr>
        <w:spacing w:line="56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5.履约担保等费用</w:t>
      </w:r>
    </w:p>
    <w:p>
      <w:pPr>
        <w:pStyle w:val="5"/>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5.1乙方应向甲方支付同</w:t>
      </w:r>
      <w:r>
        <w:rPr>
          <w:rFonts w:hint="eastAsia" w:ascii="仿宋_GB2312" w:hAnsi="仿宋_GB2312" w:eastAsia="仿宋_GB2312" w:cs="仿宋_GB2312"/>
          <w:szCs w:val="21"/>
          <w:u w:val="single"/>
        </w:rPr>
        <w:t>业主合同</w:t>
      </w:r>
      <w:r>
        <w:rPr>
          <w:rFonts w:hint="eastAsia" w:ascii="仿宋_GB2312" w:hAnsi="仿宋_GB2312" w:eastAsia="仿宋_GB2312" w:cs="仿宋_GB2312"/>
          <w:szCs w:val="21"/>
        </w:rPr>
        <w:t>的履约保证金，作为乙方履行本合同的担保。担保方式：</w:t>
      </w:r>
      <w:r>
        <w:rPr>
          <w:rFonts w:hint="eastAsia" w:ascii="仿宋_GB2312" w:hAnsi="仿宋_GB2312" w:eastAsia="仿宋_GB2312" w:cs="仿宋_GB2312"/>
          <w:szCs w:val="21"/>
          <w:u w:val="single"/>
        </w:rPr>
        <w:t>同业主合同。</w:t>
      </w:r>
    </w:p>
    <w:p>
      <w:pPr>
        <w:adjustRightInd w:val="0"/>
        <w:snapToGrid w:val="0"/>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5.2在项目实施过程中，因乙方原因导致业主认定甲方违约、没收甲方保证金或要求甲方承担违约责任时，甲方有权以乙方交纳的履约保证金和相关款项支付，不足部分仍应由乙方承担，乙方在收到甲方付款通知7日内向甲方或直接向业主方支付。在前述情形下，乙方不得以任何理由向甲方主张返还保证金的权利。</w:t>
      </w:r>
    </w:p>
    <w:p>
      <w:pPr>
        <w:spacing w:line="560" w:lineRule="exact"/>
        <w:ind w:firstLine="422" w:firstLineChars="2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6、违约责任</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6.2.1乙方不得私刻甲方的印章，否则甲方将依法追究乙方的经济责任和刑事责任。</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6.2.2乙方施工现场管理混乱，不能满足业主、监理等管理单位有关工程进度、质量等方面的要求，致使业主、监理向甲方公司发函的，乙方除接受业主、监理的处罚外，每发生一次另行向甲方支付10000元违约金；由此造成业主约见甲方法定代表人或主要负责人的，每发生一次乙方向甲方支付5万元违约金。</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6.2.3因乙方原因导致本合同无法继续履行，乙方按未完成工程量总造价的20%向甲方支付违约金，甲方有权直接从乙方应得工程款中直接扣除，不足部分由乙方另行支付给甲方。</w:t>
      </w:r>
    </w:p>
    <w:p>
      <w:pPr>
        <w:spacing w:line="560" w:lineRule="exact"/>
        <w:ind w:firstLine="420" w:firstLineChars="200"/>
        <w:rPr>
          <w:rFonts w:ascii="仿宋_GB2312" w:hAnsi="仿宋_GB2312" w:eastAsia="仿宋_GB2312" w:cs="仿宋_GB2312"/>
          <w:szCs w:val="21"/>
          <w:highlight w:val="red"/>
        </w:rPr>
      </w:pPr>
      <w:r>
        <w:rPr>
          <w:rFonts w:hint="eastAsia" w:ascii="仿宋_GB2312" w:hAnsi="仿宋_GB2312" w:eastAsia="仿宋_GB2312" w:cs="仿宋_GB2312"/>
          <w:szCs w:val="21"/>
        </w:rPr>
        <w:t>6.2.4若乙方交、竣工验收资料不完整或不满足甲方备案要求的，乙方除应及时提供符合备案要求的相关资料外，还应向甲方支付违约金5万元。</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6.2.5项目在履行过程中或结束后，因本项目乙方原因发生第三方与甲方的法律纠纷（含诉讼、仲裁等其他纠纷），乙方应协助甲方积极共同处理，因此产生的案件受理费、律师费、差旅费、住宿费和餐饮费等业务费用由乙方承担。</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6.2.6乙方拖欠民工工资，引发民工群体讨薪或上访的，甲方有权直接发放，费用直接从乙方应得工程款中扣除，所发生的一切费用由乙方承担。每发生一次群体讨薪或上访的，乙方向甲方支付违约金5万元（乙方民工工资按照集团公司项目用工管理办法执行）。由公司垫资解决的除处罚外另按公司财务规定加收项目利息。</w:t>
      </w:r>
    </w:p>
    <w:p>
      <w:pPr>
        <w:spacing w:line="560" w:lineRule="exact"/>
        <w:ind w:firstLine="422" w:firstLineChars="200"/>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7</w:t>
      </w:r>
      <w:r>
        <w:rPr>
          <w:rFonts w:hint="eastAsia" w:ascii="仿宋_GB2312" w:hAnsi="仿宋_GB2312" w:eastAsia="仿宋_GB2312" w:cs="仿宋_GB2312"/>
          <w:b/>
          <w:bCs/>
          <w:szCs w:val="21"/>
        </w:rPr>
        <w:t>.</w:t>
      </w:r>
      <w:r>
        <w:rPr>
          <w:rFonts w:hint="eastAsia" w:ascii="仿宋_GB2312" w:hAnsi="仿宋_GB2312" w:eastAsia="仿宋_GB2312" w:cs="仿宋_GB2312"/>
          <w:b/>
          <w:bCs/>
          <w:color w:val="000000"/>
          <w:szCs w:val="21"/>
        </w:rPr>
        <w:t>合同解除</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7.1本工程出现下列情形之一时，甲方有权单方解除本合同：</w:t>
      </w:r>
    </w:p>
    <w:p>
      <w:pPr>
        <w:spacing w:line="560" w:lineRule="exact"/>
        <w:ind w:firstLine="57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7.1.1乙方丧失民事行为能力，或其信用出现严重问题，或其经营管理能力明显不足，无法完成合作任务的；</w:t>
      </w:r>
    </w:p>
    <w:p>
      <w:pPr>
        <w:spacing w:line="560" w:lineRule="exact"/>
        <w:ind w:firstLine="570"/>
        <w:rPr>
          <w:rFonts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7.1.2因乙方原因导致节点工期延误两个月以上且无纠偏措施的或乙方生产要素配量、工期进度、质量安全达不到甲方及业主的要求时，甲方及时提出书面整改意见，连续两次都达不到要求的；</w:t>
      </w:r>
    </w:p>
    <w:p>
      <w:pPr>
        <w:spacing w:line="560" w:lineRule="exact"/>
        <w:ind w:firstLine="570"/>
        <w:rPr>
          <w:rFonts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7.1.3 施工过程中发生较大质量、安全事故的；</w:t>
      </w:r>
    </w:p>
    <w:p>
      <w:pPr>
        <w:spacing w:line="560" w:lineRule="exact"/>
        <w:ind w:firstLine="570"/>
        <w:rPr>
          <w:rFonts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7.1.4施工过程中受到有关部门责令停工等处罚的；</w:t>
      </w:r>
    </w:p>
    <w:p>
      <w:pPr>
        <w:spacing w:line="560" w:lineRule="exact"/>
        <w:ind w:firstLine="57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7.1.5乙方或其聘用、提议聘用的工作人员有挪用、侵占本工程的资金、材料行为的；</w:t>
      </w:r>
    </w:p>
    <w:p>
      <w:pPr>
        <w:spacing w:line="560" w:lineRule="exact"/>
        <w:ind w:firstLine="57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7.1.6乙方未经甲方书面同意，私自刻制甲方印章、设立账户或擅自以甲方或项目部名义对外签订合同的；</w:t>
      </w:r>
    </w:p>
    <w:p>
      <w:pPr>
        <w:spacing w:line="560" w:lineRule="exact"/>
        <w:ind w:firstLine="57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7.1.7施工过程中发生重大诉讼、媒体曝光等给公司声誉造成重大负面影响的；</w:t>
      </w:r>
    </w:p>
    <w:p>
      <w:pPr>
        <w:spacing w:line="560" w:lineRule="exact"/>
        <w:ind w:firstLine="570"/>
        <w:rPr>
          <w:rFonts w:ascii="仿宋_GB2312" w:hAnsi="仿宋_GB2312" w:eastAsia="仿宋_GB2312" w:cs="仿宋_GB2312"/>
          <w:szCs w:val="21"/>
          <w:u w:val="single"/>
        </w:rPr>
      </w:pPr>
      <w:r>
        <w:rPr>
          <w:rFonts w:hint="eastAsia" w:ascii="仿宋_GB2312" w:hAnsi="仿宋_GB2312" w:eastAsia="仿宋_GB2312" w:cs="仿宋_GB2312"/>
          <w:color w:val="000000"/>
          <w:szCs w:val="21"/>
        </w:rPr>
        <w:t>7.1.8</w:t>
      </w:r>
      <w:r>
        <w:rPr>
          <w:rFonts w:hint="eastAsia" w:ascii="仿宋_GB2312" w:hAnsi="仿宋_GB2312" w:eastAsia="仿宋_GB2312" w:cs="仿宋_GB2312"/>
          <w:szCs w:val="21"/>
        </w:rPr>
        <w:t>乙方有非法转包和违法分包行为的；</w:t>
      </w:r>
    </w:p>
    <w:p>
      <w:pPr>
        <w:spacing w:line="560" w:lineRule="exact"/>
        <w:ind w:firstLine="570"/>
        <w:rPr>
          <w:rFonts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7.1.</w:t>
      </w:r>
      <w:r>
        <w:rPr>
          <w:rFonts w:hint="eastAsia" w:ascii="仿宋_GB2312" w:hAnsi="仿宋_GB2312" w:eastAsia="仿宋_GB2312" w:cs="仿宋_GB2312"/>
          <w:szCs w:val="21"/>
        </w:rPr>
        <w:t>9</w:t>
      </w:r>
      <w:r>
        <w:rPr>
          <w:rFonts w:hint="eastAsia" w:ascii="仿宋_GB2312" w:hAnsi="仿宋_GB2312" w:eastAsia="仿宋_GB2312" w:cs="仿宋_GB2312"/>
          <w:color w:val="000000"/>
          <w:szCs w:val="21"/>
        </w:rPr>
        <w:t>乙方有转移或抽逃项目工程款，甲方要求整改拒不执行的。</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color w:val="000000"/>
          <w:szCs w:val="21"/>
        </w:rPr>
        <w:t>乙方有</w:t>
      </w:r>
      <w:r>
        <w:rPr>
          <w:rFonts w:hint="eastAsia" w:ascii="仿宋_GB2312" w:hAnsi="仿宋_GB2312" w:eastAsia="仿宋_GB2312" w:cs="仿宋_GB2312"/>
          <w:szCs w:val="21"/>
        </w:rPr>
        <w:t>上述情形的，甲方除可以单方解除合同外，还可以视情况，不予退还乙方向甲方缴纳的履约保证金。</w:t>
      </w:r>
    </w:p>
    <w:p>
      <w:pPr>
        <w:spacing w:line="56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7.2甲方单方解除合同的，自甲方解除通知书到达之日起生效。</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szCs w:val="21"/>
        </w:rPr>
        <w:t>3合同解除后双方的义务。甲方暂停一切支付直至双方签订完善的撤场协议。乙方应当在收到甲方解除通知书7个工作日内主动与甲方办</w:t>
      </w:r>
      <w:r>
        <w:rPr>
          <w:rFonts w:hint="eastAsia" w:ascii="仿宋_GB2312" w:hAnsi="仿宋_GB2312" w:eastAsia="仿宋_GB2312" w:cs="仿宋_GB2312"/>
          <w:color w:val="000000"/>
          <w:szCs w:val="21"/>
        </w:rPr>
        <w:t>理交接，并办理已完工程量确认、结算、财务往来对账、</w:t>
      </w:r>
      <w:r>
        <w:rPr>
          <w:rFonts w:hint="eastAsia" w:ascii="仿宋_GB2312" w:hAnsi="仿宋_GB2312" w:eastAsia="仿宋_GB2312" w:cs="仿宋_GB2312"/>
          <w:szCs w:val="21"/>
        </w:rPr>
        <w:t>债权债务清理、工程交接等一切事务，甲方应积极配合。甲乙双方签订撤场协议，就乙方上述相关事宜达成协议。如乙方不愿签订协议，双方同意以甲方与业主的结算资料确认的工程数量为准，已完工程量按报价7</w:t>
      </w:r>
      <w:r>
        <w:rPr>
          <w:rFonts w:ascii="仿宋_GB2312" w:hAnsi="仿宋_GB2312" w:eastAsia="仿宋_GB2312" w:cs="仿宋_GB2312"/>
          <w:szCs w:val="21"/>
        </w:rPr>
        <w:t>0%</w:t>
      </w:r>
      <w:r>
        <w:rPr>
          <w:rFonts w:hint="eastAsia" w:ascii="仿宋_GB2312" w:hAnsi="仿宋_GB2312" w:eastAsia="仿宋_GB2312" w:cs="仿宋_GB2312"/>
          <w:szCs w:val="21"/>
        </w:rPr>
        <w:t>结算。</w:t>
      </w:r>
    </w:p>
    <w:p>
      <w:pPr>
        <w:spacing w:line="560" w:lineRule="exact"/>
        <w:ind w:firstLine="422" w:firstLineChars="200"/>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8.甲控、甲供材</w:t>
      </w:r>
    </w:p>
    <w:p>
      <w:pPr>
        <w:spacing w:line="5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8.1（若有）承包人采购的进场材料及其包装材料必须满足项目所在相关部门的相关规定，若相关部门检查出不符合相关规定，由承包人承担全部责任，工期不予顺延。</w:t>
      </w:r>
    </w:p>
    <w:p>
      <w:pPr>
        <w:spacing w:line="5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8.2备注未注明为甲供的材料设备，乙方按甲控品牌自购。</w:t>
      </w:r>
    </w:p>
    <w:p>
      <w:pPr>
        <w:spacing w:line="5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8.3甲控材料设备应严格按品牌采购封样供货。乙方采购的所有材料设备合同均应提交复印件于甲方备查，来货收料甲方参与验收，送货单（收料单）甲方留存复印件，每份合同的付款情况应每月报送甲方知悉，否则不予支付工程进度款。</w:t>
      </w:r>
    </w:p>
    <w:p>
      <w:pPr>
        <w:spacing w:line="520" w:lineRule="exact"/>
        <w:ind w:firstLine="420" w:firstLineChars="200"/>
        <w:rPr>
          <w:szCs w:val="21"/>
        </w:rPr>
      </w:pPr>
      <w:r>
        <w:rPr>
          <w:rFonts w:hint="eastAsia" w:ascii="仿宋_GB2312" w:hAnsi="仿宋_GB2312" w:eastAsia="仿宋_GB2312" w:cs="仿宋_GB2312"/>
          <w:szCs w:val="21"/>
        </w:rPr>
        <w:t>8.4甲供材数量以工程量清单数量为准，超出定额损耗部分由乙方自行承担。</w:t>
      </w:r>
    </w:p>
    <w:p>
      <w:pPr>
        <w:spacing w:line="520" w:lineRule="exact"/>
        <w:ind w:firstLine="640"/>
        <w:rPr>
          <w:szCs w:val="21"/>
        </w:rPr>
      </w:pPr>
      <w:r>
        <w:rPr>
          <w:rFonts w:hint="eastAsia" w:ascii="仿宋_GB2312" w:hAnsi="仿宋_GB2312" w:eastAsia="仿宋_GB2312" w:cs="仿宋_GB2312"/>
          <w:szCs w:val="21"/>
        </w:rPr>
        <w:t xml:space="preserve">8.5 </w:t>
      </w:r>
      <w:r>
        <w:rPr>
          <w:rFonts w:hint="eastAsia" w:ascii="仿宋_GB2312" w:hAnsi="仿宋_GB2312" w:eastAsia="仿宋_GB2312" w:cs="仿宋_GB2312"/>
          <w:bCs/>
          <w:color w:val="000000"/>
          <w:szCs w:val="21"/>
        </w:rPr>
        <w:t>甲控及甲供材一览表</w:t>
      </w:r>
    </w:p>
    <w:p>
      <w:pPr>
        <w:spacing w:line="560" w:lineRule="exact"/>
        <w:ind w:firstLine="422" w:firstLineChars="200"/>
        <w:rPr>
          <w:rFonts w:ascii="仿宋_GB2312" w:hAnsi="仿宋_GB2312" w:eastAsia="仿宋_GB2312" w:cs="仿宋_GB2312"/>
          <w:b/>
          <w:color w:val="000000"/>
          <w:szCs w:val="21"/>
        </w:rPr>
      </w:pPr>
      <w:r>
        <w:rPr>
          <w:rFonts w:hint="eastAsia" w:ascii="仿宋_GB2312" w:hAnsi="仿宋_GB2312" w:eastAsia="仿宋_GB2312" w:cs="仿宋_GB2312"/>
          <w:b/>
          <w:szCs w:val="21"/>
        </w:rPr>
        <w:t>9.</w:t>
      </w:r>
      <w:r>
        <w:rPr>
          <w:rFonts w:hint="eastAsia" w:ascii="仿宋_GB2312" w:hAnsi="仿宋_GB2312" w:eastAsia="仿宋_GB2312" w:cs="仿宋_GB2312"/>
          <w:b/>
          <w:color w:val="000000"/>
          <w:szCs w:val="21"/>
        </w:rPr>
        <w:t>争议解决方式</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本合同履行过程中若发生争议，双方应本着诚实信用和公平合理的原则协商解决；协商不成，向甲方所在地有管辖权的人民法院起诉。</w:t>
      </w:r>
    </w:p>
    <w:p>
      <w:pPr>
        <w:spacing w:line="5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本协议一式四份，甲方两份乙方两份。由双方法定代表人或其授权的代理人签署并加盖公章后生效，全部工程竣工验收后失效。</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甲方：                             乙方：                 </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法定代表人或                       法定代表人或</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委托代理人：(签字)                 委托代理人：(签字)</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电话：                             </w:t>
      </w:r>
      <w:r>
        <w:rPr>
          <w:rFonts w:hint="eastAsia" w:ascii="仿宋_GB2312" w:hAnsi="仿宋_GB2312" w:eastAsia="仿宋_GB2312" w:cs="仿宋_GB2312"/>
          <w:vanish/>
          <w:color w:val="000000"/>
          <w:szCs w:val="21"/>
        </w:rPr>
        <w:pgNum/>
      </w:r>
      <w:r>
        <w:rPr>
          <w:rFonts w:hint="eastAsia" w:ascii="仿宋_GB2312" w:hAnsi="仿宋_GB2312" w:eastAsia="仿宋_GB2312" w:cs="仿宋_GB2312"/>
          <w:vanish/>
          <w:color w:val="000000"/>
          <w:szCs w:val="21"/>
        </w:rPr>
        <w:pgNum/>
      </w:r>
      <w:r>
        <w:rPr>
          <w:rFonts w:hint="eastAsia" w:ascii="仿宋_GB2312" w:hAnsi="仿宋_GB2312" w:eastAsia="仿宋_GB2312" w:cs="仿宋_GB2312"/>
          <w:color w:val="000000"/>
          <w:szCs w:val="21"/>
        </w:rPr>
        <w:t xml:space="preserve">电话： </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开户银行：                         开户银行：</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账号：                             账号:</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日期：                             日期： </w:t>
      </w:r>
    </w:p>
    <w:p>
      <w:pPr>
        <w:jc w:val="center"/>
        <w:rPr>
          <w:rFonts w:ascii="仿宋" w:hAnsi="仿宋" w:eastAsia="仿宋" w:cs="仿宋"/>
          <w:b/>
          <w:szCs w:val="21"/>
        </w:rPr>
      </w:pPr>
      <w:r>
        <w:rPr>
          <w:rFonts w:hint="eastAsia" w:ascii="仿宋" w:hAnsi="仿宋" w:eastAsia="仿宋" w:cs="仿宋"/>
          <w:b/>
          <w:szCs w:val="21"/>
        </w:rPr>
        <w:t>工程质量保修书</w:t>
      </w:r>
    </w:p>
    <w:p>
      <w:pPr>
        <w:spacing w:line="360" w:lineRule="auto"/>
        <w:rPr>
          <w:rFonts w:ascii="仿宋_GB2312" w:hAnsi="仿宋_GB2312" w:eastAsia="仿宋_GB2312" w:cs="仿宋_GB2312"/>
          <w:bCs/>
          <w:szCs w:val="21"/>
          <w:u w:val="single"/>
        </w:rPr>
      </w:pPr>
      <w:r>
        <w:rPr>
          <w:rFonts w:hint="eastAsia" w:ascii="仿宋_GB2312" w:hAnsi="仿宋_GB2312" w:eastAsia="仿宋_GB2312" w:cs="仿宋_GB2312"/>
          <w:bCs/>
          <w:szCs w:val="21"/>
        </w:rPr>
        <w:t xml:space="preserve">发包人（甲方）： </w:t>
      </w:r>
    </w:p>
    <w:p>
      <w:pPr>
        <w:spacing w:line="560" w:lineRule="exact"/>
        <w:rPr>
          <w:rFonts w:ascii="仿宋_GB2312" w:hAnsi="仿宋_GB2312" w:eastAsia="仿宋_GB2312" w:cs="仿宋_GB2312"/>
          <w:bCs/>
          <w:szCs w:val="21"/>
        </w:rPr>
      </w:pPr>
      <w:r>
        <w:rPr>
          <w:rFonts w:hint="eastAsia" w:ascii="仿宋_GB2312" w:hAnsi="仿宋_GB2312" w:eastAsia="仿宋_GB2312" w:cs="仿宋_GB2312"/>
          <w:bCs/>
          <w:szCs w:val="21"/>
        </w:rPr>
        <w:t>承包人（乙方）：</w:t>
      </w:r>
    </w:p>
    <w:p>
      <w:pPr>
        <w:spacing w:line="5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发包人、承包人根据《中华人民共和国建筑法》、《建设工程质量管理条例》和《房屋建筑工程质量保修办法》，经协商一致，对</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（工程全称）签订工程质量保修书。</w:t>
      </w:r>
    </w:p>
    <w:p>
      <w:pPr>
        <w:spacing w:line="360" w:lineRule="auto"/>
        <w:rPr>
          <w:rFonts w:ascii="仿宋_GB2312" w:hAnsi="仿宋_GB2312" w:eastAsia="仿宋_GB2312" w:cs="仿宋_GB2312"/>
          <w:bCs/>
          <w:szCs w:val="21"/>
        </w:rPr>
      </w:pPr>
      <w:r>
        <w:rPr>
          <w:rFonts w:hint="eastAsia" w:ascii="仿宋_GB2312" w:hAnsi="仿宋_GB2312" w:eastAsia="仿宋_GB2312" w:cs="仿宋_GB2312"/>
          <w:bCs/>
          <w:szCs w:val="21"/>
        </w:rPr>
        <w:t>一、工程质量保修范围和内容</w:t>
      </w:r>
    </w:p>
    <w:p>
      <w:pPr>
        <w:spacing w:line="500" w:lineRule="exact"/>
        <w:ind w:left="-91" w:leftChars="-121" w:hanging="163" w:hangingChars="78"/>
        <w:rPr>
          <w:rFonts w:ascii="仿宋_GB2312" w:hAnsi="仿宋_GB2312" w:eastAsia="仿宋_GB2312" w:cs="仿宋_GB2312"/>
          <w:bCs/>
          <w:szCs w:val="21"/>
        </w:rPr>
      </w:pPr>
      <w:r>
        <w:rPr>
          <w:rFonts w:hint="eastAsia" w:ascii="仿宋_GB2312" w:hAnsi="仿宋_GB2312" w:eastAsia="仿宋_GB2312" w:cs="仿宋_GB2312"/>
          <w:szCs w:val="21"/>
        </w:rPr>
        <w:t>　　  承包人在质量保修期内，按照有关法律、法规、规章的管理规定和双方约定，承担本工程质量保修责任。质量保修范围包括</w:t>
      </w:r>
      <w:r>
        <w:rPr>
          <w:rFonts w:hint="eastAsia" w:ascii="仿宋_GB2312" w:hAnsi="仿宋_GB2312" w:eastAsia="仿宋_GB2312" w:cs="仿宋_GB2312"/>
          <w:szCs w:val="21"/>
          <w:u w:val="single"/>
        </w:rPr>
        <w:t xml:space="preserve">  乙方所承接全部工作内容  </w:t>
      </w:r>
      <w:r>
        <w:rPr>
          <w:rFonts w:hint="eastAsia" w:ascii="仿宋_GB2312" w:hAnsi="仿宋_GB2312" w:eastAsia="仿宋_GB2312" w:cs="仿宋_GB2312"/>
          <w:szCs w:val="21"/>
        </w:rPr>
        <w:t>，以及双方约定的其他项目。具体保修的内容，双方约定如下:</w:t>
      </w:r>
      <w:r>
        <w:rPr>
          <w:rFonts w:hint="eastAsia" w:ascii="仿宋_GB2312" w:hAnsi="仿宋_GB2312" w:eastAsia="仿宋_GB2312" w:cs="仿宋_GB2312"/>
          <w:bCs/>
          <w:szCs w:val="21"/>
        </w:rPr>
        <w:t>执行《建设工程质量管理条例》和《房屋建筑工程质量保修办法》等法律法规。</w:t>
      </w:r>
    </w:p>
    <w:p>
      <w:pPr>
        <w:pStyle w:val="18"/>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bCs/>
          <w:spacing w:val="4"/>
          <w:sz w:val="21"/>
          <w:szCs w:val="21"/>
        </w:rPr>
        <w:t>二、质量保修期</w:t>
      </w:r>
    </w:p>
    <w:p>
      <w:pPr>
        <w:pStyle w:val="18"/>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双方根据《建设工程质量管理条例》及有关规定，约定本工程的质量保修期如下：</w:t>
      </w:r>
      <w:r>
        <w:rPr>
          <w:rFonts w:hint="eastAsia" w:ascii="仿宋_GB2312" w:hAnsi="仿宋_GB2312" w:eastAsia="仿宋_GB2312" w:cs="仿宋_GB2312"/>
          <w:sz w:val="21"/>
          <w:szCs w:val="21"/>
          <w:u w:val="single"/>
        </w:rPr>
        <w:t>同业主合同要求</w:t>
      </w:r>
      <w:r>
        <w:rPr>
          <w:rFonts w:hint="eastAsia" w:ascii="仿宋_GB2312" w:hAnsi="仿宋_GB2312" w:eastAsia="仿宋_GB2312" w:cs="仿宋_GB2312"/>
          <w:sz w:val="21"/>
          <w:szCs w:val="21"/>
        </w:rPr>
        <w:t>。</w:t>
      </w:r>
    </w:p>
    <w:p>
      <w:pPr>
        <w:pStyle w:val="18"/>
        <w:spacing w:line="360" w:lineRule="auto"/>
        <w:ind w:left="0" w:right="-6"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1.地基基础工程和主体结构工程为设计文件规定的该工程合理使用年限；</w:t>
      </w:r>
    </w:p>
    <w:p>
      <w:pPr>
        <w:pStyle w:val="18"/>
        <w:spacing w:line="360" w:lineRule="auto"/>
        <w:ind w:left="0" w:right="-6"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⒉ 屋面防水工程、有防水要求的卫生间、房间和外墙面的防渗漏为</w:t>
      </w:r>
      <w:r>
        <w:rPr>
          <w:rFonts w:hint="eastAsia" w:ascii="仿宋_GB2312" w:hAnsi="仿宋_GB2312" w:eastAsia="仿宋_GB2312" w:cs="仿宋_GB2312"/>
          <w:sz w:val="21"/>
          <w:szCs w:val="21"/>
          <w:u w:val="single"/>
        </w:rPr>
        <w:t xml:space="preserve"> 5 </w:t>
      </w:r>
      <w:r>
        <w:rPr>
          <w:rFonts w:hint="eastAsia" w:ascii="仿宋_GB2312" w:hAnsi="仿宋_GB2312" w:eastAsia="仿宋_GB2312" w:cs="仿宋_GB2312"/>
          <w:sz w:val="21"/>
          <w:szCs w:val="21"/>
        </w:rPr>
        <w:t>年；</w:t>
      </w:r>
    </w:p>
    <w:p>
      <w:pPr>
        <w:pStyle w:val="18"/>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⒊ 装修工程为</w:t>
      </w:r>
      <w:r>
        <w:rPr>
          <w:rFonts w:hint="eastAsia" w:ascii="仿宋_GB2312" w:hAnsi="仿宋_GB2312" w:eastAsia="仿宋_GB2312" w:cs="仿宋_GB2312"/>
          <w:sz w:val="21"/>
          <w:szCs w:val="21"/>
          <w:u w:val="single"/>
        </w:rPr>
        <w:t xml:space="preserve"> 2 </w:t>
      </w:r>
      <w:r>
        <w:rPr>
          <w:rFonts w:hint="eastAsia" w:ascii="仿宋_GB2312" w:hAnsi="仿宋_GB2312" w:eastAsia="仿宋_GB2312" w:cs="仿宋_GB2312"/>
          <w:sz w:val="21"/>
          <w:szCs w:val="21"/>
        </w:rPr>
        <w:t>年；</w:t>
      </w:r>
    </w:p>
    <w:p>
      <w:pPr>
        <w:pStyle w:val="18"/>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⒋ 电气管线、给排水管道、设备安装工程为</w:t>
      </w:r>
      <w:r>
        <w:rPr>
          <w:rFonts w:hint="eastAsia" w:ascii="仿宋_GB2312" w:hAnsi="仿宋_GB2312" w:eastAsia="仿宋_GB2312" w:cs="仿宋_GB2312"/>
          <w:sz w:val="21"/>
          <w:szCs w:val="21"/>
          <w:u w:val="single"/>
        </w:rPr>
        <w:t xml:space="preserve"> 2  </w:t>
      </w:r>
      <w:r>
        <w:rPr>
          <w:rFonts w:hint="eastAsia" w:ascii="仿宋_GB2312" w:hAnsi="仿宋_GB2312" w:eastAsia="仿宋_GB2312" w:cs="仿宋_GB2312"/>
          <w:sz w:val="21"/>
          <w:szCs w:val="21"/>
        </w:rPr>
        <w:t>年；</w:t>
      </w:r>
    </w:p>
    <w:p>
      <w:pPr>
        <w:pStyle w:val="18"/>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⒌ 供热与供冷系统为</w:t>
      </w:r>
      <w:r>
        <w:rPr>
          <w:rFonts w:hint="eastAsia" w:ascii="仿宋_GB2312" w:hAnsi="仿宋_GB2312" w:eastAsia="仿宋_GB2312" w:cs="仿宋_GB2312"/>
          <w:sz w:val="21"/>
          <w:szCs w:val="21"/>
          <w:u w:val="single"/>
        </w:rPr>
        <w:t xml:space="preserve"> 1  </w:t>
      </w:r>
      <w:r>
        <w:rPr>
          <w:rFonts w:hint="eastAsia" w:ascii="仿宋_GB2312" w:hAnsi="仿宋_GB2312" w:eastAsia="仿宋_GB2312" w:cs="仿宋_GB2312"/>
          <w:sz w:val="21"/>
          <w:szCs w:val="21"/>
        </w:rPr>
        <w:t>个采暖期、供冷期；</w:t>
      </w:r>
    </w:p>
    <w:p>
      <w:pPr>
        <w:pStyle w:val="18"/>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⒍ 住宅小区内的给排水设施、道路等配套工程为</w:t>
      </w:r>
      <w:r>
        <w:rPr>
          <w:rFonts w:hint="eastAsia" w:ascii="仿宋_GB2312" w:hAnsi="仿宋_GB2312" w:eastAsia="仿宋_GB2312" w:cs="仿宋_GB2312"/>
          <w:sz w:val="21"/>
          <w:szCs w:val="21"/>
          <w:u w:val="single"/>
        </w:rPr>
        <w:t xml:space="preserve"> / </w:t>
      </w:r>
      <w:r>
        <w:rPr>
          <w:rFonts w:hint="eastAsia" w:ascii="仿宋_GB2312" w:hAnsi="仿宋_GB2312" w:eastAsia="仿宋_GB2312" w:cs="仿宋_GB2312"/>
          <w:sz w:val="21"/>
          <w:szCs w:val="21"/>
        </w:rPr>
        <w:t>年；</w:t>
      </w:r>
    </w:p>
    <w:p>
      <w:pPr>
        <w:pStyle w:val="18"/>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⒎ 其他项目保修期限约定如下：</w:t>
      </w:r>
    </w:p>
    <w:p>
      <w:pPr>
        <w:pStyle w:val="18"/>
        <w:spacing w:line="360" w:lineRule="auto"/>
        <w:ind w:left="0" w:right="-6"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本工程的质量保修期自本合同工程整体竣工验收合格交付之日起计算。  </w:t>
      </w:r>
    </w:p>
    <w:p>
      <w:pPr>
        <w:pStyle w:val="18"/>
        <w:spacing w:line="360" w:lineRule="auto"/>
        <w:ind w:left="0" w:right="-6" w:firstLine="640"/>
        <w:rPr>
          <w:rFonts w:ascii="仿宋_GB2312" w:hAnsi="仿宋_GB2312" w:eastAsia="仿宋_GB2312" w:cs="仿宋_GB2312"/>
          <w:sz w:val="21"/>
          <w:szCs w:val="21"/>
        </w:rPr>
      </w:pPr>
      <w:r>
        <w:rPr>
          <w:rFonts w:hint="eastAsia" w:ascii="仿宋_GB2312" w:hAnsi="仿宋_GB2312" w:eastAsia="仿宋_GB2312" w:cs="仿宋_GB2312"/>
          <w:sz w:val="21"/>
          <w:szCs w:val="21"/>
        </w:rPr>
        <w:t>质量保修期自工程竣工验收合格之日起计算。（保修期同施工合同标准）</w:t>
      </w:r>
      <w:bookmarkStart w:id="51" w:name="_Toc355187504"/>
      <w:bookmarkStart w:id="52" w:name="_Toc355355433"/>
    </w:p>
    <w:p>
      <w:pPr>
        <w:pStyle w:val="18"/>
        <w:spacing w:line="360" w:lineRule="auto"/>
        <w:ind w:left="0" w:right="-6" w:firstLine="640"/>
        <w:rPr>
          <w:rFonts w:ascii="仿宋_GB2312" w:hAnsi="仿宋_GB2312" w:eastAsia="仿宋_GB2312" w:cs="仿宋_GB2312"/>
          <w:sz w:val="21"/>
          <w:szCs w:val="21"/>
        </w:rPr>
      </w:pPr>
      <w:r>
        <w:rPr>
          <w:rFonts w:hint="eastAsia" w:ascii="仿宋_GB2312" w:hAnsi="仿宋_GB2312" w:eastAsia="仿宋_GB2312" w:cs="仿宋_GB2312"/>
          <w:sz w:val="21"/>
          <w:szCs w:val="21"/>
        </w:rPr>
        <w:t>缺陷责任期：缺陷责任期为交工验收合格之日起满2年</w:t>
      </w:r>
      <w:bookmarkEnd w:id="51"/>
      <w:bookmarkEnd w:id="52"/>
      <w:r>
        <w:rPr>
          <w:rFonts w:hint="eastAsia" w:ascii="仿宋_GB2312" w:hAnsi="仿宋_GB2312" w:eastAsia="仿宋_GB2312" w:cs="仿宋_GB2312"/>
          <w:sz w:val="21"/>
          <w:szCs w:val="21"/>
        </w:rPr>
        <w:t>。</w:t>
      </w:r>
    </w:p>
    <w:p>
      <w:pPr>
        <w:pStyle w:val="18"/>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eastAsia="仿宋_GB2312" w:cs="仿宋_GB2312"/>
          <w:bCs/>
          <w:spacing w:val="4"/>
          <w:sz w:val="21"/>
          <w:szCs w:val="21"/>
        </w:rPr>
        <w:t>三、质量保修责任</w:t>
      </w:r>
    </w:p>
    <w:p>
      <w:pPr>
        <w:pStyle w:val="18"/>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⒈ 属于保修范围、内容的项目，承包人应当在接到保修通知之日起7天内派人保修。承包人不在约定期限内派人保修的，发包人可以委托他人修理，费用及损失由承包人承担，从质保金中扣除。</w:t>
      </w:r>
    </w:p>
    <w:p>
      <w:pPr>
        <w:pStyle w:val="18"/>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⒉ 发生紧急抢修事故的，承包人在接到事故通知后，应当立即到达事故现场抢修，未及时修理的，发包人可以委托他人修理，费用及损失由承包人承担，从质保金中扣除。非承包人施工质量引起的事故，抢修费用由发包人承担。</w:t>
      </w:r>
    </w:p>
    <w:p>
      <w:pPr>
        <w:pStyle w:val="18"/>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⒊ 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pStyle w:val="18"/>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⒋ 质量保修完成后，由发包人组织验收。</w:t>
      </w:r>
    </w:p>
    <w:p>
      <w:pPr>
        <w:pStyle w:val="18"/>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eastAsia="仿宋_GB2312" w:cs="仿宋_GB2312"/>
          <w:bCs/>
          <w:spacing w:val="4"/>
          <w:sz w:val="21"/>
          <w:szCs w:val="21"/>
        </w:rPr>
        <w:t>四、保修费用</w:t>
      </w:r>
    </w:p>
    <w:p>
      <w:pPr>
        <w:pStyle w:val="18"/>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保修费用由承包人承担，从质保金中扣除。不足部分由乙方筹款支付。</w:t>
      </w:r>
    </w:p>
    <w:p>
      <w:pPr>
        <w:pStyle w:val="18"/>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w:t>
      </w:r>
      <w:r>
        <w:rPr>
          <w:rFonts w:hint="eastAsia" w:ascii="仿宋_GB2312" w:hAnsi="仿宋_GB2312" w:eastAsia="仿宋_GB2312" w:cs="仿宋_GB2312"/>
          <w:bCs/>
          <w:spacing w:val="4"/>
          <w:sz w:val="21"/>
          <w:szCs w:val="21"/>
        </w:rPr>
        <w:t>五、其他</w:t>
      </w:r>
    </w:p>
    <w:p>
      <w:pPr>
        <w:pStyle w:val="18"/>
        <w:spacing w:line="360" w:lineRule="auto"/>
        <w:ind w:left="0" w:right="-6" w:firstLine="315" w:firstLineChars="150"/>
        <w:rPr>
          <w:rFonts w:ascii="仿宋_GB2312" w:hAnsi="仿宋_GB2312" w:eastAsia="仿宋_GB2312" w:cs="仿宋_GB2312"/>
          <w:sz w:val="21"/>
          <w:szCs w:val="21"/>
          <w:u w:val="single"/>
        </w:rPr>
      </w:pPr>
      <w:r>
        <w:rPr>
          <w:rFonts w:hint="eastAsia" w:ascii="仿宋_GB2312" w:hAnsi="仿宋_GB2312" w:eastAsia="仿宋_GB2312" w:cs="仿宋_GB2312"/>
          <w:sz w:val="21"/>
          <w:szCs w:val="21"/>
        </w:rPr>
        <w:t>双方约定的其他工程质量保修事项：</w:t>
      </w:r>
      <w:r>
        <w:rPr>
          <w:rFonts w:hint="eastAsia" w:ascii="仿宋_GB2312" w:hAnsi="仿宋_GB2312" w:eastAsia="仿宋_GB2312" w:cs="仿宋_GB2312"/>
          <w:sz w:val="21"/>
          <w:szCs w:val="21"/>
          <w:u w:val="single"/>
        </w:rPr>
        <w:t xml:space="preserve">        /                       </w:t>
      </w:r>
    </w:p>
    <w:p>
      <w:pPr>
        <w:pStyle w:val="18"/>
        <w:spacing w:line="360" w:lineRule="auto"/>
        <w:ind w:left="0" w:right="-6"/>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本工程质量保修书，由施工合同发包人、承包人双方在竣工验收前共同签署，作为施工合同附件，其有效期限至保修期满。</w:t>
      </w:r>
    </w:p>
    <w:p>
      <w:pPr>
        <w:pStyle w:val="18"/>
        <w:spacing w:line="360" w:lineRule="auto"/>
        <w:ind w:left="0" w:right="-6"/>
        <w:rPr>
          <w:rFonts w:ascii="仿宋_GB2312" w:hAnsi="仿宋_GB2312" w:eastAsia="仿宋_GB2312" w:cs="仿宋_GB2312"/>
          <w:sz w:val="21"/>
          <w:szCs w:val="21"/>
        </w:rPr>
      </w:pPr>
    </w:p>
    <w:p>
      <w:pPr>
        <w:pStyle w:val="18"/>
        <w:spacing w:line="360" w:lineRule="auto"/>
        <w:ind w:left="0" w:right="-6"/>
        <w:rPr>
          <w:rFonts w:ascii="仿宋_GB2312" w:hAnsi="仿宋_GB2312" w:eastAsia="仿宋_GB2312" w:cs="仿宋_GB2312"/>
          <w:sz w:val="21"/>
          <w:szCs w:val="21"/>
        </w:rPr>
      </w:pP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甲方：                             乙方：                 </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法定代表人或                       法定代表人或</w:t>
      </w:r>
    </w:p>
    <w:p>
      <w:pPr>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委托代理人：(签字)                 委托代理人：(签字)</w:t>
      </w:r>
    </w:p>
    <w:p>
      <w:pPr>
        <w:spacing w:line="440" w:lineRule="exact"/>
        <w:rPr>
          <w:rFonts w:ascii="仿宋_GB2312" w:hAnsi="仿宋_GB2312" w:eastAsia="仿宋_GB2312" w:cs="仿宋_GB2312"/>
          <w:bCs/>
          <w:spacing w:val="40"/>
          <w:szCs w:val="21"/>
        </w:rPr>
      </w:pPr>
    </w:p>
    <w:p>
      <w:pPr>
        <w:spacing w:line="440" w:lineRule="exact"/>
        <w:rPr>
          <w:rFonts w:ascii="仿宋_GB2312" w:hAnsi="仿宋_GB2312" w:eastAsia="仿宋_GB2312" w:cs="仿宋_GB2312"/>
          <w:bCs/>
          <w:spacing w:val="40"/>
          <w:szCs w:val="21"/>
        </w:rPr>
      </w:pPr>
    </w:p>
    <w:p>
      <w:pPr>
        <w:spacing w:line="440" w:lineRule="exact"/>
        <w:rPr>
          <w:rFonts w:ascii="仿宋_GB2312" w:hAnsi="仿宋_GB2312" w:eastAsia="仿宋_GB2312" w:cs="仿宋_GB2312"/>
          <w:bCs/>
          <w:spacing w:val="40"/>
          <w:szCs w:val="21"/>
        </w:rPr>
      </w:pPr>
      <w:r>
        <w:rPr>
          <w:rFonts w:hint="eastAsia" w:ascii="仿宋_GB2312" w:hAnsi="仿宋_GB2312" w:eastAsia="仿宋_GB2312" w:cs="仿宋_GB2312"/>
          <w:bCs/>
          <w:spacing w:val="40"/>
          <w:szCs w:val="21"/>
        </w:rPr>
        <w:t xml:space="preserve">   </w:t>
      </w:r>
    </w:p>
    <w:p>
      <w:pPr>
        <w:spacing w:line="440" w:lineRule="exact"/>
        <w:rPr>
          <w:rFonts w:ascii="仿宋_GB2312" w:hAnsi="仿宋_GB2312" w:eastAsia="仿宋_GB2312" w:cs="仿宋_GB2312"/>
          <w:bCs/>
          <w:spacing w:val="40"/>
          <w:szCs w:val="21"/>
        </w:rPr>
      </w:pPr>
    </w:p>
    <w:p>
      <w:pPr>
        <w:pStyle w:val="2"/>
        <w:rPr>
          <w:rFonts w:ascii="仿宋_GB2312" w:hAnsi="仿宋_GB2312" w:eastAsia="仿宋_GB2312" w:cs="仿宋_GB2312"/>
          <w:bCs/>
          <w:spacing w:val="40"/>
          <w:szCs w:val="21"/>
        </w:rPr>
      </w:pPr>
    </w:p>
    <w:p>
      <w:pPr>
        <w:rPr>
          <w:rFonts w:ascii="仿宋_GB2312" w:hAnsi="仿宋_GB2312" w:eastAsia="仿宋_GB2312" w:cs="仿宋_GB2312"/>
          <w:bCs/>
          <w:spacing w:val="40"/>
          <w:szCs w:val="21"/>
        </w:rPr>
      </w:pPr>
    </w:p>
    <w:p>
      <w:pPr>
        <w:rPr>
          <w:rFonts w:ascii="仿宋_GB2312" w:hAnsi="仿宋_GB2312" w:eastAsia="仿宋_GB2312" w:cs="仿宋_GB2312"/>
          <w:bCs/>
          <w:spacing w:val="40"/>
          <w:szCs w:val="21"/>
        </w:rPr>
      </w:pPr>
    </w:p>
    <w:p>
      <w:pPr>
        <w:spacing w:line="560" w:lineRule="exact"/>
        <w:jc w:val="center"/>
        <w:rPr>
          <w:rFonts w:ascii="仿宋" w:hAnsi="仿宋" w:eastAsia="仿宋" w:cs="仿宋"/>
          <w:b/>
          <w:szCs w:val="21"/>
        </w:rPr>
      </w:pPr>
      <w:r>
        <w:rPr>
          <w:rFonts w:hint="eastAsia" w:ascii="仿宋" w:hAnsi="仿宋" w:eastAsia="仿宋" w:cs="仿宋"/>
          <w:b/>
          <w:spacing w:val="40"/>
          <w:szCs w:val="21"/>
        </w:rPr>
        <w:t>安全生产合</w:t>
      </w:r>
      <w:r>
        <w:rPr>
          <w:rFonts w:hint="eastAsia" w:ascii="仿宋" w:hAnsi="仿宋" w:eastAsia="仿宋" w:cs="仿宋"/>
          <w:b/>
          <w:szCs w:val="21"/>
        </w:rPr>
        <w:t>同</w:t>
      </w:r>
    </w:p>
    <w:p>
      <w:pPr>
        <w:wordWrap w:val="0"/>
        <w:topLinePunct/>
        <w:spacing w:line="520" w:lineRule="exact"/>
        <w:ind w:left="10" w:firstLine="409" w:firstLineChars="195"/>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为在施工过程中创造安全、高效的施工环境，切实搞好本项目的安全管理工作，项目承包人 </w:t>
      </w:r>
      <w:r>
        <w:rPr>
          <w:rFonts w:hint="eastAsia" w:ascii="仿宋_GB2312" w:hAnsi="仿宋_GB2312" w:eastAsia="仿宋_GB2312" w:cs="仿宋_GB2312"/>
          <w:color w:val="0C0C0C"/>
          <w:szCs w:val="21"/>
          <w:u w:val="single"/>
        </w:rPr>
        <w:t>安徽省经工建设集团有限公司</w:t>
      </w:r>
      <w:r>
        <w:rPr>
          <w:rFonts w:hint="eastAsia" w:ascii="仿宋_GB2312" w:hAnsi="仿宋_GB2312" w:eastAsia="仿宋_GB2312" w:cs="仿宋_GB2312"/>
          <w:kern w:val="0"/>
          <w:szCs w:val="21"/>
        </w:rPr>
        <w:t>（以下简称“甲方”）与专业分包人</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color w:val="0C0C0C"/>
          <w:szCs w:val="21"/>
          <w:u w:val="single"/>
        </w:rPr>
        <w:t xml:space="preserve"> </w:t>
      </w:r>
      <w:r>
        <w:rPr>
          <w:rFonts w:hint="eastAsia" w:ascii="仿宋_GB2312" w:hAnsi="仿宋_GB2312" w:eastAsia="仿宋_GB2312" w:cs="仿宋_GB2312"/>
          <w:kern w:val="0"/>
          <w:szCs w:val="21"/>
        </w:rPr>
        <w:t>（以下简称“乙方”）特此签订安全生产合同：</w:t>
      </w:r>
    </w:p>
    <w:p>
      <w:pPr>
        <w:wordWrap w:val="0"/>
        <w:topLinePunct/>
        <w:adjustRightInd w:val="0"/>
        <w:spacing w:line="520" w:lineRule="exact"/>
        <w:ind w:firstLine="422" w:firstLineChars="200"/>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一、甲方职责</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1．严格遵守国家有关安全生产的法律法规，认真执行工程承包合同中的有关安全要求。</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2．按照“安全第一、预防为主、综合治理”和坚持“管生产必须管安全”的原则进行安全生产管理，做到生产与安全工作同时计划、布置、检查、总结和评比。</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3．重要的安全设施必须坚持与主体工程“三同时”的原则，即：同时设计、审批，同时施工，同时验收，投入使用。</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4．定期召开安全生产调度会，及时传达中央及地方有关安全生产的精神。</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5．组织对乙方施工现场安全生产检查，监督乙方及时处理发现的各种安全隐患。</w:t>
      </w:r>
    </w:p>
    <w:p>
      <w:pPr>
        <w:autoSpaceDE w:val="0"/>
        <w:autoSpaceDN w:val="0"/>
        <w:adjustRightInd w:val="0"/>
        <w:spacing w:line="520" w:lineRule="exact"/>
        <w:ind w:firstLine="422" w:firstLineChars="200"/>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二、乙方职责</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1．严格遵守国家有关安全生产的法律法规中有关安全生产的规定，认真执行劳务合同中的有关安全要求。</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4．乙方在任何时候都应采取各种合理的预防措施，防止其员工发生任何违法、违禁、暴力或妨碍治安的行为。</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6．操作人员上岗，必须按规定穿戴防护用品。施工负责人和安全检查员应随时检查劳动防护用品的穿戴情况，不按规定穿戴防护用品的人员不得上岗。</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7．所有施工机具设备和高空作业的设备均应定期检查，并有安全员的签字记录，保证其经常处于完好状态；不合格的机具、设备和劳动保护用品严禁使用。</w:t>
      </w:r>
    </w:p>
    <w:p>
      <w:pPr>
        <w:autoSpaceDE w:val="0"/>
        <w:autoSpaceDN w:val="0"/>
        <w:adjustRightInd w:val="0"/>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8．施工中采用新技术、新工艺、新设备、新材料时，必须制定相应的安全技术措施，施工现场必须具有相关的安全标志牌。</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9.乙方严禁将承包的工程或部分工程转包或者违法分包。否则所发生安全事故，由乙方承担全部安全生产责任。</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10.乙方人员应当遵守甲方规章制度，接受甲方安全检查、监督，对违反甲方有关安全管理制度及规定的行为，甲方有权责令乙方立即停止并给予考核。</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11.乙方应具有安全管理组织体制（对特种作业的项目乙方必须出具有效的资质证书），在甲方施工、检修、劳务等现场作业期间，乙方应指派专（兼）职安全人员，全面负责项目的安全、现场、消防工作。</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12.乙方人员进入甲方施工（检修、劳务）现场前，必须到甲方安全监督管理部、保卫科办好一切入厂手续，接受安全教育，严禁“三无”人员进入甲方工作区域，乙方人员必须按在甲方登记备案的名册人员进入作业区域，未经甲方认可不得擅自更换，否则所发生安全事故，由乙方承担全部安全生产责任。</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13.乙方各类作业人员必须具有相应的安全技术素质，特种作业人员必须持有有效的特种作业操作证方准上岗，所使用的特种作业设备必须取得有效的特种作业设备强制安全检验合格证，方准现场使用。</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14.乙方人员在作业期间应当接受甲方的安全监督检查，经查证发现的安全隐患，乙方必须立即采取有效措施予以整改或纠正，否则甲方有权现场勒令停工。</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15.乙方人员在甲方作业期间，必须按工种需要正确穿戴好劳保防护用品，同时应严格遵守甲方各项安全生产管理制度。</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16.乙方管理人员在员工作业前应先熟悉现场，并对所处区域的作业环境可能存在的危险因素、预防措施给员工进行交底，同事对使用的设施设备等，负有认真检查和确认的义务，严禁设施、设备等带病作业，否则因此而产生的一切法律后果，由乙方承担。</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17.乙方人员在作业现场不得擅自动用或操作甲方的设备和机具，否则按本协议约定视为违约，承担违约金，因此酿成的后果由乙方负责。</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18.乙方人员凡高空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生等和在作业面下部增加安全防护网，严禁在没有安全技术措施的情况下冒险踩踏和作业。</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19.乙方在作业期间自备的设备必须符合安全要求，如需借用（租赁）甲方设备、工器具，应由双方协商办理租借手续，借用方应保证设备、工器具符合安全要求，租借方必须经行验收确认并作好书面记录，租借方一经接受使用，表示该设备（工器具）完好无安全隐患，若造成安全事故，后果全有租借方负责。</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20.乙方作业期间的用电必须取得甲方同意，将电源接入器作业场所的总配电箱，必须有防止影响上一级电源的过流断路保护，乙方不得私自拉接电源，否则按本协议约定承担违约金</w:t>
      </w:r>
      <w:r>
        <w:rPr>
          <w:rFonts w:hint="eastAsia" w:ascii="仿宋_GB2312" w:hAnsi="仿宋_GB2312" w:eastAsia="仿宋_GB2312" w:cs="仿宋_GB2312"/>
          <w:color w:val="000000"/>
          <w:kern w:val="0"/>
          <w:szCs w:val="21"/>
          <w:u w:val="single"/>
          <w:shd w:val="clear" w:color="auto" w:fill="FFFFFF"/>
          <w:lang w:bidi="ar"/>
        </w:rPr>
        <w:t>同业主合同</w:t>
      </w:r>
      <w:r>
        <w:rPr>
          <w:rFonts w:hint="eastAsia" w:ascii="仿宋_GB2312" w:hAnsi="仿宋_GB2312" w:eastAsia="仿宋_GB2312" w:cs="仿宋_GB2312"/>
          <w:color w:val="000000"/>
          <w:kern w:val="0"/>
          <w:szCs w:val="21"/>
          <w:shd w:val="clear" w:color="auto" w:fill="FFFFFF"/>
          <w:lang w:bidi="ar"/>
        </w:rPr>
        <w:t>。</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21.在易燃、易爆、有毒有害危险区域进行施工作业，甲乙双方必须严格执行有关专业管理制度，采取有效的预防措施，并办理相关的开工或动火手续，乙方必须提前将安全预防措施报送甲方在危险区域范围内的单位和甲方安全监督管理部审核，甲方在收到其报送资料后，应当于48小时内作出是否同意的决定。</w:t>
      </w:r>
    </w:p>
    <w:p>
      <w:pPr>
        <w:pStyle w:val="2"/>
        <w:ind w:firstLine="420" w:firstLineChars="200"/>
        <w:rPr>
          <w:szCs w:val="21"/>
        </w:rPr>
      </w:pPr>
      <w:r>
        <w:rPr>
          <w:rFonts w:hint="eastAsia" w:ascii="仿宋_GB2312" w:hAnsi="仿宋_GB2312" w:eastAsia="仿宋_GB2312" w:cs="仿宋_GB2312"/>
          <w:color w:val="000000"/>
          <w:kern w:val="0"/>
          <w:szCs w:val="21"/>
          <w:shd w:val="clear" w:color="auto" w:fill="FFFFFF"/>
          <w:lang w:bidi="ar"/>
        </w:rPr>
        <w:t>22.乙方人员在施工（检修、劳务）期间发生的伤害事故由乙方负全部责任，与甲方无关。</w:t>
      </w:r>
    </w:p>
    <w:p>
      <w:pPr>
        <w:autoSpaceDE w:val="0"/>
        <w:autoSpaceDN w:val="0"/>
        <w:adjustRightInd w:val="0"/>
        <w:spacing w:line="520" w:lineRule="exact"/>
        <w:ind w:firstLine="422" w:firstLineChars="200"/>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三、违约责任</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1.本协议履行期间，若因一方违约行为发生安全事故，违约方按其与对方所签订的相关业务合同标的金额（指合同结算金额）</w:t>
      </w:r>
      <w:r>
        <w:rPr>
          <w:rFonts w:hint="eastAsia" w:ascii="仿宋_GB2312" w:hAnsi="仿宋_GB2312" w:eastAsia="仿宋_GB2312" w:cs="仿宋_GB2312"/>
          <w:color w:val="000000"/>
          <w:kern w:val="0"/>
          <w:szCs w:val="21"/>
          <w:u w:val="single"/>
          <w:shd w:val="clear" w:color="auto" w:fill="FFFFFF"/>
          <w:lang w:bidi="ar"/>
        </w:rPr>
        <w:t>同业主合同</w:t>
      </w:r>
      <w:r>
        <w:rPr>
          <w:rFonts w:hint="eastAsia" w:ascii="仿宋_GB2312" w:hAnsi="仿宋_GB2312" w:eastAsia="仿宋_GB2312" w:cs="仿宋_GB2312"/>
          <w:color w:val="000000"/>
          <w:kern w:val="0"/>
          <w:szCs w:val="21"/>
          <w:shd w:val="clear" w:color="auto" w:fill="FFFFFF"/>
          <w:lang w:bidi="ar"/>
        </w:rPr>
        <w:t>承担违约金。并向守约方赔偿因安全事故所造成的全部经济损失。</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2.因乙方管理或操作不当产生的安全隐患或安全事故，每发现一起，乙方承担违约金</w:t>
      </w:r>
      <w:r>
        <w:rPr>
          <w:rFonts w:hint="eastAsia" w:ascii="仿宋_GB2312" w:hAnsi="仿宋_GB2312" w:eastAsia="仿宋_GB2312" w:cs="仿宋_GB2312"/>
          <w:color w:val="000000"/>
          <w:kern w:val="0"/>
          <w:szCs w:val="21"/>
          <w:u w:val="single"/>
          <w:shd w:val="clear" w:color="auto" w:fill="FFFFFF"/>
          <w:lang w:bidi="ar"/>
        </w:rPr>
        <w:t>同业主合同</w:t>
      </w:r>
      <w:r>
        <w:rPr>
          <w:rFonts w:hint="eastAsia" w:ascii="仿宋_GB2312" w:hAnsi="仿宋_GB2312" w:eastAsia="仿宋_GB2312" w:cs="仿宋_GB2312"/>
          <w:color w:val="000000"/>
          <w:kern w:val="0"/>
          <w:szCs w:val="21"/>
          <w:shd w:val="clear" w:color="auto" w:fill="FFFFFF"/>
          <w:lang w:bidi="ar"/>
        </w:rPr>
        <w:t>。</w:t>
      </w:r>
    </w:p>
    <w:p>
      <w:pPr>
        <w:widowControl/>
        <w:shd w:val="clear" w:color="auto" w:fill="FFFFFF"/>
        <w:spacing w:line="50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shd w:val="clear" w:color="auto" w:fill="FFFFFF"/>
          <w:lang w:bidi="ar"/>
        </w:rPr>
        <w:t>3.因乙方违约而发生的违约金和赔偿金，甲方可在应付乙方的相关款中予以扣减。</w:t>
      </w:r>
    </w:p>
    <w:p>
      <w:pPr>
        <w:spacing w:line="52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szCs w:val="21"/>
        </w:rPr>
        <w:t>本协议一式四份，甲方两份乙方两份。</w:t>
      </w:r>
      <w:r>
        <w:rPr>
          <w:rFonts w:hint="eastAsia" w:ascii="仿宋_GB2312" w:hAnsi="仿宋_GB2312" w:eastAsia="仿宋_GB2312" w:cs="仿宋_GB2312"/>
          <w:kern w:val="0"/>
          <w:szCs w:val="21"/>
        </w:rPr>
        <w:t>由双方法定代表人或其授权的代理人签署与加盖公章后生效，全部工程竣工验收后失效。</w:t>
      </w:r>
    </w:p>
    <w:p>
      <w:pPr>
        <w:spacing w:line="520" w:lineRule="exact"/>
        <w:rPr>
          <w:rFonts w:ascii="仿宋_GB2312" w:hAnsi="仿宋_GB2312" w:eastAsia="仿宋_GB2312" w:cs="仿宋_GB2312"/>
          <w:kern w:val="0"/>
          <w:szCs w:val="21"/>
        </w:rPr>
      </w:pPr>
    </w:p>
    <w:p>
      <w:pPr>
        <w:spacing w:line="52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甲方：                              乙方：                 </w:t>
      </w:r>
    </w:p>
    <w:p>
      <w:pPr>
        <w:spacing w:line="52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法定代表人或                       法定代表人或</w:t>
      </w:r>
    </w:p>
    <w:p>
      <w:pPr>
        <w:spacing w:line="520" w:lineRule="exact"/>
        <w:rPr>
          <w:rFonts w:ascii="仿宋_GB2312" w:hAnsi="仿宋_GB2312" w:eastAsia="仿宋_GB2312" w:cs="仿宋_GB2312"/>
          <w:szCs w:val="21"/>
        </w:rPr>
      </w:pPr>
      <w:r>
        <w:rPr>
          <w:rFonts w:hint="eastAsia" w:ascii="仿宋_GB2312" w:hAnsi="仿宋_GB2312" w:eastAsia="仿宋_GB2312" w:cs="仿宋_GB2312"/>
          <w:color w:val="000000"/>
          <w:szCs w:val="21"/>
        </w:rPr>
        <w:t>委托代理人：(签字)                 委托代理人：(签字)</w:t>
      </w:r>
    </w:p>
    <w:p>
      <w:pPr>
        <w:pStyle w:val="2"/>
        <w:rPr>
          <w:rFonts w:ascii="仿宋_GB2312" w:hAnsi="仿宋_GB2312" w:eastAsia="仿宋_GB2312" w:cs="仿宋_GB2312"/>
          <w:szCs w:val="21"/>
        </w:rPr>
      </w:pPr>
    </w:p>
    <w:p>
      <w:pPr>
        <w:pStyle w:val="2"/>
        <w:rPr>
          <w:rFonts w:ascii="仿宋_GB2312" w:hAnsi="仿宋_GB2312" w:eastAsia="仿宋_GB2312" w:cs="仿宋_GB2312"/>
          <w:szCs w:val="21"/>
        </w:rPr>
      </w:pPr>
    </w:p>
    <w:p>
      <w:pPr>
        <w:rPr>
          <w:rFonts w:ascii="仿宋_GB2312" w:hAnsi="仿宋_GB2312" w:eastAsia="仿宋_GB2312" w:cs="仿宋_GB2312"/>
          <w:szCs w:val="21"/>
        </w:rPr>
      </w:pPr>
    </w:p>
    <w:p>
      <w:pPr>
        <w:pStyle w:val="2"/>
        <w:rPr>
          <w:rFonts w:ascii="仿宋_GB2312" w:hAnsi="仿宋_GB2312" w:eastAsia="仿宋_GB2312" w:cs="仿宋_GB2312"/>
          <w:szCs w:val="21"/>
        </w:rPr>
      </w:pPr>
    </w:p>
    <w:p>
      <w:pPr>
        <w:rPr>
          <w:szCs w:val="21"/>
        </w:rPr>
      </w:pPr>
    </w:p>
    <w:p>
      <w:pPr>
        <w:spacing w:line="560" w:lineRule="exact"/>
        <w:jc w:val="center"/>
        <w:rPr>
          <w:rFonts w:ascii="仿宋" w:hAnsi="仿宋" w:eastAsia="仿宋" w:cs="仿宋"/>
          <w:b/>
          <w:spacing w:val="40"/>
          <w:szCs w:val="21"/>
        </w:rPr>
      </w:pPr>
    </w:p>
    <w:p>
      <w:pPr>
        <w:spacing w:line="560" w:lineRule="exact"/>
        <w:jc w:val="center"/>
        <w:rPr>
          <w:rFonts w:ascii="仿宋" w:hAnsi="仿宋" w:eastAsia="仿宋" w:cs="仿宋"/>
          <w:b/>
          <w:spacing w:val="40"/>
          <w:szCs w:val="21"/>
        </w:rPr>
      </w:pPr>
    </w:p>
    <w:p>
      <w:pPr>
        <w:spacing w:line="560" w:lineRule="exact"/>
        <w:jc w:val="center"/>
        <w:rPr>
          <w:rFonts w:ascii="仿宋" w:hAnsi="仿宋" w:eastAsia="仿宋" w:cs="仿宋"/>
          <w:b/>
          <w:spacing w:val="40"/>
          <w:szCs w:val="21"/>
        </w:rPr>
      </w:pPr>
    </w:p>
    <w:p>
      <w:pPr>
        <w:spacing w:line="560" w:lineRule="exact"/>
        <w:jc w:val="center"/>
        <w:rPr>
          <w:rFonts w:ascii="仿宋" w:hAnsi="仿宋" w:eastAsia="仿宋" w:cs="仿宋"/>
          <w:b/>
          <w:spacing w:val="40"/>
          <w:szCs w:val="21"/>
        </w:rPr>
      </w:pPr>
    </w:p>
    <w:p>
      <w:pPr>
        <w:spacing w:line="560" w:lineRule="exact"/>
        <w:jc w:val="center"/>
        <w:rPr>
          <w:rFonts w:ascii="仿宋" w:hAnsi="仿宋" w:eastAsia="仿宋" w:cs="仿宋"/>
          <w:b/>
          <w:spacing w:val="40"/>
          <w:szCs w:val="21"/>
        </w:rPr>
      </w:pPr>
    </w:p>
    <w:p>
      <w:pPr>
        <w:spacing w:line="560" w:lineRule="exact"/>
        <w:jc w:val="center"/>
        <w:rPr>
          <w:rFonts w:ascii="仿宋" w:hAnsi="仿宋" w:eastAsia="仿宋" w:cs="仿宋"/>
          <w:b/>
          <w:spacing w:val="40"/>
          <w:szCs w:val="21"/>
        </w:rPr>
      </w:pPr>
    </w:p>
    <w:p>
      <w:pPr>
        <w:spacing w:line="560" w:lineRule="exact"/>
        <w:jc w:val="center"/>
        <w:rPr>
          <w:rFonts w:ascii="仿宋" w:hAnsi="仿宋" w:eastAsia="仿宋" w:cs="仿宋"/>
          <w:b/>
          <w:spacing w:val="40"/>
          <w:szCs w:val="21"/>
        </w:rPr>
      </w:pPr>
    </w:p>
    <w:p>
      <w:pPr>
        <w:spacing w:line="560" w:lineRule="exact"/>
        <w:jc w:val="center"/>
        <w:rPr>
          <w:rFonts w:ascii="仿宋" w:hAnsi="仿宋" w:eastAsia="仿宋" w:cs="仿宋"/>
          <w:b/>
          <w:spacing w:val="40"/>
          <w:szCs w:val="21"/>
        </w:rPr>
      </w:pPr>
    </w:p>
    <w:p>
      <w:pPr>
        <w:spacing w:line="560" w:lineRule="exact"/>
        <w:jc w:val="center"/>
        <w:rPr>
          <w:rFonts w:ascii="仿宋" w:hAnsi="仿宋" w:eastAsia="仿宋" w:cs="仿宋"/>
          <w:b/>
          <w:spacing w:val="40"/>
          <w:szCs w:val="21"/>
        </w:rPr>
      </w:pPr>
    </w:p>
    <w:p>
      <w:pPr>
        <w:spacing w:line="560" w:lineRule="exact"/>
        <w:jc w:val="center"/>
        <w:rPr>
          <w:rFonts w:ascii="仿宋" w:hAnsi="仿宋" w:eastAsia="仿宋" w:cs="仿宋"/>
          <w:b/>
          <w:spacing w:val="40"/>
          <w:szCs w:val="21"/>
        </w:rPr>
      </w:pPr>
    </w:p>
    <w:p>
      <w:pPr>
        <w:spacing w:line="560" w:lineRule="exact"/>
        <w:jc w:val="center"/>
        <w:rPr>
          <w:rFonts w:ascii="仿宋" w:hAnsi="仿宋" w:eastAsia="仿宋" w:cs="仿宋"/>
          <w:b/>
          <w:spacing w:val="40"/>
          <w:szCs w:val="21"/>
        </w:rPr>
      </w:pPr>
      <w:r>
        <w:rPr>
          <w:rFonts w:hint="eastAsia" w:ascii="仿宋" w:hAnsi="仿宋" w:eastAsia="仿宋" w:cs="仿宋"/>
          <w:b/>
          <w:spacing w:val="40"/>
          <w:szCs w:val="21"/>
        </w:rPr>
        <w:t>廉政合同</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为做好</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施工中的廉政工作，根据有关廉政建设规定，工程的项目法人</w:t>
      </w:r>
      <w:r>
        <w:rPr>
          <w:rFonts w:hint="eastAsia" w:ascii="仿宋_GB2312" w:hAnsi="仿宋_GB2312" w:eastAsia="仿宋_GB2312" w:cs="仿宋_GB2312"/>
          <w:color w:val="0C0C0C"/>
          <w:szCs w:val="21"/>
          <w:u w:val="single"/>
        </w:rPr>
        <w:t>安徽省经工建设集团有限公司</w:t>
      </w:r>
      <w:r>
        <w:rPr>
          <w:rFonts w:hint="eastAsia" w:ascii="仿宋_GB2312" w:hAnsi="仿宋_GB2312" w:eastAsia="仿宋_GB2312" w:cs="仿宋_GB2312"/>
          <w:kern w:val="0"/>
          <w:szCs w:val="21"/>
        </w:rPr>
        <w:t>（以下简称“甲方”）与施工单位</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color w:val="0C0C0C"/>
          <w:szCs w:val="21"/>
          <w:u w:val="single"/>
        </w:rPr>
        <w:t xml:space="preserve"> </w:t>
      </w:r>
      <w:r>
        <w:rPr>
          <w:rFonts w:hint="eastAsia" w:ascii="仿宋_GB2312" w:hAnsi="仿宋_GB2312" w:eastAsia="仿宋_GB2312" w:cs="仿宋_GB2312"/>
          <w:kern w:val="0"/>
          <w:szCs w:val="21"/>
        </w:rPr>
        <w:t>（以下简称“乙方”），特订立如下合同。</w:t>
      </w:r>
    </w:p>
    <w:p>
      <w:pPr>
        <w:wordWrap w:val="0"/>
        <w:topLinePunct/>
        <w:adjustRightInd w:val="0"/>
        <w:spacing w:line="560" w:lineRule="exact"/>
        <w:ind w:firstLine="422" w:firstLineChars="200"/>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一、甲乙双方的权利和义务</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1.严格遵守国家有关法律法规；严格执行</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合同文件，自觉按合同办事。</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2.双方应坚持公开、公正、诚信、透明的原则（法律认定的商业秘密和合同文件另有规定除外），不得损害国家和集体利益，违反工程建设管理规章制度。</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3.建立健全廉政制度，开展廉政教育，设立廉政告示牌，公布举报电话，监督并认真查处违法违纪行为。</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4.发现对方有违反廉政规定的行为，应及时提醒对方纠正；发现对方严重违反合同条款，应向其上级有关部门举报，要求反馈处理结果。</w:t>
      </w:r>
    </w:p>
    <w:p>
      <w:pPr>
        <w:wordWrap w:val="0"/>
        <w:topLinePunct/>
        <w:adjustRightInd w:val="0"/>
        <w:spacing w:line="560" w:lineRule="exact"/>
        <w:ind w:firstLine="422" w:firstLineChars="200"/>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二、甲方的义务</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1.甲方及其工作人员不得索要或接受乙方的礼金、有价证券和贵重物品，不得在乙方报销任何费用。</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2.甲方工作人员不得参加乙方安排的超标准宴请和娱乐活动；不得接受乙方提供的通讯工具、交通工具等。</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3.甲方工作人员及其配偶、子女不得从事与甲方工程有关的材料设备供应、工程分包、劳务等经济活动等。</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4.甲方及其工作人员不得以任何理由向乙方推荐或推销材料，不得要求乙方购买合同规定外的材料和设备。</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5.甲方工作人员要秉公办事，不准营私舞弊，不准利用职权从事各种个人有偿中介活动和安排个人施工队伍。</w:t>
      </w:r>
    </w:p>
    <w:p>
      <w:pPr>
        <w:wordWrap w:val="0"/>
        <w:topLinePunct/>
        <w:adjustRightInd w:val="0"/>
        <w:spacing w:line="560" w:lineRule="exact"/>
        <w:ind w:firstLine="422" w:firstLineChars="200"/>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三、乙方义务</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1.乙方不得向甲方及其工作人员行贿或馈赠礼金、有价证券、贵重礼品。</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2.乙方不得为甲方及其工作人员报销任何费用。</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3.乙方不得安排甲方工作人员参加超标准宴请及娱乐活动。</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4.乙方不得为甲方单位和个人购置或提供通讯工具、交通工具等。</w:t>
      </w:r>
    </w:p>
    <w:p>
      <w:pPr>
        <w:wordWrap w:val="0"/>
        <w:topLinePunct/>
        <w:adjustRightInd w:val="0"/>
        <w:spacing w:line="560" w:lineRule="exact"/>
        <w:ind w:firstLine="422" w:firstLineChars="200"/>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四、违约责任</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1.甲方及其工作人员违反本合同第一、二条，按管理权限，依据有关规定给予党纪、政纪或组织处理；涉嫌犯罪的，移交司法机关追究刑事责任；给乙方单位造成经济损失的，应予以赔偿。</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2.乙方及其工作人员违反本合同第一、三条，按管理权限，依据有关规定给予党纪、政纪组织处理；给甲方单位造成经济损失的，应予以赔偿；情节严重的，按有关规定执行。</w:t>
      </w:r>
    </w:p>
    <w:p>
      <w:pPr>
        <w:wordWrap w:val="0"/>
        <w:topLinePunct/>
        <w:adjustRightInd w:val="0"/>
        <w:spacing w:line="560" w:lineRule="exact"/>
        <w:ind w:firstLine="422" w:firstLineChars="200"/>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五、双方约定</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本合同由双方或双方上级单位的纪检监察机关负责监督执行。</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六、本合同有效期为甲乙双方签署之日起至该工程项目竣工验收后止。</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七、本合同作为</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施工合同的附件，与工程施工合同具有同等的法律效力，经合同双方签署立即生效。</w:t>
      </w:r>
    </w:p>
    <w:p>
      <w:pPr>
        <w:wordWrap w:val="0"/>
        <w:topLinePunct/>
        <w:adjustRightInd w:val="0"/>
        <w:spacing w:line="5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八、</w:t>
      </w:r>
      <w:r>
        <w:rPr>
          <w:rFonts w:hint="eastAsia" w:ascii="仿宋_GB2312" w:hAnsi="仿宋_GB2312" w:eastAsia="仿宋_GB2312" w:cs="仿宋_GB2312"/>
          <w:szCs w:val="21"/>
        </w:rPr>
        <w:t>本协议一式四份，甲方两份乙方两份。</w:t>
      </w:r>
      <w:r>
        <w:rPr>
          <w:rFonts w:hint="eastAsia" w:ascii="仿宋_GB2312" w:hAnsi="仿宋_GB2312" w:eastAsia="仿宋_GB2312" w:cs="仿宋_GB2312"/>
          <w:kern w:val="0"/>
          <w:szCs w:val="21"/>
        </w:rPr>
        <w:t>由双方法定代表人或其授权的代理人签署与加盖公章后生效。</w:t>
      </w:r>
    </w:p>
    <w:p>
      <w:pPr>
        <w:wordWrap w:val="0"/>
        <w:topLinePunct/>
        <w:adjustRightInd w:val="0"/>
        <w:spacing w:line="560" w:lineRule="exact"/>
        <w:ind w:firstLine="420" w:firstLineChars="200"/>
        <w:rPr>
          <w:rFonts w:ascii="仿宋_GB2312" w:hAnsi="仿宋_GB2312" w:eastAsia="仿宋_GB2312" w:cs="仿宋_GB2312"/>
          <w:kern w:val="0"/>
          <w:szCs w:val="21"/>
        </w:rPr>
      </w:pPr>
    </w:p>
    <w:p>
      <w:pPr>
        <w:wordWrap w:val="0"/>
        <w:topLinePunct/>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甲方：                              乙方：                 </w:t>
      </w:r>
    </w:p>
    <w:p>
      <w:pPr>
        <w:wordWrap w:val="0"/>
        <w:topLinePunct/>
        <w:spacing w:line="56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法定代表人或                       法定代表人或</w:t>
      </w:r>
    </w:p>
    <w:p>
      <w:pP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委托代理人：(签字)                 委托代理人：(签字）</w:t>
      </w:r>
    </w:p>
    <w:p/>
    <w:p/>
    <w:p/>
    <w:p/>
    <w:p/>
    <w:p/>
    <w:p/>
    <w:p>
      <w:pPr>
        <w:pStyle w:val="3"/>
        <w:spacing w:before="312" w:after="312"/>
      </w:pPr>
      <w:r>
        <w:t>采购需求及清单</w:t>
      </w:r>
    </w:p>
    <w:p/>
    <w:p/>
    <w:p>
      <w:pPr>
        <w:pStyle w:val="4"/>
        <w:numPr>
          <w:ilvl w:val="0"/>
          <w:numId w:val="0"/>
        </w:numPr>
        <w:snapToGrid w:val="0"/>
        <w:spacing w:before="120" w:after="120" w:line="240" w:lineRule="auto"/>
        <w:ind w:left="630"/>
        <w:rPr>
          <w:rFonts w:ascii="Times New Roman" w:hAnsi="Times New Roman" w:cs="Times New Roman"/>
        </w:rPr>
      </w:pPr>
      <w:bookmarkStart w:id="53" w:name="_Toc28814_WPSOffice_Level2"/>
      <w:r>
        <w:rPr>
          <w:rFonts w:ascii="Times New Roman" w:hAnsi="Times New Roman" w:cs="Times New Roman"/>
        </w:rPr>
        <w:t>1、技术标准和要求</w:t>
      </w:r>
    </w:p>
    <w:bookmarkEnd w:id="53"/>
    <w:p>
      <w:pPr>
        <w:pStyle w:val="4"/>
        <w:numPr>
          <w:ilvl w:val="0"/>
          <w:numId w:val="0"/>
        </w:numPr>
        <w:snapToGrid w:val="0"/>
        <w:spacing w:before="120" w:after="120" w:line="240" w:lineRule="auto"/>
        <w:ind w:left="630"/>
        <w:rPr>
          <w:rFonts w:ascii="Times New Roman" w:hAnsi="Times New Roman" w:cs="Times New Roman"/>
        </w:rPr>
      </w:pPr>
      <w:bookmarkStart w:id="54" w:name="_Toc27821_WPSOffice_Level2"/>
      <w:r>
        <w:rPr>
          <w:rFonts w:ascii="Times New Roman" w:hAnsi="Times New Roman" w:cs="Times New Roman"/>
        </w:rPr>
        <w:t>2、图纸</w:t>
      </w:r>
      <w:bookmarkEnd w:id="54"/>
      <w:r>
        <w:rPr>
          <w:rFonts w:hint="eastAsia" w:ascii="Times New Roman" w:hAnsi="Times New Roman" w:cs="Times New Roman"/>
        </w:rPr>
        <w:t>（如有）</w:t>
      </w:r>
    </w:p>
    <w:p>
      <w:pPr>
        <w:pStyle w:val="4"/>
        <w:numPr>
          <w:ilvl w:val="0"/>
          <w:numId w:val="0"/>
        </w:numPr>
        <w:snapToGrid w:val="0"/>
        <w:spacing w:before="120" w:after="120" w:line="240" w:lineRule="auto"/>
        <w:ind w:left="630"/>
        <w:rPr>
          <w:rFonts w:ascii="Times New Roman" w:hAnsi="Times New Roman" w:cs="Times New Roman"/>
        </w:rPr>
      </w:pPr>
      <w:bookmarkStart w:id="55" w:name="_Toc18078_WPSOffice_Level2"/>
      <w:r>
        <w:rPr>
          <w:rFonts w:ascii="Times New Roman" w:hAnsi="Times New Roman" w:cs="Times New Roman"/>
        </w:rPr>
        <w:t>3、工程量清单</w:t>
      </w:r>
      <w:bookmarkEnd w:id="55"/>
    </w:p>
    <w:p>
      <w:pPr>
        <w:ind w:left="636" w:leftChars="303"/>
        <w:rPr>
          <w:rFonts w:ascii="Times New Roman" w:hAnsi="Times New Roman" w:cs="Times New Roman"/>
        </w:rPr>
      </w:pPr>
      <w:r>
        <w:rPr>
          <w:rFonts w:hint="eastAsia" w:ascii="Times New Roman" w:hAnsi="Times New Roman" w:cs="Times New Roman"/>
        </w:rPr>
        <w:t>3.1工程量清单编制说明（编制说明中应明确：供应商不得修改工程量清单编制说明）</w:t>
      </w:r>
    </w:p>
    <w:p>
      <w:pPr>
        <w:pStyle w:val="4"/>
        <w:numPr>
          <w:ilvl w:val="0"/>
          <w:numId w:val="0"/>
        </w:numPr>
        <w:snapToGrid w:val="0"/>
        <w:spacing w:before="120"/>
        <w:ind w:left="630"/>
        <w:rPr>
          <w:rFonts w:ascii="Times New Roman" w:hAnsi="Times New Roman" w:cs="Times New Roman"/>
        </w:rPr>
      </w:pPr>
      <w:r>
        <w:rPr>
          <w:rFonts w:hint="eastAsia" w:ascii="Times New Roman" w:hAnsi="Times New Roman" w:cs="Times New Roman"/>
        </w:rPr>
        <w:t>3.2工程量清单</w:t>
      </w:r>
    </w:p>
    <w:p/>
    <w:p/>
    <w:p/>
    <w:p/>
    <w:p/>
    <w:p/>
    <w:p/>
    <w:p/>
    <w:p/>
    <w:p/>
    <w:p/>
    <w:p/>
    <w:p/>
    <w:p/>
    <w:p/>
    <w:p/>
    <w:p/>
    <w:p/>
    <w:p/>
    <w:p/>
    <w:p/>
    <w:p/>
    <w:p/>
    <w:p/>
    <w:p/>
    <w:p/>
    <w:p/>
    <w:p/>
    <w:p/>
    <w:p/>
    <w:p/>
    <w:p>
      <w:pPr>
        <w:pStyle w:val="3"/>
        <w:spacing w:before="312" w:after="312"/>
      </w:pPr>
      <w:bookmarkStart w:id="56" w:name="_Toc17685_WPSOffice_Level1"/>
      <w:r>
        <w:t>响应文件格式</w:t>
      </w:r>
      <w:bookmarkEnd w:id="56"/>
    </w:p>
    <w:p>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bookmarkStart w:id="57" w:name="_Toc1914_WPSOffice_Level1"/>
      <w:bookmarkStart w:id="58" w:name="_Toc32044_WPSOffice_Level1"/>
      <w:bookmarkStart w:id="59" w:name="_Toc17394_WPSOffice_Level1"/>
      <w:bookmarkStart w:id="60" w:name="_Toc10484_WPSOffice_Level1"/>
      <w:r>
        <w:rPr>
          <w:rFonts w:ascii="Times New Roman" w:hAnsi="Times New Roman" w:eastAsia="黑体" w:cs="Times New Roman"/>
          <w:sz w:val="50"/>
          <w:szCs w:val="50"/>
        </w:rPr>
        <w:t>响  应  文  件</w:t>
      </w:r>
      <w:bookmarkEnd w:id="57"/>
      <w:bookmarkEnd w:id="58"/>
      <w:bookmarkEnd w:id="59"/>
      <w:bookmarkEnd w:id="60"/>
    </w:p>
    <w:p>
      <w:pPr>
        <w:spacing w:line="440" w:lineRule="exact"/>
        <w:ind w:firstLine="3520" w:firstLineChars="1100"/>
        <w:rPr>
          <w:rFonts w:ascii="Times New Roman" w:hAnsi="Times New Roman" w:eastAsia="黑体" w:cs="Times New Roman"/>
          <w:sz w:val="32"/>
          <w:szCs w:val="32"/>
        </w:rPr>
      </w:pPr>
      <w:r>
        <w:rPr>
          <w:rFonts w:hint="eastAsia" w:ascii="Times New Roman" w:hAnsi="Times New Roman" w:eastAsia="黑体" w:cs="Times New Roman"/>
          <w:sz w:val="32"/>
          <w:szCs w:val="32"/>
        </w:rPr>
        <w:t>（报价文件）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61" w:name="_Toc5520_WPSOffice_Level2"/>
      <w:bookmarkStart w:id="62"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61"/>
      <w:bookmarkEnd w:id="62"/>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63" w:name="_Toc20076_WPSOffice_Level2"/>
      <w:bookmarkStart w:id="64"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63"/>
      <w:bookmarkEnd w:id="64"/>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65" w:name="_Toc21974_WPSOffice_Level2"/>
      <w:bookmarkStart w:id="66" w:name="_Toc22351_WPSOffice_Level2"/>
      <w:r>
        <w:rPr>
          <w:rFonts w:ascii="Times New Roman" w:hAnsi="Times New Roman" w:eastAsia="黑体" w:cs="Times New Roman"/>
          <w:sz w:val="28"/>
          <w:szCs w:val="28"/>
        </w:rPr>
        <w:t>目     录</w:t>
      </w:r>
      <w:bookmarkEnd w:id="65"/>
      <w:bookmarkEnd w:id="66"/>
    </w:p>
    <w:p>
      <w:pPr>
        <w:spacing w:line="440" w:lineRule="exact"/>
        <w:rPr>
          <w:rFonts w:ascii="Times New Roman" w:hAnsi="Times New Roman" w:eastAsia="黑体" w:cs="Times New Roman"/>
          <w:sz w:val="20"/>
          <w:szCs w:val="20"/>
        </w:rPr>
      </w:pPr>
    </w:p>
    <w:p>
      <w:pPr>
        <w:spacing w:line="440" w:lineRule="exact"/>
        <w:ind w:left="1619" w:leftChars="771"/>
        <w:rPr>
          <w:rFonts w:ascii="Times New Roman" w:hAnsi="Times New Roman" w:eastAsia="黑体" w:cs="Times New Roman"/>
          <w:sz w:val="24"/>
        </w:rPr>
      </w:pPr>
      <w:bookmarkStart w:id="67" w:name="_Toc11424_WPSOffice_Level1"/>
      <w:bookmarkStart w:id="68" w:name="_Toc6353_WPSOffice_Level1"/>
      <w:bookmarkStart w:id="69" w:name="_Toc23368_WPSOffice_Level1"/>
      <w:bookmarkStart w:id="70" w:name="_Toc30529_WPSOffice_Level1"/>
      <w:bookmarkStart w:id="71" w:name="_Toc12670_WPSOffice_Level1"/>
      <w:r>
        <w:rPr>
          <w:rFonts w:ascii="Times New Roman" w:hAnsi="Times New Roman" w:eastAsia="黑体" w:cs="Times New Roman"/>
          <w:sz w:val="24"/>
        </w:rPr>
        <w:t>一、报价函</w:t>
      </w:r>
      <w:bookmarkEnd w:id="67"/>
      <w:bookmarkEnd w:id="68"/>
      <w:bookmarkEnd w:id="69"/>
      <w:bookmarkEnd w:id="70"/>
    </w:p>
    <w:p>
      <w:pPr>
        <w:spacing w:line="440" w:lineRule="exact"/>
        <w:ind w:left="1619" w:leftChars="771"/>
        <w:rPr>
          <w:rFonts w:ascii="Times New Roman" w:hAnsi="Times New Roman" w:eastAsia="黑体" w:cs="Times New Roman"/>
          <w:sz w:val="24"/>
        </w:rPr>
      </w:pPr>
      <w:bookmarkStart w:id="72" w:name="_Toc21229_WPSOffice_Level1"/>
      <w:bookmarkStart w:id="73" w:name="_Toc32729_WPSOffice_Level1"/>
      <w:bookmarkStart w:id="74" w:name="_Toc31927_WPSOffice_Level1"/>
      <w:bookmarkStart w:id="75" w:name="_Toc5317_WPSOffice_Level1"/>
      <w:r>
        <w:rPr>
          <w:rFonts w:ascii="Times New Roman" w:hAnsi="Times New Roman" w:eastAsia="黑体" w:cs="Times New Roman"/>
          <w:sz w:val="24"/>
        </w:rPr>
        <w:t>二、法定代表人身份证明及授权委托书</w:t>
      </w:r>
      <w:bookmarkEnd w:id="72"/>
      <w:bookmarkEnd w:id="73"/>
      <w:bookmarkEnd w:id="74"/>
      <w:bookmarkEnd w:id="75"/>
    </w:p>
    <w:bookmarkEnd w:id="71"/>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76" w:name="_Toc1017_WPSOffice_Level1"/>
      <w:bookmarkStart w:id="77" w:name="_Toc3972_WPSOffice_Level1"/>
      <w:bookmarkStart w:id="78" w:name="_Toc18312_WPSOffice_Level1"/>
      <w:bookmarkStart w:id="79" w:name="_Toc1687_WPSOffice_Level1"/>
      <w:bookmarkStart w:id="80" w:name="_Toc2765_WPSOffice_Level1"/>
      <w:r>
        <w:rPr>
          <w:rFonts w:ascii="Times New Roman" w:hAnsi="Times New Roman" w:eastAsia="黑体" w:cs="Times New Roman"/>
          <w:sz w:val="28"/>
          <w:szCs w:val="28"/>
        </w:rPr>
        <w:t>一、报价函</w:t>
      </w:r>
      <w:bookmarkEnd w:id="76"/>
      <w:bookmarkEnd w:id="77"/>
      <w:bookmarkEnd w:id="78"/>
      <w:bookmarkEnd w:id="79"/>
      <w:bookmarkEnd w:id="80"/>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合同包询比文件的全部内容(含补遗书第__号至第__号)，在考察工程现场后，</w:t>
      </w:r>
      <w:r>
        <w:rPr>
          <w:rFonts w:hint="default" w:ascii="Times New Roman" w:hAnsi="Times New Roman" w:cs="Times New Roman"/>
          <w:color w:val="auto"/>
          <w:sz w:val="24"/>
          <w:highlight w:val="none"/>
        </w:rPr>
        <w:t>愿意以人民币(大写)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(小写：¥</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)的总报价</w:t>
      </w:r>
      <w:r>
        <w:rPr>
          <w:rFonts w:ascii="Times New Roman" w:hAnsi="Times New Roman" w:cs="Times New Roman"/>
          <w:sz w:val="24"/>
        </w:rPr>
        <w:t>，按合同约定实施和完成承包工程，修补工程中的任何缺陷，工程质量目标达到</w:t>
      </w:r>
      <w:r>
        <w:rPr>
          <w:rFonts w:ascii="Times New Roman" w:hAnsi="Times New Roman" w:cs="Times New Roman"/>
          <w:sz w:val="24"/>
          <w:u w:val="single"/>
        </w:rPr>
        <w:t xml:space="preserve">     </w:t>
      </w:r>
      <w:r>
        <w:rPr>
          <w:rFonts w:ascii="Times New Roman" w:hAnsi="Times New Roman" w:cs="Times New Roman"/>
          <w:sz w:val="24"/>
        </w:rPr>
        <w:t>。</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3．随同本报价函提交响应保证金一份，金额为人民币(大写)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(3)我方承诺在合同约定的期限内完成并移交全部合同工程。</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6．在合同协议书正式签署生效之前，本报价函连同你方的成交通知书将构成我们双方之间共同遵守的文件，对双方具有约束力。</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7．我方理解，你方不一定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8.____________。</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00" w:lineRule="exact"/>
        <w:ind w:firstLine="4740" w:firstLineChars="1975"/>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rPr>
        <w:br w:type="page"/>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81" w:name="_Toc14563_WPSOffice_Level1"/>
      <w:bookmarkStart w:id="82" w:name="_Toc1996_WPSOffice_Level1"/>
      <w:bookmarkStart w:id="83" w:name="_Toc18668_WPSOffice_Level1"/>
      <w:bookmarkStart w:id="84" w:name="_Toc4951_WPSOffice_Level1"/>
      <w:bookmarkStart w:id="85" w:name="_Toc32350_WPSOffice_Level1"/>
      <w:r>
        <w:rPr>
          <w:rFonts w:ascii="Times New Roman" w:hAnsi="Times New Roman" w:eastAsia="黑体" w:cs="Times New Roman"/>
          <w:sz w:val="28"/>
          <w:szCs w:val="28"/>
        </w:rPr>
        <w:t>二、法定代表人身份证明及授权委托书</w:t>
      </w:r>
      <w:bookmarkEnd w:id="81"/>
      <w:bookmarkEnd w:id="82"/>
      <w:bookmarkEnd w:id="83"/>
      <w:bookmarkEnd w:id="84"/>
      <w:bookmarkEnd w:id="85"/>
    </w:p>
    <w:p>
      <w:pPr>
        <w:spacing w:line="440" w:lineRule="exact"/>
        <w:rPr>
          <w:rFonts w:ascii="Times New Roman" w:hAnsi="Times New Roman" w:cs="Times New Roman"/>
          <w:sz w:val="20"/>
          <w:szCs w:val="20"/>
        </w:rPr>
      </w:pPr>
    </w:p>
    <w:p>
      <w:pPr>
        <w:spacing w:line="440" w:lineRule="exact"/>
        <w:jc w:val="center"/>
        <w:rPr>
          <w:rFonts w:ascii="Times New Roman" w:hAnsi="Times New Roman" w:cs="Times New Roman"/>
          <w:sz w:val="28"/>
          <w:szCs w:val="28"/>
        </w:rPr>
      </w:pPr>
      <w:bookmarkStart w:id="86" w:name="_Toc20803_WPSOffice_Level2"/>
      <w:bookmarkStart w:id="87" w:name="_Toc5153_WPSOffice_Level2"/>
      <w:r>
        <w:rPr>
          <w:rFonts w:ascii="Times New Roman" w:hAnsi="Times New Roman" w:eastAsia="黑体" w:cs="Times New Roman"/>
          <w:bCs/>
          <w:sz w:val="28"/>
          <w:szCs w:val="28"/>
        </w:rPr>
        <w:t>2-1 法定代表人身份证明</w:t>
      </w:r>
      <w:bookmarkEnd w:id="86"/>
      <w:bookmarkEnd w:id="87"/>
    </w:p>
    <w:p>
      <w:pPr>
        <w:spacing w:line="440" w:lineRule="exact"/>
        <w:rPr>
          <w:rFonts w:ascii="Times New Roman" w:hAnsi="Times New Roman" w:cs="Times New Roman"/>
          <w:sz w:val="20"/>
          <w:szCs w:val="20"/>
        </w:rPr>
      </w:pPr>
    </w:p>
    <w:p>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88" w:name="_Toc12035_WPSOffice_Level2"/>
      <w:bookmarkStart w:id="89" w:name="_Toc19768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88"/>
      <w:bookmarkEnd w:id="89"/>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
    <w:p/>
    <w:p/>
    <w:p/>
    <w:p/>
    <w:p/>
    <w:p/>
    <w:p/>
    <w:p/>
    <w:p/>
    <w:p/>
    <w:p>
      <w:pPr>
        <w:spacing w:line="440" w:lineRule="exact"/>
        <w:rPr>
          <w:rFonts w:ascii="Times New Roman" w:hAnsi="Times New Roman" w:eastAsia="黑体" w:cs="Times New Roman"/>
          <w:sz w:val="24"/>
        </w:rPr>
      </w:pPr>
      <w:bookmarkStart w:id="90" w:name="_Toc27600_WPSOffice_Level2"/>
      <w:bookmarkStart w:id="91" w:name="_Toc2807_WPSOffice_Level2"/>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pPr>
        <w:spacing w:line="440" w:lineRule="exact"/>
        <w:ind w:firstLine="3520" w:firstLineChars="1100"/>
        <w:rPr>
          <w:rFonts w:ascii="Times New Roman" w:hAnsi="Times New Roman" w:eastAsia="黑体" w:cs="Times New Roman"/>
          <w:sz w:val="32"/>
          <w:szCs w:val="32"/>
        </w:rPr>
      </w:pPr>
      <w:r>
        <w:rPr>
          <w:rFonts w:hint="eastAsia" w:ascii="Times New Roman" w:hAnsi="Times New Roman" w:eastAsia="黑体" w:cs="Times New Roman"/>
          <w:sz w:val="32"/>
          <w:szCs w:val="32"/>
        </w:rPr>
        <w:t>（技术文件）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pPr>
        <w:topLinePunct/>
        <w:spacing w:line="440" w:lineRule="exact"/>
        <w:jc w:val="center"/>
        <w:rPr>
          <w:rFonts w:ascii="Times New Roman" w:hAnsi="Times New Roman" w:eastAsia="黑体" w:cs="Times New Roman"/>
          <w:sz w:val="28"/>
          <w:szCs w:val="28"/>
        </w:rPr>
      </w:pPr>
    </w:p>
    <w:p>
      <w:pPr>
        <w:topLinePunct/>
        <w:spacing w:line="440" w:lineRule="exact"/>
        <w:jc w:val="center"/>
        <w:rPr>
          <w:rFonts w:ascii="Times New Roman" w:hAnsi="Times New Roman" w:eastAsia="黑体" w:cs="Times New Roman"/>
          <w:sz w:val="28"/>
          <w:szCs w:val="28"/>
        </w:rPr>
      </w:pPr>
    </w:p>
    <w:p>
      <w:pPr>
        <w:topLinePunct/>
        <w:spacing w:line="440" w:lineRule="exact"/>
        <w:jc w:val="center"/>
        <w:rPr>
          <w:rFonts w:ascii="Times New Roman" w:hAnsi="Times New Roman" w:eastAsia="黑体" w:cs="Times New Roman"/>
          <w:sz w:val="28"/>
          <w:szCs w:val="28"/>
        </w:rPr>
      </w:pPr>
    </w:p>
    <w:p>
      <w:pPr>
        <w:topLinePunct/>
        <w:spacing w:line="440" w:lineRule="exact"/>
        <w:jc w:val="center"/>
        <w:rPr>
          <w:rFonts w:ascii="Times New Roman" w:hAnsi="Times New Roman" w:eastAsia="黑体" w:cs="Times New Roman"/>
          <w:sz w:val="28"/>
          <w:szCs w:val="28"/>
        </w:rPr>
      </w:pPr>
    </w:p>
    <w:p>
      <w:pPr>
        <w:topLinePunct/>
        <w:spacing w:line="440" w:lineRule="exact"/>
        <w:jc w:val="center"/>
        <w:rPr>
          <w:rFonts w:ascii="Times New Roman" w:hAnsi="Times New Roman" w:eastAsia="黑体" w:cs="Times New Roman"/>
          <w:sz w:val="28"/>
          <w:szCs w:val="28"/>
        </w:rPr>
      </w:pPr>
    </w:p>
    <w:p>
      <w:pPr>
        <w:topLinePunct/>
        <w:spacing w:line="440" w:lineRule="exact"/>
        <w:jc w:val="center"/>
        <w:rPr>
          <w:rFonts w:ascii="Times New Roman" w:hAnsi="Times New Roman" w:eastAsia="黑体" w:cs="Times New Roman"/>
          <w:sz w:val="28"/>
          <w:szCs w:val="28"/>
        </w:rPr>
      </w:pPr>
    </w:p>
    <w:p>
      <w:pPr>
        <w:topLinePunct/>
        <w:spacing w:line="440" w:lineRule="exact"/>
        <w:jc w:val="center"/>
        <w:rPr>
          <w:rFonts w:ascii="Times New Roman" w:hAnsi="Times New Roman" w:eastAsia="黑体" w:cs="Times New Roman"/>
          <w:sz w:val="28"/>
          <w:szCs w:val="28"/>
        </w:rPr>
      </w:pPr>
    </w:p>
    <w:p>
      <w:pPr>
        <w:topLinePunct/>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目     录</w:t>
      </w:r>
    </w:p>
    <w:p>
      <w:pPr>
        <w:spacing w:line="440" w:lineRule="exact"/>
        <w:rPr>
          <w:rFonts w:ascii="Times New Roman" w:hAnsi="Times New Roman" w:eastAsia="黑体" w:cs="Times New Roman"/>
          <w:sz w:val="20"/>
          <w:szCs w:val="20"/>
        </w:rPr>
      </w:pPr>
    </w:p>
    <w:p>
      <w:pPr>
        <w:numPr>
          <w:ilvl w:val="0"/>
          <w:numId w:val="6"/>
        </w:num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供应商基本情况</w:t>
      </w:r>
    </w:p>
    <w:p>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二、近年类似业绩情况</w:t>
      </w:r>
    </w:p>
    <w:p>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三、拟委任的主要人员</w:t>
      </w:r>
    </w:p>
    <w:p>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四</w:t>
      </w:r>
      <w:r>
        <w:rPr>
          <w:rFonts w:ascii="Times New Roman" w:hAnsi="Times New Roman" w:eastAsia="黑体" w:cs="Times New Roman"/>
          <w:sz w:val="24"/>
        </w:rPr>
        <w:t>、</w:t>
      </w:r>
      <w:r>
        <w:rPr>
          <w:rFonts w:hint="eastAsia" w:ascii="Times New Roman" w:hAnsi="Times New Roman" w:eastAsia="黑体" w:cs="Times New Roman"/>
          <w:sz w:val="24"/>
        </w:rPr>
        <w:t>响应保证金</w:t>
      </w:r>
    </w:p>
    <w:p>
      <w:pPr>
        <w:spacing w:line="440" w:lineRule="exact"/>
        <w:ind w:left="1619" w:leftChars="771"/>
        <w:rPr>
          <w:rFonts w:ascii="Times New Roman" w:hAnsi="Times New Roman" w:eastAsia="黑体" w:cs="Times New Roman"/>
          <w:sz w:val="24"/>
        </w:rPr>
      </w:pPr>
      <w:r>
        <w:rPr>
          <w:rFonts w:hint="eastAsia" w:ascii="Times New Roman" w:hAnsi="Times New Roman" w:eastAsia="黑体" w:cs="Times New Roman"/>
          <w:sz w:val="24"/>
        </w:rPr>
        <w:t>五、施工组织设计</w:t>
      </w: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一、</w:t>
      </w:r>
      <w:r>
        <w:rPr>
          <w:rFonts w:ascii="Times New Roman" w:hAnsi="Times New Roman" w:eastAsia="黑体" w:cs="Times New Roman"/>
          <w:sz w:val="28"/>
          <w:szCs w:val="28"/>
        </w:rPr>
        <w:t>供应商基本情况</w:t>
      </w:r>
      <w:bookmarkEnd w:id="90"/>
      <w:bookmarkEnd w:id="91"/>
    </w:p>
    <w:p>
      <w:pPr>
        <w:topLinePunct/>
        <w:spacing w:line="440" w:lineRule="exact"/>
        <w:jc w:val="center"/>
        <w:rPr>
          <w:rFonts w:ascii="Times New Roman" w:hAnsi="Times New Roman" w:cs="Times New Roman"/>
          <w:sz w:val="23"/>
          <w:szCs w:val="23"/>
        </w:rPr>
      </w:pPr>
    </w:p>
    <w:tbl>
      <w:tblPr>
        <w:tblStyle w:val="13"/>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w:t>
      </w:r>
      <w:r>
        <w:rPr>
          <w:rFonts w:ascii="Times New Roman" w:hAnsi="Times New Roman" w:eastAsia="黑体" w:cs="Times New Roman"/>
          <w:szCs w:val="21"/>
        </w:rPr>
        <w:t>、安全生产许可证</w:t>
      </w:r>
      <w:r>
        <w:rPr>
          <w:rFonts w:hint="eastAsia" w:ascii="Times New Roman" w:hAnsi="Times New Roman" w:eastAsia="黑体" w:cs="Times New Roman"/>
          <w:szCs w:val="21"/>
        </w:rPr>
        <w:t>（如有）</w:t>
      </w:r>
      <w:r>
        <w:rPr>
          <w:rFonts w:ascii="Times New Roman" w:hAnsi="Times New Roman" w:eastAsia="黑体" w:cs="Times New Roman"/>
          <w:szCs w:val="21"/>
        </w:rPr>
        <w:t>及资格审查要求的其他证件复印件。</w:t>
      </w:r>
    </w:p>
    <w:p>
      <w:pPr>
        <w:widowControl/>
        <w:autoSpaceDE w:val="0"/>
        <w:autoSpaceDN w:val="0"/>
        <w:spacing w:line="360" w:lineRule="atLeast"/>
        <w:ind w:left="420" w:leftChars="200"/>
        <w:textAlignment w:val="bottom"/>
        <w:rPr>
          <w:rFonts w:ascii="Times New Roman" w:hAnsi="Times New Roman" w:eastAsia="黑体" w:cs="Times New Roman"/>
          <w:szCs w:val="21"/>
        </w:rPr>
      </w:pPr>
    </w:p>
    <w:p>
      <w:pPr>
        <w:widowControl/>
        <w:rPr>
          <w:rFonts w:ascii="Times New Roman" w:hAnsi="Times New Roman" w:eastAsia="黑体" w:cs="Times New Roman"/>
          <w:sz w:val="24"/>
        </w:rPr>
      </w:pPr>
      <w:r>
        <w:rPr>
          <w:rFonts w:ascii="Times New Roman" w:hAnsi="Times New Roman" w:eastAsia="黑体" w:cs="Times New Roman"/>
          <w:szCs w:val="21"/>
        </w:rPr>
        <w:br w:type="page"/>
      </w:r>
    </w:p>
    <w:p>
      <w:pPr>
        <w:spacing w:line="440" w:lineRule="exact"/>
        <w:ind w:left="420"/>
        <w:jc w:val="center"/>
        <w:outlineLvl w:val="1"/>
        <w:rPr>
          <w:rFonts w:ascii="Times New Roman" w:hAnsi="Times New Roman" w:eastAsia="黑体" w:cs="Times New Roman"/>
          <w:sz w:val="28"/>
          <w:szCs w:val="28"/>
        </w:rPr>
      </w:pPr>
      <w:bookmarkStart w:id="92" w:name="_Toc24551_WPSOffice_Level1"/>
      <w:bookmarkStart w:id="93" w:name="_Toc17671_WPSOffice_Level1"/>
      <w:bookmarkStart w:id="94" w:name="_Toc29313_WPSOffice_Level1"/>
      <w:bookmarkStart w:id="95" w:name="_Toc4739_WPSOffice_Level1"/>
      <w:bookmarkStart w:id="96" w:name="_Toc24001_WPSOffice_Level1"/>
      <w:bookmarkStart w:id="97" w:name="_Toc8003_WPSOffice_Level1"/>
      <w:bookmarkStart w:id="98" w:name="_Toc1987_WPSOffice_Level1"/>
      <w:r>
        <w:rPr>
          <w:rFonts w:hint="eastAsia" w:ascii="Times New Roman" w:hAnsi="Times New Roman" w:eastAsia="黑体" w:cs="Times New Roman"/>
          <w:sz w:val="28"/>
          <w:szCs w:val="28"/>
        </w:rPr>
        <w:t>二</w:t>
      </w:r>
      <w:r>
        <w:rPr>
          <w:rFonts w:ascii="Times New Roman" w:hAnsi="Times New Roman" w:eastAsia="黑体" w:cs="Times New Roman"/>
          <w:sz w:val="28"/>
          <w:szCs w:val="28"/>
        </w:rPr>
        <w:t>、</w:t>
      </w:r>
      <w:r>
        <w:rPr>
          <w:rFonts w:hint="eastAsia" w:ascii="Times New Roman" w:hAnsi="Times New Roman" w:eastAsia="黑体" w:cs="Times New Roman"/>
          <w:sz w:val="28"/>
          <w:szCs w:val="28"/>
        </w:rPr>
        <w:t>近年类似业绩情况</w:t>
      </w:r>
      <w:bookmarkEnd w:id="92"/>
      <w:bookmarkEnd w:id="93"/>
    </w:p>
    <w:p>
      <w:pPr>
        <w:widowControl/>
        <w:autoSpaceDE w:val="0"/>
        <w:autoSpaceDN w:val="0"/>
        <w:spacing w:line="360" w:lineRule="atLeast"/>
        <w:textAlignment w:val="bottom"/>
        <w:rPr>
          <w:rFonts w:ascii="Times New Roman" w:hAnsi="Times New Roman" w:eastAsia="黑体" w:cs="Times New Roman"/>
          <w:szCs w:val="21"/>
        </w:rPr>
      </w:pPr>
    </w:p>
    <w:p>
      <w:pPr>
        <w:widowControl/>
        <w:autoSpaceDE w:val="0"/>
        <w:autoSpaceDN w:val="0"/>
        <w:spacing w:line="360" w:lineRule="atLeast"/>
        <w:textAlignment w:val="bottom"/>
        <w:rPr>
          <w:rFonts w:ascii="Times New Roman" w:hAnsi="Times New Roman" w:eastAsia="黑体" w:cs="Times New Roman"/>
          <w:szCs w:val="21"/>
        </w:rPr>
      </w:pPr>
      <w:r>
        <w:rPr>
          <w:rFonts w:hint="eastAsia" w:ascii="Times New Roman" w:hAnsi="Times New Roman" w:eastAsia="黑体" w:cs="Times New Roman"/>
          <w:szCs w:val="21"/>
        </w:rPr>
        <w:t>1、业绩证明材料：</w:t>
      </w:r>
      <w:r>
        <w:rPr>
          <w:rFonts w:hint="eastAsia" w:ascii="Times New Roman" w:hAnsi="Times New Roman" w:eastAsia="黑体" w:cs="Times New Roman"/>
          <w:szCs w:val="21"/>
          <w:u w:val="single"/>
        </w:rPr>
        <w:t xml:space="preserve">                              </w:t>
      </w:r>
      <w:r>
        <w:rPr>
          <w:rFonts w:ascii="Times New Roman" w:hAnsi="Times New Roman" w:eastAsia="黑体" w:cs="Times New Roman"/>
          <w:szCs w:val="21"/>
        </w:rPr>
        <w:t>。</w:t>
      </w:r>
    </w:p>
    <w:p>
      <w:pPr>
        <w:pStyle w:val="2"/>
        <w:rPr>
          <w:rFonts w:eastAsia="黑体"/>
        </w:rPr>
      </w:pPr>
      <w:r>
        <w:rPr>
          <w:rFonts w:hint="eastAsia" w:ascii="Times New Roman" w:hAnsi="Times New Roman" w:eastAsia="黑体" w:cs="Times New Roman"/>
          <w:szCs w:val="21"/>
        </w:rPr>
        <w:t>2、如近年来，供应商法人机构发生合法变更或重组或法人名称变更时，应提供相关部门的合法批件或其他相关证明材料来证明其所附业绩的继承性。</w:t>
      </w:r>
    </w:p>
    <w:p>
      <w:pPr>
        <w:widowControl/>
        <w:autoSpaceDE w:val="0"/>
        <w:autoSpaceDN w:val="0"/>
        <w:spacing w:line="360" w:lineRule="atLeast"/>
        <w:jc w:val="center"/>
        <w:textAlignment w:val="bottom"/>
        <w:rPr>
          <w:rFonts w:ascii="Times New Roman" w:hAnsi="Times New Roman" w:eastAsia="黑体" w:cs="Times New Roman"/>
          <w:sz w:val="28"/>
          <w:szCs w:val="28"/>
        </w:rPr>
      </w:pPr>
    </w:p>
    <w:p>
      <w:pPr>
        <w:pStyle w:val="2"/>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三、</w:t>
      </w:r>
      <w:r>
        <w:rPr>
          <w:rFonts w:ascii="Times New Roman" w:hAnsi="Times New Roman" w:eastAsia="黑体" w:cs="Times New Roman"/>
          <w:sz w:val="28"/>
          <w:szCs w:val="28"/>
        </w:rPr>
        <w:t>拟委任的主要人</w:t>
      </w:r>
      <w:bookmarkEnd w:id="94"/>
      <w:r>
        <w:rPr>
          <w:rFonts w:ascii="Times New Roman" w:hAnsi="Times New Roman" w:eastAsia="黑体" w:cs="Times New Roman"/>
          <w:sz w:val="28"/>
          <w:szCs w:val="28"/>
        </w:rPr>
        <w:t>员</w:t>
      </w:r>
      <w:bookmarkEnd w:id="95"/>
      <w:bookmarkEnd w:id="96"/>
      <w:bookmarkEnd w:id="97"/>
      <w:bookmarkEnd w:id="98"/>
    </w:p>
    <w:p>
      <w:pPr>
        <w:widowControl/>
        <w:jc w:val="center"/>
        <w:rPr>
          <w:rFonts w:ascii="Times New Roman" w:hAnsi="Times New Roman" w:eastAsia="黑体" w:cs="Times New Roman"/>
          <w:sz w:val="28"/>
          <w:szCs w:val="28"/>
        </w:rPr>
      </w:pPr>
      <w:r>
        <w:rPr>
          <w:rFonts w:ascii="黑体" w:hAnsi="宋体" w:eastAsia="黑体" w:cs="黑体"/>
          <w:color w:val="000000"/>
          <w:kern w:val="0"/>
          <w:sz w:val="30"/>
          <w:szCs w:val="30"/>
          <w:lang w:bidi="ar"/>
        </w:rPr>
        <w:t>本项目主要人员配置情况一览表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840"/>
        <w:gridCol w:w="1420"/>
        <w:gridCol w:w="244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序号</w:t>
            </w:r>
          </w:p>
        </w:tc>
        <w:tc>
          <w:tcPr>
            <w:tcW w:w="18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姓名</w:t>
            </w:r>
          </w:p>
        </w:tc>
        <w:tc>
          <w:tcPr>
            <w:tcW w:w="142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身份证号</w:t>
            </w:r>
          </w:p>
        </w:tc>
        <w:tc>
          <w:tcPr>
            <w:tcW w:w="24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本项目中任职</w:t>
            </w:r>
          </w:p>
        </w:tc>
        <w:tc>
          <w:tcPr>
            <w:tcW w:w="1725"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ascii="Times New Roman" w:hAnsi="Times New Roman" w:eastAsia="黑体" w:cs="Times New Roman"/>
                <w:sz w:val="28"/>
                <w:szCs w:val="28"/>
              </w:rPr>
              <w:t>职称、资格</w:t>
            </w:r>
          </w:p>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ascii="Times New Roman" w:hAnsi="Times New Roman" w:eastAsia="黑体" w:cs="Times New Roman"/>
                <w:sz w:val="28"/>
                <w:szCs w:val="28"/>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1</w:t>
            </w:r>
          </w:p>
        </w:tc>
        <w:tc>
          <w:tcPr>
            <w:tcW w:w="18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42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24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725"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2</w:t>
            </w:r>
          </w:p>
        </w:tc>
        <w:tc>
          <w:tcPr>
            <w:tcW w:w="18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42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24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725"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3</w:t>
            </w:r>
          </w:p>
        </w:tc>
        <w:tc>
          <w:tcPr>
            <w:tcW w:w="18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42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24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725"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w:t>
            </w:r>
          </w:p>
        </w:tc>
        <w:tc>
          <w:tcPr>
            <w:tcW w:w="18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42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2440"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c>
          <w:tcPr>
            <w:tcW w:w="1725" w:type="dxa"/>
            <w:vAlign w:val="center"/>
          </w:tcPr>
          <w:p>
            <w:pPr>
              <w:widowControl/>
              <w:autoSpaceDE w:val="0"/>
              <w:autoSpaceDN w:val="0"/>
              <w:spacing w:line="360" w:lineRule="atLeast"/>
              <w:jc w:val="center"/>
              <w:textAlignment w:val="bottom"/>
              <w:rPr>
                <w:rFonts w:ascii="Times New Roman" w:hAnsi="Times New Roman" w:eastAsia="黑体" w:cs="Times New Roman"/>
                <w:sz w:val="28"/>
                <w:szCs w:val="28"/>
              </w:rPr>
            </w:pPr>
          </w:p>
        </w:tc>
      </w:tr>
    </w:tbl>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widowControl/>
        <w:autoSpaceDE w:val="0"/>
        <w:autoSpaceDN w:val="0"/>
        <w:spacing w:line="360" w:lineRule="atLeast"/>
        <w:textAlignment w:val="bottom"/>
        <w:rPr>
          <w:rFonts w:ascii="Times New Roman" w:hAnsi="Times New Roman" w:eastAsia="黑体" w:cs="Times New Roman"/>
          <w:sz w:val="28"/>
          <w:szCs w:val="28"/>
        </w:rPr>
      </w:pPr>
    </w:p>
    <w:p>
      <w:pPr>
        <w:pStyle w:val="2"/>
        <w:widowControl/>
        <w:autoSpaceDE w:val="0"/>
        <w:autoSpaceDN w:val="0"/>
        <w:spacing w:line="360" w:lineRule="atLeast"/>
        <w:ind w:left="180"/>
        <w:jc w:val="center"/>
        <w:textAlignment w:val="bottom"/>
        <w:rPr>
          <w:rFonts w:ascii="Times New Roman" w:hAnsi="Times New Roman" w:eastAsia="黑体" w:cs="Times New Roman"/>
          <w:sz w:val="28"/>
          <w:szCs w:val="28"/>
        </w:rPr>
      </w:pPr>
      <w:bookmarkStart w:id="99" w:name="_Toc24686_WPSOffice_Level2"/>
      <w:bookmarkStart w:id="100" w:name="_Toc6185_WPSOffice_Level2"/>
      <w:r>
        <w:rPr>
          <w:rFonts w:ascii="Times New Roman" w:hAnsi="Times New Roman" w:eastAsia="黑体" w:cs="Times New Roman"/>
          <w:sz w:val="28"/>
          <w:szCs w:val="28"/>
        </w:rPr>
        <w:t>拟委任的</w:t>
      </w:r>
      <w:r>
        <w:rPr>
          <w:rFonts w:hint="eastAsia" w:ascii="Times New Roman" w:hAnsi="Times New Roman" w:eastAsia="黑体" w:cs="Times New Roman"/>
          <w:sz w:val="28"/>
          <w:szCs w:val="28"/>
        </w:rPr>
        <w:t>主要人员</w:t>
      </w:r>
      <w:r>
        <w:rPr>
          <w:rFonts w:ascii="Times New Roman" w:hAnsi="Times New Roman" w:eastAsia="黑体" w:cs="Times New Roman"/>
          <w:sz w:val="28"/>
          <w:szCs w:val="28"/>
        </w:rPr>
        <w:t>资历表</w:t>
      </w:r>
      <w:bookmarkEnd w:id="99"/>
      <w:bookmarkEnd w:id="100"/>
    </w:p>
    <w:tbl>
      <w:tblPr>
        <w:tblStyle w:val="13"/>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3"/>
        <w:gridCol w:w="48"/>
        <w:gridCol w:w="1392"/>
        <w:gridCol w:w="1016"/>
        <w:gridCol w:w="1322"/>
        <w:gridCol w:w="323"/>
        <w:gridCol w:w="1478"/>
        <w:gridCol w:w="369"/>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1183" w:type="dxa"/>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姓    名</w:t>
            </w:r>
          </w:p>
        </w:tc>
        <w:tc>
          <w:tcPr>
            <w:tcW w:w="1440"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016" w:type="dxa"/>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年    龄</w:t>
            </w:r>
          </w:p>
        </w:tc>
        <w:tc>
          <w:tcPr>
            <w:tcW w:w="1322" w:type="dxa"/>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01" w:type="dxa"/>
            <w:gridSpan w:val="2"/>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专    业</w:t>
            </w:r>
          </w:p>
        </w:tc>
        <w:tc>
          <w:tcPr>
            <w:tcW w:w="1598" w:type="dxa"/>
            <w:gridSpan w:val="2"/>
          </w:tcPr>
          <w:p>
            <w:pPr>
              <w:widowControl/>
              <w:autoSpaceDE w:val="0"/>
              <w:autoSpaceDN w:val="0"/>
              <w:spacing w:before="40" w:after="40" w:line="280" w:lineRule="atLeast"/>
              <w:textAlignment w:val="bottom"/>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rPr>
        <w:tc>
          <w:tcPr>
            <w:tcW w:w="1183" w:type="dxa"/>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职    称</w:t>
            </w:r>
          </w:p>
        </w:tc>
        <w:tc>
          <w:tcPr>
            <w:tcW w:w="1440"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016" w:type="dxa"/>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公司单位职    务</w:t>
            </w:r>
          </w:p>
        </w:tc>
        <w:tc>
          <w:tcPr>
            <w:tcW w:w="1322" w:type="dxa"/>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01" w:type="dxa"/>
            <w:gridSpan w:val="2"/>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拟在本项目</w:t>
            </w:r>
          </w:p>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工程担任职务</w:t>
            </w:r>
          </w:p>
        </w:tc>
        <w:tc>
          <w:tcPr>
            <w:tcW w:w="1598" w:type="dxa"/>
            <w:gridSpan w:val="2"/>
          </w:tcPr>
          <w:p>
            <w:pPr>
              <w:widowControl/>
              <w:autoSpaceDE w:val="0"/>
              <w:autoSpaceDN w:val="0"/>
              <w:spacing w:before="40" w:after="40" w:line="280" w:lineRule="atLeast"/>
              <w:textAlignment w:val="bottom"/>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8360" w:type="dxa"/>
            <w:gridSpan w:val="9"/>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5" w:hRule="atLeast"/>
        </w:trPr>
        <w:tc>
          <w:tcPr>
            <w:tcW w:w="123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__年~__年</w:t>
            </w:r>
          </w:p>
        </w:tc>
        <w:tc>
          <w:tcPr>
            <w:tcW w:w="4053" w:type="dxa"/>
            <w:gridSpan w:val="4"/>
            <w:vAlign w:val="center"/>
          </w:tcPr>
          <w:p>
            <w:pPr>
              <w:pStyle w:val="19"/>
              <w:widowControl/>
              <w:adjustRightInd/>
              <w:snapToGrid/>
              <w:spacing w:before="40" w:after="40" w:line="280" w:lineRule="atLeast"/>
              <w:textAlignment w:val="bottom"/>
              <w:rPr>
                <w:rFonts w:ascii="Times New Roman" w:hAnsi="Times New Roman" w:cs="Times New Roman"/>
                <w:spacing w:val="0"/>
                <w:kern w:val="2"/>
                <w:szCs w:val="21"/>
              </w:rPr>
            </w:pPr>
            <w:r>
              <w:rPr>
                <w:rFonts w:ascii="Times New Roman" w:hAnsi="Times New Roman" w:cs="Times New Roman"/>
                <w:spacing w:val="0"/>
                <w:kern w:val="2"/>
                <w:szCs w:val="21"/>
              </w:rPr>
              <w:t>参加过的工程项目名称</w:t>
            </w:r>
          </w:p>
        </w:tc>
        <w:tc>
          <w:tcPr>
            <w:tcW w:w="1847" w:type="dxa"/>
            <w:gridSpan w:val="2"/>
            <w:vAlign w:val="center"/>
          </w:tcPr>
          <w:p>
            <w:pPr>
              <w:pStyle w:val="19"/>
              <w:widowControl/>
              <w:adjustRightInd/>
              <w:snapToGrid/>
              <w:spacing w:before="40" w:after="40" w:line="280" w:lineRule="atLeast"/>
              <w:textAlignment w:val="bottom"/>
              <w:rPr>
                <w:rFonts w:ascii="Times New Roman" w:hAnsi="Times New Roman" w:cs="Times New Roman"/>
                <w:spacing w:val="0"/>
                <w:kern w:val="2"/>
                <w:szCs w:val="21"/>
              </w:rPr>
            </w:pPr>
            <w:r>
              <w:rPr>
                <w:rFonts w:ascii="Times New Roman" w:hAnsi="Times New Roman" w:cs="Times New Roman"/>
                <w:spacing w:val="0"/>
                <w:kern w:val="2"/>
                <w:szCs w:val="21"/>
              </w:rPr>
              <w:t>担任何职</w:t>
            </w:r>
          </w:p>
        </w:tc>
        <w:tc>
          <w:tcPr>
            <w:tcW w:w="1229" w:type="dxa"/>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r>
              <w:rPr>
                <w:rFonts w:ascii="Times New Roman" w:hAnsi="Times New Roman" w:cs="Times New Roman"/>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tcPr>
          <w:p>
            <w:pPr>
              <w:widowControl/>
              <w:autoSpaceDE w:val="0"/>
              <w:autoSpaceDN w:val="0"/>
              <w:spacing w:before="40" w:after="40" w:line="280" w:lineRule="atLeast"/>
              <w:textAlignment w:val="bottom"/>
              <w:rPr>
                <w:rFonts w:ascii="Times New Roman" w:hAnsi="Times New Roman" w:cs="Times New Roman"/>
                <w:szCs w:val="21"/>
              </w:rPr>
            </w:pPr>
          </w:p>
        </w:tc>
        <w:tc>
          <w:tcPr>
            <w:tcW w:w="1229" w:type="dxa"/>
          </w:tcPr>
          <w:p>
            <w:pPr>
              <w:widowControl/>
              <w:autoSpaceDE w:val="0"/>
              <w:autoSpaceDN w:val="0"/>
              <w:spacing w:before="40" w:after="40" w:line="280" w:lineRule="atLeast"/>
              <w:textAlignment w:val="bottom"/>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tcPr>
          <w:p>
            <w:pPr>
              <w:widowControl/>
              <w:autoSpaceDE w:val="0"/>
              <w:autoSpaceDN w:val="0"/>
              <w:spacing w:before="40" w:after="40" w:line="280" w:lineRule="atLeast"/>
              <w:textAlignment w:val="bottom"/>
              <w:rPr>
                <w:rFonts w:ascii="Times New Roman" w:hAnsi="Times New Roman" w:cs="Times New Roman"/>
                <w:szCs w:val="21"/>
              </w:rPr>
            </w:pPr>
          </w:p>
        </w:tc>
        <w:tc>
          <w:tcPr>
            <w:tcW w:w="1229" w:type="dxa"/>
          </w:tcPr>
          <w:p>
            <w:pPr>
              <w:widowControl/>
              <w:autoSpaceDE w:val="0"/>
              <w:autoSpaceDN w:val="0"/>
              <w:spacing w:before="40" w:after="40" w:line="280" w:lineRule="atLeast"/>
              <w:textAlignment w:val="bottom"/>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tcPr>
          <w:p>
            <w:pPr>
              <w:widowControl/>
              <w:autoSpaceDE w:val="0"/>
              <w:autoSpaceDN w:val="0"/>
              <w:spacing w:before="40" w:after="40" w:line="280" w:lineRule="atLeast"/>
              <w:textAlignment w:val="bottom"/>
              <w:rPr>
                <w:rFonts w:ascii="Times New Roman" w:hAnsi="Times New Roman" w:cs="Times New Roman"/>
                <w:szCs w:val="21"/>
              </w:rPr>
            </w:pPr>
          </w:p>
        </w:tc>
        <w:tc>
          <w:tcPr>
            <w:tcW w:w="1229" w:type="dxa"/>
          </w:tcPr>
          <w:p>
            <w:pPr>
              <w:widowControl/>
              <w:autoSpaceDE w:val="0"/>
              <w:autoSpaceDN w:val="0"/>
              <w:spacing w:before="40" w:after="40" w:line="280" w:lineRule="atLeast"/>
              <w:textAlignment w:val="bottom"/>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tcPr>
          <w:p>
            <w:pPr>
              <w:widowControl/>
              <w:autoSpaceDE w:val="0"/>
              <w:autoSpaceDN w:val="0"/>
              <w:spacing w:before="40" w:after="40" w:line="280" w:lineRule="atLeast"/>
              <w:textAlignment w:val="bottom"/>
              <w:rPr>
                <w:rFonts w:ascii="Times New Roman" w:hAnsi="Times New Roman" w:cs="Times New Roman"/>
                <w:szCs w:val="21"/>
              </w:rPr>
            </w:pPr>
          </w:p>
        </w:tc>
        <w:tc>
          <w:tcPr>
            <w:tcW w:w="1229" w:type="dxa"/>
          </w:tcPr>
          <w:p>
            <w:pPr>
              <w:widowControl/>
              <w:autoSpaceDE w:val="0"/>
              <w:autoSpaceDN w:val="0"/>
              <w:spacing w:before="40" w:after="40" w:line="280" w:lineRule="atLeast"/>
              <w:textAlignment w:val="bottom"/>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8" w:hRule="atLeast"/>
        </w:trPr>
        <w:tc>
          <w:tcPr>
            <w:tcW w:w="1231" w:type="dxa"/>
            <w:gridSpan w:val="2"/>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4053" w:type="dxa"/>
            <w:gridSpan w:val="4"/>
            <w:vAlign w:val="center"/>
          </w:tcPr>
          <w:p>
            <w:pPr>
              <w:widowControl/>
              <w:autoSpaceDE w:val="0"/>
              <w:autoSpaceDN w:val="0"/>
              <w:spacing w:before="40" w:after="40" w:line="280" w:lineRule="atLeast"/>
              <w:jc w:val="center"/>
              <w:textAlignment w:val="bottom"/>
              <w:rPr>
                <w:rFonts w:ascii="Times New Roman" w:hAnsi="Times New Roman" w:cs="Times New Roman"/>
                <w:szCs w:val="21"/>
              </w:rPr>
            </w:pPr>
          </w:p>
        </w:tc>
        <w:tc>
          <w:tcPr>
            <w:tcW w:w="1847" w:type="dxa"/>
            <w:gridSpan w:val="2"/>
          </w:tcPr>
          <w:p>
            <w:pPr>
              <w:widowControl/>
              <w:autoSpaceDE w:val="0"/>
              <w:autoSpaceDN w:val="0"/>
              <w:spacing w:before="40" w:after="40" w:line="280" w:lineRule="atLeast"/>
              <w:textAlignment w:val="bottom"/>
              <w:rPr>
                <w:rFonts w:ascii="Times New Roman" w:hAnsi="Times New Roman" w:cs="Times New Roman"/>
                <w:szCs w:val="21"/>
              </w:rPr>
            </w:pPr>
          </w:p>
        </w:tc>
        <w:tc>
          <w:tcPr>
            <w:tcW w:w="1229" w:type="dxa"/>
          </w:tcPr>
          <w:p>
            <w:pPr>
              <w:widowControl/>
              <w:autoSpaceDE w:val="0"/>
              <w:autoSpaceDN w:val="0"/>
              <w:spacing w:before="40" w:after="40" w:line="280" w:lineRule="atLeast"/>
              <w:textAlignment w:val="bottom"/>
              <w:rPr>
                <w:rFonts w:ascii="Times New Roman" w:hAnsi="Times New Roman" w:cs="Times New Roman"/>
                <w:szCs w:val="21"/>
              </w:rPr>
            </w:pPr>
          </w:p>
        </w:tc>
      </w:tr>
    </w:tbl>
    <w:p>
      <w:pPr>
        <w:pStyle w:val="7"/>
        <w:spacing w:line="240" w:lineRule="atLeast"/>
        <w:ind w:left="0" w:leftChars="0"/>
        <w:rPr>
          <w:rFonts w:ascii="Times New Roman" w:hAnsi="Times New Roman" w:cs="Times New Roman"/>
          <w:sz w:val="20"/>
          <w:szCs w:val="20"/>
        </w:rPr>
      </w:pPr>
      <w:r>
        <w:rPr>
          <w:rFonts w:ascii="Times New Roman" w:hAnsi="Times New Roman" w:eastAsia="黑体" w:cs="Times New Roman"/>
          <w:szCs w:val="21"/>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1、一个人员对应填写一张本资历表。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w:t>
      </w:r>
      <w:r>
        <w:rPr>
          <w:rFonts w:ascii="Times New Roman" w:hAnsi="Times New Roman" w:eastAsia="黑体" w:cs="Times New Roman"/>
          <w:szCs w:val="21"/>
        </w:rPr>
        <w:t>在本表后应附有其有效的身份证</w:t>
      </w:r>
      <w:r>
        <w:rPr>
          <w:rFonts w:hint="eastAsia" w:ascii="Times New Roman" w:hAnsi="Times New Roman" w:eastAsia="黑体" w:cs="Times New Roman"/>
          <w:szCs w:val="21"/>
        </w:rPr>
        <w:t>、资格证书</w:t>
      </w:r>
      <w:r>
        <w:rPr>
          <w:rFonts w:ascii="Times New Roman" w:hAnsi="Times New Roman" w:eastAsia="黑体" w:cs="Times New Roman"/>
          <w:szCs w:val="21"/>
        </w:rPr>
        <w:t>。所有证件的扫描件均应清晰可辨，否则，将被认为证书无效。</w:t>
      </w:r>
    </w:p>
    <w:p/>
    <w:p/>
    <w:p/>
    <w:p/>
    <w:p/>
    <w:p/>
    <w:p/>
    <w:p/>
    <w:p/>
    <w:p/>
    <w:p/>
    <w:p/>
    <w:p/>
    <w:p/>
    <w:p/>
    <w:p/>
    <w:p/>
    <w:p/>
    <w:p>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承诺函</w:t>
      </w:r>
    </w:p>
    <w:p>
      <w:pPr>
        <w:rPr>
          <w:rFonts w:ascii="Times New Roman" w:hAnsi="Times New Roman" w:eastAsia="黑体" w:cs="Times New Roman"/>
          <w:sz w:val="28"/>
          <w:szCs w:val="28"/>
        </w:rPr>
      </w:pPr>
      <w:r>
        <w:rPr>
          <w:rFonts w:hint="eastAsia" w:ascii="Times New Roman" w:hAnsi="Times New Roman" w:eastAsia="黑体" w:cs="Times New Roman"/>
          <w:sz w:val="28"/>
          <w:szCs w:val="28"/>
        </w:rPr>
        <w:t>致：</w:t>
      </w:r>
      <w:r>
        <w:rPr>
          <w:rFonts w:hint="eastAsia"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rPr>
        <w:t>（采购人）</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我单位参与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（项目名称）的响应，现在此承诺：若我方中标，我方将严格按照合同要求，派驻现场的项目经理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（姓名）、技术负责人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（姓名）、施工员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（姓名）、安全员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姓名），每天不少于8小时，每周不少于5天在本工程现场，按采购人的要求履职尽责，与采购人的管理者一同组成项目管理团队，对外统一以采购人名义与甲方、监理沟通协调，参加每周的例会（有事须取得发包人书面同意），连续4天不在现场或累计3次不参加例会，发包人有权解除本工程施工合同，并没收履约保证金。当响应人的现场管理人员不能按要求到岗履职，由采购人选派人员补充相应岗位，产生的一切费用无论高低均由响应人承担，并表示无任何异议。</w:t>
      </w:r>
    </w:p>
    <w:p>
      <w:pPr>
        <w:ind w:firstLine="600" w:firstLineChars="200"/>
        <w:rPr>
          <w:rFonts w:ascii="仿宋_GB2312" w:hAnsi="仿宋_GB2312" w:eastAsia="仿宋_GB2312" w:cs="仿宋_GB2312"/>
          <w:sz w:val="30"/>
          <w:szCs w:val="30"/>
        </w:rPr>
      </w:pPr>
    </w:p>
    <w:p>
      <w:pPr>
        <w:ind w:firstLine="600" w:firstLineChars="200"/>
        <w:rPr>
          <w:rFonts w:ascii="仿宋_GB2312" w:hAnsi="仿宋_GB2312" w:eastAsia="仿宋_GB2312" w:cs="仿宋_GB2312"/>
          <w:sz w:val="30"/>
          <w:szCs w:val="30"/>
        </w:rPr>
      </w:pPr>
    </w:p>
    <w:p>
      <w:pPr>
        <w:ind w:firstLine="600" w:firstLineChars="200"/>
        <w:rPr>
          <w:rFonts w:ascii="仿宋_GB2312" w:hAnsi="仿宋_GB2312" w:eastAsia="仿宋_GB2312" w:cs="仿宋_GB2312"/>
          <w:sz w:val="30"/>
          <w:szCs w:val="30"/>
        </w:rPr>
      </w:pPr>
    </w:p>
    <w:p>
      <w:pPr>
        <w:ind w:firstLine="600" w:firstLineChars="2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响应人：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（加盖公章）</w:t>
      </w:r>
    </w:p>
    <w:p>
      <w:pPr>
        <w:ind w:firstLine="600" w:firstLineChars="2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w:t>
      </w:r>
      <w:r>
        <w:rPr>
          <w:rFonts w:hint="eastAsia" w:ascii="Times New Roman" w:hAnsi="Times New Roman" w:eastAsia="黑体" w:cs="Times New Roman"/>
          <w:sz w:val="28"/>
          <w:szCs w:val="28"/>
          <w:u w:val="single"/>
        </w:rPr>
        <w:t xml:space="preserve">          </w:t>
      </w:r>
      <w:r>
        <w:rPr>
          <w:rFonts w:hint="eastAsia" w:ascii="仿宋_GB2312" w:hAnsi="仿宋_GB2312" w:eastAsia="仿宋_GB2312" w:cs="仿宋_GB2312"/>
          <w:sz w:val="30"/>
          <w:szCs w:val="30"/>
        </w:rPr>
        <w:t>（签字）</w:t>
      </w:r>
    </w:p>
    <w:p>
      <w:pPr>
        <w:ind w:firstLine="600" w:firstLineChars="2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ind w:firstLine="600" w:firstLineChars="200"/>
        <w:jc w:val="right"/>
        <w:rPr>
          <w:rFonts w:ascii="仿宋_GB2312" w:hAnsi="仿宋_GB2312" w:eastAsia="仿宋_GB2312" w:cs="仿宋_GB2312"/>
          <w:sz w:val="30"/>
          <w:szCs w:val="30"/>
        </w:rPr>
      </w:pPr>
    </w:p>
    <w:p>
      <w:pPr>
        <w:ind w:firstLine="600" w:firstLineChars="200"/>
        <w:jc w:val="right"/>
        <w:rPr>
          <w:rFonts w:ascii="仿宋_GB2312" w:hAnsi="仿宋_GB2312" w:eastAsia="仿宋_GB2312" w:cs="仿宋_GB2312"/>
          <w:sz w:val="30"/>
          <w:szCs w:val="30"/>
        </w:rPr>
      </w:pPr>
    </w:p>
    <w:p>
      <w:pPr>
        <w:ind w:firstLine="600" w:firstLineChars="200"/>
        <w:jc w:val="right"/>
        <w:rPr>
          <w:rFonts w:ascii="仿宋_GB2312" w:hAnsi="仿宋_GB2312" w:eastAsia="仿宋_GB2312" w:cs="仿宋_GB2312"/>
          <w:sz w:val="30"/>
          <w:szCs w:val="30"/>
        </w:rPr>
      </w:pPr>
    </w:p>
    <w:p>
      <w:pPr>
        <w:ind w:firstLine="600" w:firstLineChars="200"/>
        <w:jc w:val="right"/>
        <w:rPr>
          <w:rFonts w:ascii="仿宋_GB2312" w:hAnsi="仿宋_GB2312" w:eastAsia="仿宋_GB2312" w:cs="仿宋_GB2312"/>
          <w:sz w:val="30"/>
          <w:szCs w:val="30"/>
        </w:rPr>
      </w:pPr>
    </w:p>
    <w:p>
      <w:pPr>
        <w:ind w:firstLine="600" w:firstLineChars="200"/>
        <w:jc w:val="right"/>
        <w:rPr>
          <w:rFonts w:ascii="仿宋_GB2312" w:hAnsi="仿宋_GB2312" w:eastAsia="仿宋_GB2312" w:cs="仿宋_GB2312"/>
          <w:sz w:val="30"/>
          <w:szCs w:val="30"/>
        </w:rPr>
      </w:pPr>
    </w:p>
    <w:p>
      <w:pPr>
        <w:ind w:firstLine="600" w:firstLineChars="200"/>
        <w:jc w:val="right"/>
        <w:rPr>
          <w:rFonts w:ascii="仿宋_GB2312" w:hAnsi="仿宋_GB2312" w:eastAsia="仿宋_GB2312" w:cs="仿宋_GB2312"/>
          <w:sz w:val="30"/>
          <w:szCs w:val="30"/>
        </w:rPr>
      </w:pPr>
    </w:p>
    <w:p>
      <w:pPr>
        <w:ind w:firstLine="600" w:firstLineChars="200"/>
        <w:jc w:val="right"/>
        <w:rPr>
          <w:rFonts w:ascii="仿宋_GB2312" w:hAnsi="仿宋_GB2312" w:eastAsia="仿宋_GB2312" w:cs="仿宋_GB2312"/>
          <w:sz w:val="30"/>
          <w:szCs w:val="30"/>
        </w:rPr>
      </w:pPr>
    </w:p>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四、响应保证金</w:t>
      </w:r>
    </w:p>
    <w:p>
      <w:pPr>
        <w:ind w:firstLine="600" w:firstLineChars="200"/>
        <w:jc w:val="right"/>
        <w:rPr>
          <w:rFonts w:ascii="仿宋_GB2312" w:hAnsi="仿宋_GB2312" w:eastAsia="仿宋_GB2312" w:cs="仿宋_GB2312"/>
          <w:sz w:val="30"/>
          <w:szCs w:val="30"/>
        </w:rPr>
      </w:pPr>
    </w:p>
    <w:p>
      <w:pPr>
        <w:widowControl/>
        <w:jc w:val="left"/>
      </w:pPr>
      <w:r>
        <w:rPr>
          <w:rFonts w:hint="eastAsia" w:ascii="宋体" w:hAnsi="宋体" w:eastAsia="宋体" w:cs="宋体"/>
          <w:color w:val="000000"/>
          <w:kern w:val="0"/>
          <w:sz w:val="24"/>
          <w:lang w:bidi="ar"/>
        </w:rPr>
        <w:t xml:space="preserve">采用电汇（转账），响应人应在此提供电汇回单或转账凭据的扫描件。 </w:t>
      </w:r>
    </w:p>
    <w:p>
      <w:pPr>
        <w:widowControl/>
        <w:autoSpaceDE w:val="0"/>
        <w:autoSpaceDN w:val="0"/>
        <w:spacing w:line="360" w:lineRule="atLeast"/>
        <w:jc w:val="center"/>
        <w:textAlignment w:val="bottom"/>
        <w:rPr>
          <w:rFonts w:ascii="Times New Roman" w:hAnsi="Times New Roman" w:eastAsia="黑体" w:cs="Times New Roman"/>
          <w:sz w:val="28"/>
          <w:szCs w:val="28"/>
        </w:rPr>
      </w:pPr>
    </w:p>
    <w:p>
      <w:pPr>
        <w:widowControl/>
        <w:autoSpaceDE w:val="0"/>
        <w:autoSpaceDN w:val="0"/>
        <w:spacing w:line="360" w:lineRule="atLeast"/>
        <w:jc w:val="center"/>
        <w:textAlignment w:val="bottom"/>
        <w:rPr>
          <w:rFonts w:ascii="Times New Roman" w:hAnsi="Times New Roman" w:eastAsia="黑体" w:cs="Times New Roman"/>
          <w:sz w:val="28"/>
          <w:szCs w:val="28"/>
        </w:rPr>
      </w:pPr>
      <w:r>
        <w:rPr>
          <w:rFonts w:hint="eastAsia" w:ascii="Times New Roman" w:hAnsi="Times New Roman" w:eastAsia="黑体" w:cs="Times New Roman"/>
          <w:sz w:val="28"/>
          <w:szCs w:val="28"/>
        </w:rPr>
        <w:t>五、施工组织设计</w:t>
      </w:r>
    </w:p>
    <w:p/>
    <w:p/>
    <w:p>
      <w:pPr>
        <w:ind w:left="2100" w:leftChars="1000"/>
        <w:rPr>
          <w:rFonts w:ascii="Times New Roman" w:hAnsi="Times New Roman" w:cs="Times New Roman"/>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Adobe 仿宋 Std R">
    <w:altName w:val="仿宋"/>
    <w:panose1 w:val="020204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9302D"/>
    <w:multiLevelType w:val="singleLevel"/>
    <w:tmpl w:val="8619302D"/>
    <w:lvl w:ilvl="0" w:tentative="0">
      <w:start w:val="1"/>
      <w:numFmt w:val="decimal"/>
      <w:suff w:val="nothing"/>
      <w:lvlText w:val="（%1）"/>
      <w:lvlJc w:val="left"/>
    </w:lvl>
  </w:abstractNum>
  <w:abstractNum w:abstractNumId="1">
    <w:nsid w:val="9086FF4E"/>
    <w:multiLevelType w:val="multilevel"/>
    <w:tmpl w:val="9086FF4E"/>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F0F3AE8C"/>
    <w:multiLevelType w:val="singleLevel"/>
    <w:tmpl w:val="F0F3AE8C"/>
    <w:lvl w:ilvl="0" w:tentative="0">
      <w:start w:val="1"/>
      <w:numFmt w:val="chineseCounting"/>
      <w:suff w:val="nothing"/>
      <w:lvlText w:val="%1、"/>
      <w:lvlJc w:val="left"/>
      <w:rPr>
        <w:rFonts w:hint="eastAsia"/>
      </w:rPr>
    </w:lvl>
  </w:abstractNum>
  <w:abstractNum w:abstractNumId="4">
    <w:nsid w:val="F421D30C"/>
    <w:multiLevelType w:val="singleLevel"/>
    <w:tmpl w:val="F421D30C"/>
    <w:lvl w:ilvl="0" w:tentative="0">
      <w:start w:val="2"/>
      <w:numFmt w:val="decimal"/>
      <w:suff w:val="nothing"/>
      <w:lvlText w:val="（%1）"/>
      <w:lvlJc w:val="left"/>
    </w:lvl>
  </w:abstractNum>
  <w:abstractNum w:abstractNumId="5">
    <w:nsid w:val="2E95D47B"/>
    <w:multiLevelType w:val="singleLevel"/>
    <w:tmpl w:val="2E95D47B"/>
    <w:lvl w:ilvl="0" w:tentative="0">
      <w:start w:val="1"/>
      <w:numFmt w:val="decimal"/>
      <w:pStyle w:val="4"/>
      <w:suff w:val="nothing"/>
      <w:lvlText w:val="%1．"/>
      <w:lvlJc w:val="left"/>
      <w:pPr>
        <w:ind w:left="17" w:firstLine="400"/>
      </w:pPr>
      <w:rPr>
        <w:rFont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YjNmYjk2ZWFkMzY4NWZhNjc0MWJmZWE1ZDNhNTkifQ=="/>
  </w:docVars>
  <w:rsids>
    <w:rsidRoot w:val="065D4A57"/>
    <w:rsid w:val="001374AE"/>
    <w:rsid w:val="0025562C"/>
    <w:rsid w:val="006C0EB8"/>
    <w:rsid w:val="008E477F"/>
    <w:rsid w:val="009B0E29"/>
    <w:rsid w:val="00E0046A"/>
    <w:rsid w:val="00F9668D"/>
    <w:rsid w:val="029C3B08"/>
    <w:rsid w:val="065D4A57"/>
    <w:rsid w:val="0A321AA3"/>
    <w:rsid w:val="0A637FC8"/>
    <w:rsid w:val="0D32237C"/>
    <w:rsid w:val="17B8509C"/>
    <w:rsid w:val="3239043A"/>
    <w:rsid w:val="39236F5E"/>
    <w:rsid w:val="45F60A0A"/>
    <w:rsid w:val="4D695679"/>
    <w:rsid w:val="5DFF6860"/>
    <w:rsid w:val="64EA1954"/>
    <w:rsid w:val="670B7518"/>
    <w:rsid w:val="73342440"/>
    <w:rsid w:val="77CD0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annotation text"/>
    <w:basedOn w:val="1"/>
    <w:qFormat/>
    <w:uiPriority w:val="0"/>
    <w:pPr>
      <w:jc w:val="left"/>
    </w:pPr>
  </w:style>
  <w:style w:type="paragraph" w:styleId="6">
    <w:name w:val="Body Text 3"/>
    <w:basedOn w:val="1"/>
    <w:qFormat/>
    <w:uiPriority w:val="0"/>
    <w:rPr>
      <w:rFonts w:ascii="宋体"/>
      <w:sz w:val="24"/>
      <w:szCs w:val="20"/>
    </w:rPr>
  </w:style>
  <w:style w:type="paragraph" w:styleId="7">
    <w:name w:val="Body Text Indent"/>
    <w:basedOn w:val="1"/>
    <w:next w:val="8"/>
    <w:qFormat/>
    <w:uiPriority w:val="0"/>
    <w:pPr>
      <w:spacing w:after="120"/>
      <w:ind w:left="420" w:leftChars="200"/>
    </w:pPr>
  </w:style>
  <w:style w:type="paragraph" w:styleId="8">
    <w:name w:val="envelope return"/>
    <w:basedOn w:val="1"/>
    <w:unhideWhenUsed/>
    <w:qFormat/>
    <w:uiPriority w:val="99"/>
    <w:pPr>
      <w:snapToGrid w:val="0"/>
      <w:ind w:firstLine="200"/>
    </w:pPr>
    <w:rPr>
      <w:rFonts w:ascii="Arial" w:hAnsi="Arial" w:cs="Arial"/>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rPr>
      <w:rFonts w:ascii="Times New Roman" w:eastAsia="宋体"/>
      <w:sz w:val="24"/>
    </w:rPr>
  </w:style>
  <w:style w:type="paragraph" w:styleId="12">
    <w:name w:val="Body Text First Indent 2"/>
    <w:basedOn w:val="7"/>
    <w:qFormat/>
    <w:uiPriority w:val="0"/>
    <w:pPr>
      <w:ind w:firstLine="420" w:firstLineChars="200"/>
    </w:pPr>
    <w:rPr>
      <w:rFonts w:ascii="Calibri" w:hAnsi="Calibri"/>
      <w:szCs w:val="2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1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4434</Words>
  <Characters>25275</Characters>
  <Lines>210</Lines>
  <Paragraphs>59</Paragraphs>
  <TotalTime>13</TotalTime>
  <ScaleCrop>false</ScaleCrop>
  <LinksUpToDate>false</LinksUpToDate>
  <CharactersWithSpaces>29650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2022-05-26T13:47:00Z</dcterms:created>
  <dc:creator>王亚东</dc:creator>
  <cp:lastModifiedBy>王亚东</cp:lastModifiedBy>
  <cp:lastPrinted>2022-05-30T05:45:00Z</cp:lastPrinted>
  <dcterms:modified xsi:type="dcterms:W3CDTF">2022-06-03T02:33:17Z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26CD836685BB4176B7DE8B485AA8BC85</vt:lpwstr>
  </property>
</Properties>
</file>