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Times New Roman" w:hAnsi="Times New Roman" w:eastAsia="宋体" w:cs="Times New Roman"/>
          <w:sz w:val="24"/>
        </w:rPr>
      </w:pPr>
    </w:p>
    <w:p>
      <w:pPr>
        <w:widowControl/>
        <w:rPr>
          <w:rFonts w:ascii="方正小标宋_GBK" w:hAnsi="方正小标宋_GBK" w:eastAsia="方正小标宋_GBK" w:cs="方正小标宋_GBK"/>
          <w:sz w:val="44"/>
          <w:szCs w:val="44"/>
        </w:rPr>
      </w:pPr>
    </w:p>
    <w:p>
      <w:pPr>
        <w:widowControl/>
        <w:jc w:val="center"/>
        <w:rPr>
          <w:rFonts w:hint="eastAsia" w:ascii="方正小标宋_GBK" w:hAnsi="方正小标宋_GBK" w:eastAsia="方正小标宋_GBK" w:cs="方正小标宋_GBK"/>
          <w:sz w:val="44"/>
          <w:szCs w:val="44"/>
        </w:rPr>
      </w:pPr>
      <w:r>
        <w:rPr>
          <w:rFonts w:hint="eastAsia" w:ascii="Times New Roman" w:hAnsi="Times New Roman" w:cs="Times New Roman"/>
          <w:b/>
          <w:bCs/>
          <w:sz w:val="44"/>
          <w:szCs w:val="44"/>
          <w:lang w:eastAsia="zh-CN"/>
        </w:rPr>
        <w:t>驿达公司服务区易燃夹芯板更换</w:t>
      </w:r>
      <w:r>
        <w:rPr>
          <w:rFonts w:hint="eastAsia" w:ascii="方正小标宋_GBK" w:hAnsi="方正小标宋_GBK" w:eastAsia="方正小标宋_GBK" w:cs="方正小标宋_GBK"/>
          <w:sz w:val="44"/>
          <w:szCs w:val="44"/>
          <w:lang w:eastAsia="zh-CN"/>
        </w:rPr>
        <w:t>工</w:t>
      </w:r>
      <w:r>
        <w:rPr>
          <w:rFonts w:hint="eastAsia" w:ascii="方正小标宋_GBK" w:hAnsi="方正小标宋_GBK" w:eastAsia="方正小标宋_GBK" w:cs="方正小标宋_GBK"/>
          <w:sz w:val="44"/>
          <w:szCs w:val="44"/>
        </w:rPr>
        <w:t>程</w:t>
      </w:r>
    </w:p>
    <w:p>
      <w:pPr>
        <w:widowControl/>
        <w:jc w:val="center"/>
        <w:rPr>
          <w:rFonts w:ascii="Times New Roman" w:hAnsi="Times New Roman" w:cs="Times New Roman"/>
          <w:sz w:val="32"/>
          <w:szCs w:val="32"/>
        </w:rPr>
      </w:pPr>
      <w:r>
        <w:rPr>
          <w:rFonts w:hint="eastAsia" w:ascii="方正小标宋_GBK" w:hAnsi="方正小标宋_GBK" w:eastAsia="方正小标宋_GBK" w:cs="方正小标宋_GBK"/>
          <w:sz w:val="44"/>
          <w:szCs w:val="44"/>
        </w:rPr>
        <w:t>劳务</w:t>
      </w:r>
      <w:r>
        <w:rPr>
          <w:rFonts w:hint="eastAsia" w:ascii="Times New Roman" w:hAnsi="Times New Roman" w:eastAsia="宋体" w:cs="Times New Roman"/>
          <w:b/>
          <w:bCs/>
          <w:color w:val="000000"/>
          <w:kern w:val="0"/>
          <w:sz w:val="44"/>
          <w:szCs w:val="44"/>
        </w:rPr>
        <w:t>采购</w:t>
      </w:r>
    </w:p>
    <w:p>
      <w:pPr>
        <w:spacing w:line="540" w:lineRule="exact"/>
        <w:ind w:firstLine="420"/>
        <w:rPr>
          <w:rFonts w:ascii="Times New Roman" w:hAnsi="Times New Roman" w:cs="Times New Roman"/>
          <w:szCs w:val="21"/>
        </w:rPr>
      </w:pPr>
    </w:p>
    <w:p>
      <w:pPr>
        <w:pStyle w:val="2"/>
        <w:rPr>
          <w:rFonts w:ascii="Times New Roman" w:hAnsi="Times New Roman" w:cs="Times New Roman"/>
          <w:szCs w:val="21"/>
        </w:rPr>
      </w:pPr>
    </w:p>
    <w:p>
      <w:pPr>
        <w:pStyle w:val="2"/>
        <w:rPr>
          <w:rFonts w:ascii="Times New Roman" w:hAnsi="Times New Roman" w:cs="Times New Roman"/>
          <w:szCs w:val="21"/>
        </w:rPr>
      </w:pPr>
    </w:p>
    <w:p>
      <w:pPr>
        <w:pStyle w:val="2"/>
        <w:rPr>
          <w:rFonts w:ascii="Times New Roman" w:hAnsi="Times New Roman" w:cs="Times New Roman"/>
          <w:szCs w:val="21"/>
        </w:rPr>
      </w:pPr>
    </w:p>
    <w:p>
      <w:pPr>
        <w:spacing w:line="540" w:lineRule="exact"/>
        <w:ind w:firstLine="420"/>
        <w:rPr>
          <w:rFonts w:ascii="Times New Roman" w:hAnsi="Times New Roman" w:cs="Times New Roman"/>
          <w:szCs w:val="21"/>
        </w:rPr>
      </w:pPr>
    </w:p>
    <w:p>
      <w:pPr>
        <w:jc w:val="center"/>
        <w:rPr>
          <w:rFonts w:ascii="Times New Roman" w:hAnsi="Times New Roman" w:eastAsia="黑体" w:cs="Times New Roman"/>
          <w:sz w:val="72"/>
          <w:szCs w:val="72"/>
        </w:rPr>
      </w:pPr>
      <w:r>
        <w:rPr>
          <w:rFonts w:hint="eastAsia" w:ascii="Times New Roman" w:hAnsi="Times New Roman" w:eastAsia="黑体" w:cs="Times New Roman"/>
          <w:sz w:val="72"/>
          <w:szCs w:val="72"/>
        </w:rPr>
        <w:t>采 购</w:t>
      </w:r>
      <w:r>
        <w:rPr>
          <w:rFonts w:ascii="Times New Roman" w:hAnsi="Times New Roman" w:eastAsia="黑体" w:cs="Times New Roman"/>
          <w:sz w:val="72"/>
          <w:szCs w:val="72"/>
        </w:rPr>
        <w:t xml:space="preserve">  文  件</w:t>
      </w: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rPr>
          <w:rFonts w:ascii="Times New Roman" w:hAnsi="Times New Roman" w:eastAsia="黑体" w:cs="Times New Roman"/>
          <w:sz w:val="32"/>
          <w:szCs w:val="32"/>
        </w:rPr>
      </w:pPr>
    </w:p>
    <w:p>
      <w:pPr>
        <w:spacing w:line="540" w:lineRule="exact"/>
        <w:ind w:left="1896" w:leftChars="903"/>
        <w:rPr>
          <w:rFonts w:ascii="Times New Roman" w:hAnsi="Times New Roman" w:cs="Times New Roman"/>
          <w:szCs w:val="21"/>
        </w:rPr>
      </w:pPr>
    </w:p>
    <w:p>
      <w:pPr>
        <w:snapToGrid w:val="0"/>
        <w:ind w:firstLine="960" w:firstLineChars="300"/>
        <w:rPr>
          <w:rFonts w:ascii="Times New Roman" w:hAnsi="Times New Roman" w:eastAsia="黑体" w:cs="Times New Roman"/>
          <w:sz w:val="32"/>
          <w:szCs w:val="32"/>
        </w:rPr>
      </w:pPr>
      <w:r>
        <w:rPr>
          <w:rFonts w:ascii="Times New Roman" w:hAnsi="Times New Roman" w:eastAsia="黑体" w:cs="Times New Roman"/>
          <w:sz w:val="32"/>
          <w:szCs w:val="32"/>
        </w:rPr>
        <w:t>采 购 人：</w:t>
      </w:r>
      <w:r>
        <w:rPr>
          <w:rFonts w:hint="eastAsia" w:ascii="Times New Roman" w:hAnsi="Times New Roman" w:eastAsia="黑体" w:cs="Times New Roman"/>
          <w:sz w:val="32"/>
          <w:szCs w:val="32"/>
          <w:u w:val="single"/>
        </w:rPr>
        <w:t>安徽省经工建设集团有限公司</w:t>
      </w:r>
    </w:p>
    <w:p>
      <w:pPr>
        <w:snapToGrid w:val="0"/>
        <w:ind w:left="2100" w:leftChars="1000"/>
        <w:rPr>
          <w:rFonts w:ascii="Times New Roman" w:hAnsi="Times New Roman" w:cs="Times New Roman"/>
          <w:sz w:val="32"/>
          <w:szCs w:val="32"/>
        </w:rPr>
      </w:pPr>
      <w:r>
        <w:rPr>
          <w:rFonts w:ascii="Times New Roman" w:hAnsi="Times New Roman" w:cs="Times New Roman"/>
          <w:sz w:val="32"/>
          <w:szCs w:val="32"/>
        </w:rPr>
        <w:t xml:space="preserve"> </w:t>
      </w:r>
    </w:p>
    <w:p>
      <w:pPr>
        <w:ind w:firstLine="960" w:firstLineChars="300"/>
        <w:rPr>
          <w:rFonts w:ascii="Times New Roman" w:hAnsi="Times New Roman" w:cs="Times New Roman"/>
          <w:sz w:val="32"/>
          <w:szCs w:val="32"/>
        </w:rPr>
      </w:pPr>
      <w:r>
        <w:rPr>
          <w:rFonts w:ascii="Times New Roman" w:hAnsi="Times New Roman" w:eastAsia="黑体" w:cs="Times New Roman"/>
          <w:sz w:val="32"/>
          <w:szCs w:val="32"/>
        </w:rPr>
        <w:t>日    期</w:t>
      </w:r>
      <w:r>
        <w:rPr>
          <w:rFonts w:ascii="Times New Roman" w:hAnsi="Times New Roman" w:cs="Times New Roman"/>
          <w:sz w:val="32"/>
          <w:szCs w:val="32"/>
        </w:rPr>
        <w:t>：</w:t>
      </w:r>
      <w:r>
        <w:rPr>
          <w:rFonts w:hint="eastAsia" w:ascii="Times New Roman" w:hAnsi="Times New Roman" w:eastAsia="黑体" w:cs="Times New Roman"/>
          <w:sz w:val="32"/>
          <w:szCs w:val="32"/>
          <w:u w:val="single"/>
        </w:rPr>
        <w:t>2022</w:t>
      </w:r>
      <w:r>
        <w:rPr>
          <w:rFonts w:ascii="Times New Roman" w:hAnsi="Times New Roman" w:cs="Times New Roman"/>
          <w:sz w:val="32"/>
          <w:szCs w:val="32"/>
        </w:rPr>
        <w:t>年</w:t>
      </w:r>
      <w:r>
        <w:rPr>
          <w:rFonts w:hint="eastAsia" w:ascii="Times New Roman" w:hAnsi="Times New Roman" w:eastAsia="黑体" w:cs="Times New Roman"/>
          <w:sz w:val="32"/>
          <w:szCs w:val="32"/>
          <w:u w:val="single"/>
          <w:lang w:val="en-US" w:eastAsia="zh-CN"/>
        </w:rPr>
        <w:t>7</w:t>
      </w:r>
      <w:r>
        <w:rPr>
          <w:rFonts w:ascii="Times New Roman" w:hAnsi="Times New Roman" w:cs="Times New Roman"/>
          <w:sz w:val="32"/>
          <w:szCs w:val="32"/>
        </w:rPr>
        <w:t>月</w:t>
      </w:r>
    </w:p>
    <w:p>
      <w:pPr>
        <w:rPr>
          <w:rFonts w:ascii="Times New Roman" w:hAnsi="Times New Roman" w:cs="Times New Roman"/>
          <w:sz w:val="32"/>
          <w:szCs w:val="32"/>
        </w:rPr>
      </w:pPr>
      <w:r>
        <w:rPr>
          <w:rFonts w:ascii="Times New Roman" w:hAnsi="Times New Roman" w:cs="Times New Roman"/>
          <w:sz w:val="32"/>
          <w:szCs w:val="32"/>
        </w:rPr>
        <w:br w:type="page"/>
      </w:r>
    </w:p>
    <w:p>
      <w:pPr>
        <w:pStyle w:val="2"/>
      </w:pPr>
    </w:p>
    <w:p>
      <w:pPr>
        <w:pStyle w:val="2"/>
      </w:pPr>
    </w:p>
    <w:p>
      <w:pPr>
        <w:pStyle w:val="3"/>
        <w:spacing w:before="312" w:after="312"/>
        <w:rPr>
          <w:rFonts w:ascii="Times New Roman" w:hAnsi="Times New Roman" w:eastAsia="宋体" w:cs="Times New Roman"/>
        </w:rPr>
      </w:pPr>
      <w:bookmarkStart w:id="0" w:name="_Toc27606_WPSOffice_Level1"/>
      <w:r>
        <w:rPr>
          <w:rFonts w:ascii="Times New Roman" w:hAnsi="Times New Roman" w:eastAsia="宋体" w:cs="Times New Roman"/>
        </w:rPr>
        <w:t>采购公告</w:t>
      </w:r>
      <w:bookmarkEnd w:id="0"/>
    </w:p>
    <w:p>
      <w:pPr>
        <w:pStyle w:val="4"/>
        <w:snapToGrid w:val="0"/>
        <w:spacing w:before="120" w:after="120" w:line="240" w:lineRule="auto"/>
        <w:ind w:firstLine="403"/>
        <w:rPr>
          <w:rFonts w:ascii="Times New Roman" w:hAnsi="Times New Roman" w:eastAsia="黑体" w:cs="Times New Roman"/>
          <w:bCs w:val="0"/>
          <w:color w:val="000000"/>
          <w:sz w:val="22"/>
          <w:szCs w:val="15"/>
        </w:rPr>
      </w:pPr>
      <w:bookmarkStart w:id="1" w:name="_Toc12765"/>
      <w:bookmarkStart w:id="2" w:name="_Toc24354_WPSOffice_Level2"/>
      <w:bookmarkStart w:id="3" w:name="_Toc525632585"/>
      <w:bookmarkStart w:id="4" w:name="_Toc6496_WPSOffice_Level2"/>
      <w:bookmarkStart w:id="5" w:name="_Toc13871"/>
      <w:bookmarkStart w:id="6" w:name="_Toc4489_WPSOffice_Level2"/>
      <w:bookmarkStart w:id="7" w:name="_Toc10395_WPSOffice_Level2"/>
      <w:r>
        <w:rPr>
          <w:rFonts w:ascii="Times New Roman" w:hAnsi="Times New Roman" w:eastAsia="黑体" w:cs="Times New Roman"/>
          <w:bCs w:val="0"/>
          <w:color w:val="000000"/>
          <w:sz w:val="22"/>
          <w:szCs w:val="15"/>
        </w:rPr>
        <w:t>项目简介</w:t>
      </w:r>
      <w:bookmarkEnd w:id="1"/>
      <w:bookmarkEnd w:id="2"/>
      <w:bookmarkEnd w:id="3"/>
      <w:bookmarkEnd w:id="4"/>
      <w:bookmarkEnd w:id="5"/>
      <w:bookmarkEnd w:id="6"/>
      <w:bookmarkEnd w:id="7"/>
    </w:p>
    <w:p>
      <w:pPr>
        <w:numPr>
          <w:ilvl w:val="1"/>
          <w:numId w:val="3"/>
        </w:numPr>
        <w:snapToGrid w:val="0"/>
        <w:spacing w:line="440" w:lineRule="exact"/>
        <w:ind w:firstLine="420" w:firstLineChars="200"/>
        <w:rPr>
          <w:rFonts w:ascii="Times New Roman" w:hAnsi="Times New Roman" w:cs="Times New Roman"/>
          <w:szCs w:val="22"/>
          <w:u w:val="single"/>
        </w:rPr>
      </w:pPr>
      <w:r>
        <w:rPr>
          <w:rFonts w:ascii="Times New Roman" w:hAnsi="Times New Roman" w:cs="Times New Roman"/>
          <w:szCs w:val="22"/>
        </w:rPr>
        <w:t>项目名称：</w:t>
      </w:r>
      <w:r>
        <w:rPr>
          <w:rFonts w:hint="eastAsia" w:ascii="Times New Roman" w:hAnsi="Times New Roman" w:cs="Times New Roman"/>
          <w:szCs w:val="22"/>
          <w:u w:val="single"/>
        </w:rPr>
        <w:t>驿达公司服务区易燃夹芯板更换工程劳务</w:t>
      </w:r>
    </w:p>
    <w:p>
      <w:pPr>
        <w:numPr>
          <w:ilvl w:val="1"/>
          <w:numId w:val="3"/>
        </w:numPr>
        <w:snapToGrid w:val="0"/>
        <w:spacing w:line="440" w:lineRule="exact"/>
        <w:ind w:firstLine="420" w:firstLineChars="200"/>
        <w:rPr>
          <w:rFonts w:ascii="Times New Roman" w:hAnsi="Times New Roman" w:cs="Times New Roman"/>
          <w:szCs w:val="22"/>
        </w:rPr>
      </w:pPr>
      <w:r>
        <w:rPr>
          <w:rFonts w:ascii="Times New Roman" w:hAnsi="Times New Roman" w:cs="Times New Roman"/>
          <w:szCs w:val="22"/>
        </w:rPr>
        <w:t>采 购 人：</w:t>
      </w:r>
      <w:r>
        <w:rPr>
          <w:rFonts w:hint="eastAsia" w:ascii="Times New Roman" w:hAnsi="Times New Roman" w:cs="Times New Roman"/>
          <w:szCs w:val="22"/>
          <w:u w:val="single"/>
        </w:rPr>
        <w:t>安徽省经工建设集团有限公司</w:t>
      </w:r>
      <w:r>
        <w:rPr>
          <w:rFonts w:ascii="Times New Roman" w:hAnsi="Times New Roman" w:cs="Times New Roman"/>
          <w:szCs w:val="22"/>
          <w:u w:val="single"/>
        </w:rPr>
        <w:t xml:space="preserve"> </w:t>
      </w:r>
    </w:p>
    <w:p>
      <w:pPr>
        <w:numPr>
          <w:ilvl w:val="1"/>
          <w:numId w:val="3"/>
        </w:numPr>
        <w:snapToGrid w:val="0"/>
        <w:spacing w:line="440" w:lineRule="exact"/>
        <w:ind w:firstLine="420" w:firstLineChars="200"/>
        <w:rPr>
          <w:rFonts w:ascii="Times New Roman" w:hAnsi="Times New Roman" w:cs="Times New Roman"/>
          <w:szCs w:val="22"/>
          <w:u w:val="single"/>
        </w:rPr>
      </w:pPr>
      <w:r>
        <w:rPr>
          <w:rFonts w:ascii="Times New Roman" w:hAnsi="Times New Roman" w:cs="Times New Roman"/>
          <w:sz w:val="21"/>
          <w:szCs w:val="22"/>
        </w:rPr>
        <w:t>项目概况：</w:t>
      </w:r>
      <w:bookmarkStart w:id="8" w:name="_Toc23266_WPSOffice_Level2"/>
      <w:bookmarkStart w:id="9" w:name="_Toc10274"/>
      <w:bookmarkStart w:id="10" w:name="_Toc17858_WPSOffice_Level2"/>
      <w:bookmarkStart w:id="11" w:name="_Toc18367_WPSOffice_Level2"/>
      <w:bookmarkStart w:id="12" w:name="_Toc525632586"/>
      <w:bookmarkStart w:id="13" w:name="_Toc8128_WPSOffice_Level2"/>
      <w:bookmarkStart w:id="14" w:name="_Toc18453"/>
      <w:r>
        <w:rPr>
          <w:rFonts w:hint="eastAsia" w:ascii="Times New Roman" w:hAnsi="Times New Roman" w:cs="Times New Roman"/>
          <w:szCs w:val="22"/>
          <w:u w:val="single"/>
        </w:rPr>
        <w:t>拟对服务区现有易燃夹芯彩钢板进行拆除并更换为岩棉材质夹芯彩钢板。项目工作量分别是单体简易夹芯彩钢板面积约为18251.16㎡（屋面和墙体拆除并更新总面积），夹芯彩钢板屋面约为6059.66㎡（营业服务场所屋面彩钢板拆除并更新），仅拆除不用更新彩钢板面积为3002.68㎡。具体工程量以现场实际发生为准。</w:t>
      </w:r>
    </w:p>
    <w:p>
      <w:pPr>
        <w:pStyle w:val="4"/>
        <w:snapToGrid w:val="0"/>
        <w:spacing w:before="120" w:after="120" w:line="240" w:lineRule="auto"/>
        <w:ind w:firstLine="403"/>
        <w:rPr>
          <w:rFonts w:ascii="Times New Roman" w:hAnsi="Times New Roman" w:eastAsia="黑体" w:cs="Times New Roman"/>
          <w:bCs w:val="0"/>
          <w:color w:val="000000"/>
          <w:sz w:val="22"/>
          <w:szCs w:val="15"/>
        </w:rPr>
      </w:pPr>
      <w:r>
        <w:rPr>
          <w:rFonts w:ascii="Times New Roman" w:hAnsi="Times New Roman" w:eastAsia="黑体" w:cs="Times New Roman"/>
          <w:bCs w:val="0"/>
          <w:color w:val="000000"/>
          <w:sz w:val="22"/>
          <w:szCs w:val="15"/>
        </w:rPr>
        <w:t>采购说明</w:t>
      </w:r>
      <w:bookmarkEnd w:id="8"/>
      <w:bookmarkEnd w:id="9"/>
      <w:bookmarkEnd w:id="10"/>
      <w:bookmarkEnd w:id="11"/>
      <w:bookmarkEnd w:id="12"/>
      <w:bookmarkEnd w:id="13"/>
      <w:bookmarkEnd w:id="14"/>
    </w:p>
    <w:p>
      <w:pPr>
        <w:snapToGrid w:val="0"/>
        <w:spacing w:line="440" w:lineRule="exact"/>
        <w:ind w:firstLine="420" w:firstLineChars="200"/>
        <w:rPr>
          <w:rFonts w:ascii="Times New Roman" w:hAnsi="Times New Roman" w:cs="Times New Roman"/>
          <w:szCs w:val="22"/>
          <w:u w:val="single"/>
        </w:rPr>
      </w:pPr>
      <w:bookmarkStart w:id="15" w:name="_Toc4489_WPSOffice_Level3"/>
      <w:r>
        <w:rPr>
          <w:rFonts w:ascii="Times New Roman" w:hAnsi="Times New Roman" w:cs="Times New Roman"/>
          <w:szCs w:val="22"/>
        </w:rPr>
        <w:t>2.1 采购方式：</w:t>
      </w:r>
      <w:bookmarkEnd w:id="15"/>
      <w:r>
        <w:rPr>
          <w:rFonts w:ascii="Times New Roman" w:hAnsi="Times New Roman" w:cs="Times New Roman"/>
          <w:szCs w:val="22"/>
          <w:u w:val="single"/>
        </w:rPr>
        <w:t>询比采购</w:t>
      </w:r>
    </w:p>
    <w:p>
      <w:pPr>
        <w:snapToGrid w:val="0"/>
        <w:spacing w:line="440" w:lineRule="exact"/>
        <w:ind w:firstLine="420" w:firstLineChars="200"/>
        <w:rPr>
          <w:rFonts w:ascii="Times New Roman" w:hAnsi="Times New Roman" w:cs="Times New Roman"/>
          <w:szCs w:val="22"/>
          <w:u w:val="single"/>
        </w:rPr>
      </w:pPr>
      <w:bookmarkStart w:id="16" w:name="_Toc23266_WPSOffice_Level3"/>
      <w:r>
        <w:rPr>
          <w:rFonts w:ascii="Times New Roman" w:hAnsi="Times New Roman" w:cs="Times New Roman"/>
          <w:szCs w:val="22"/>
        </w:rPr>
        <w:t>2.2 资金来源及比例：</w:t>
      </w:r>
      <w:bookmarkEnd w:id="16"/>
      <w:bookmarkStart w:id="17" w:name="_Toc22379_WPSOffice_Level3"/>
      <w:r>
        <w:rPr>
          <w:rFonts w:ascii="Times New Roman" w:hAnsi="Times New Roman" w:cs="Times New Roman"/>
          <w:szCs w:val="22"/>
          <w:u w:val="single"/>
        </w:rPr>
        <w:t>企业自筹</w:t>
      </w:r>
    </w:p>
    <w:p>
      <w:pPr>
        <w:snapToGrid w:val="0"/>
        <w:spacing w:line="440" w:lineRule="exact"/>
        <w:ind w:firstLine="420" w:firstLineChars="200"/>
        <w:rPr>
          <w:rFonts w:ascii="Times New Roman" w:hAnsi="Times New Roman" w:cs="Times New Roman"/>
          <w:szCs w:val="22"/>
        </w:rPr>
      </w:pPr>
      <w:r>
        <w:rPr>
          <w:rFonts w:ascii="Times New Roman" w:hAnsi="Times New Roman" w:cs="Times New Roman"/>
          <w:szCs w:val="22"/>
        </w:rPr>
        <w:t xml:space="preserve">2.3 </w:t>
      </w:r>
      <w:r>
        <w:rPr>
          <w:rFonts w:hint="eastAsia" w:ascii="Times New Roman" w:hAnsi="Times New Roman" w:cs="Times New Roman"/>
          <w:szCs w:val="22"/>
        </w:rPr>
        <w:t>采购范围：</w:t>
      </w:r>
      <w:r>
        <w:rPr>
          <w:rFonts w:hint="eastAsia" w:ascii="Times New Roman" w:hAnsi="Times New Roman" w:cs="Times New Roman"/>
          <w:szCs w:val="22"/>
          <w:u w:val="single"/>
        </w:rPr>
        <w:t>涉及本工程项目的货物采购与施工</w:t>
      </w:r>
    </w:p>
    <w:p>
      <w:pPr>
        <w:snapToGrid w:val="0"/>
        <w:spacing w:line="440" w:lineRule="exact"/>
        <w:ind w:firstLine="420" w:firstLineChars="200"/>
        <w:rPr>
          <w:rFonts w:ascii="Times New Roman" w:hAnsi="Times New Roman" w:cs="Times New Roman"/>
          <w:szCs w:val="22"/>
          <w:u w:val="single"/>
        </w:rPr>
      </w:pPr>
      <w:r>
        <w:rPr>
          <w:rFonts w:hint="eastAsia" w:ascii="Times New Roman" w:hAnsi="Times New Roman" w:cs="Times New Roman"/>
          <w:szCs w:val="22"/>
        </w:rPr>
        <w:t xml:space="preserve">2.4 </w:t>
      </w:r>
      <w:r>
        <w:rPr>
          <w:rFonts w:ascii="Times New Roman" w:hAnsi="Times New Roman" w:cs="Times New Roman"/>
          <w:szCs w:val="22"/>
        </w:rPr>
        <w:t>合同包划分：</w:t>
      </w:r>
      <w:r>
        <w:rPr>
          <w:rFonts w:ascii="Times New Roman" w:hAnsi="Times New Roman" w:cs="Times New Roman"/>
          <w:szCs w:val="22"/>
          <w:u w:val="single"/>
        </w:rPr>
        <w:t>本项目共分为</w:t>
      </w:r>
      <w:r>
        <w:rPr>
          <w:rFonts w:hint="eastAsia" w:ascii="Times New Roman" w:hAnsi="Times New Roman" w:cs="Times New Roman"/>
          <w:szCs w:val="22"/>
          <w:u w:val="single"/>
          <w:lang w:val="en-US" w:eastAsia="zh-CN"/>
        </w:rPr>
        <w:t>1</w:t>
      </w:r>
      <w:r>
        <w:rPr>
          <w:rFonts w:ascii="Times New Roman" w:hAnsi="Times New Roman" w:cs="Times New Roman"/>
          <w:szCs w:val="22"/>
          <w:u w:val="single"/>
        </w:rPr>
        <w:t>个标段</w:t>
      </w:r>
    </w:p>
    <w:p>
      <w:pPr>
        <w:snapToGrid w:val="0"/>
        <w:spacing w:line="440" w:lineRule="exact"/>
        <w:ind w:firstLine="420" w:firstLineChars="200"/>
        <w:rPr>
          <w:rFonts w:hint="default" w:ascii="Times New Roman" w:hAnsi="Times New Roman" w:cs="Times New Roman" w:eastAsiaTheme="minorEastAsia"/>
          <w:szCs w:val="22"/>
          <w:u w:val="single"/>
          <w:lang w:val="en-US" w:eastAsia="zh-CN"/>
        </w:rPr>
      </w:pPr>
      <w:r>
        <w:rPr>
          <w:rFonts w:ascii="Times New Roman" w:hAnsi="Times New Roman" w:cs="Times New Roman"/>
          <w:szCs w:val="22"/>
        </w:rPr>
        <w:t>2.</w:t>
      </w:r>
      <w:r>
        <w:rPr>
          <w:rFonts w:hint="eastAsia" w:ascii="Times New Roman" w:hAnsi="Times New Roman" w:cs="Times New Roman"/>
          <w:szCs w:val="22"/>
        </w:rPr>
        <w:t>5</w:t>
      </w:r>
      <w:r>
        <w:rPr>
          <w:rFonts w:ascii="Times New Roman" w:hAnsi="Times New Roman" w:cs="Times New Roman"/>
          <w:szCs w:val="22"/>
        </w:rPr>
        <w:t xml:space="preserve"> </w:t>
      </w:r>
      <w:r>
        <w:rPr>
          <w:rFonts w:hint="eastAsia" w:ascii="Times New Roman" w:hAnsi="Times New Roman" w:cs="Times New Roman"/>
          <w:szCs w:val="22"/>
          <w:lang w:val="en-US" w:eastAsia="zh-CN"/>
        </w:rPr>
        <w:t>劳务</w:t>
      </w:r>
      <w:r>
        <w:rPr>
          <w:rFonts w:ascii="Times New Roman" w:hAnsi="Times New Roman" w:cs="Times New Roman"/>
          <w:szCs w:val="22"/>
        </w:rPr>
        <w:t>最高限价：</w:t>
      </w:r>
      <w:bookmarkEnd w:id="17"/>
      <w:r>
        <w:rPr>
          <w:rFonts w:hint="eastAsia" w:ascii="Times New Roman" w:hAnsi="Times New Roman" w:cs="Times New Roman"/>
          <w:szCs w:val="22"/>
          <w:highlight w:val="yellow"/>
          <w:lang w:val="en-US" w:eastAsia="zh-CN"/>
        </w:rPr>
        <w:t>336万元</w:t>
      </w:r>
      <w:bookmarkStart w:id="101" w:name="_GoBack"/>
      <w:bookmarkEnd w:id="101"/>
    </w:p>
    <w:p>
      <w:pPr>
        <w:snapToGrid w:val="0"/>
        <w:spacing w:line="440" w:lineRule="exact"/>
        <w:ind w:firstLine="420" w:firstLineChars="200"/>
        <w:rPr>
          <w:rFonts w:ascii="Times New Roman" w:hAnsi="Times New Roman" w:cs="Times New Roman"/>
          <w:szCs w:val="22"/>
        </w:rPr>
      </w:pPr>
      <w:r>
        <w:rPr>
          <w:rFonts w:ascii="Times New Roman" w:hAnsi="Times New Roman" w:cs="Times New Roman"/>
          <w:szCs w:val="22"/>
        </w:rPr>
        <w:t>2.</w:t>
      </w:r>
      <w:r>
        <w:rPr>
          <w:rFonts w:hint="eastAsia" w:ascii="Times New Roman" w:hAnsi="Times New Roman" w:cs="Times New Roman"/>
          <w:szCs w:val="22"/>
        </w:rPr>
        <w:t>6</w:t>
      </w:r>
      <w:r>
        <w:rPr>
          <w:rFonts w:ascii="Times New Roman" w:hAnsi="Times New Roman" w:cs="Times New Roman"/>
          <w:szCs w:val="22"/>
        </w:rPr>
        <w:t xml:space="preserve"> 计划工期：</w:t>
      </w:r>
      <w:r>
        <w:rPr>
          <w:rFonts w:ascii="Times New Roman" w:hAnsi="Times New Roman" w:cs="Times New Roman"/>
          <w:szCs w:val="22"/>
          <w:u w:val="single"/>
        </w:rPr>
        <w:t>总工期</w:t>
      </w:r>
      <w:r>
        <w:rPr>
          <w:rFonts w:hint="eastAsia" w:ascii="Times New Roman" w:hAnsi="Times New Roman" w:cs="Times New Roman"/>
          <w:szCs w:val="22"/>
          <w:u w:val="single"/>
          <w:lang w:val="en-US" w:eastAsia="zh-CN"/>
        </w:rPr>
        <w:t>30日历天</w:t>
      </w:r>
      <w:r>
        <w:rPr>
          <w:rFonts w:ascii="Times New Roman" w:hAnsi="Times New Roman" w:cs="Times New Roman"/>
          <w:szCs w:val="22"/>
          <w:u w:val="single"/>
        </w:rPr>
        <w:t>，具体开工时间以对应单体项目下达开工时间为准。缺陷责任期为 24 个月，以项目的验收合格时间为起始时间。</w:t>
      </w:r>
    </w:p>
    <w:p>
      <w:pPr>
        <w:pStyle w:val="4"/>
        <w:snapToGrid w:val="0"/>
        <w:spacing w:before="120" w:after="120" w:line="240" w:lineRule="auto"/>
        <w:ind w:firstLine="403"/>
        <w:rPr>
          <w:rFonts w:ascii="Times New Roman" w:hAnsi="Times New Roman" w:eastAsia="黑体" w:cs="Times New Roman"/>
          <w:bCs w:val="0"/>
          <w:color w:val="000000"/>
          <w:sz w:val="22"/>
          <w:szCs w:val="15"/>
        </w:rPr>
      </w:pPr>
      <w:bookmarkStart w:id="18" w:name="_Toc6388"/>
      <w:bookmarkStart w:id="19" w:name="_Toc3714"/>
      <w:bookmarkStart w:id="20" w:name="_Toc525632587"/>
      <w:bookmarkStart w:id="21" w:name="_Toc31673_WPSOffice_Level2"/>
      <w:bookmarkStart w:id="22" w:name="_Toc22379_WPSOffice_Level2"/>
      <w:bookmarkStart w:id="23" w:name="_Toc1622_WPSOffice_Level2"/>
      <w:bookmarkStart w:id="24" w:name="_Toc29516_WPSOffice_Level2"/>
      <w:r>
        <w:rPr>
          <w:rFonts w:ascii="Times New Roman" w:hAnsi="Times New Roman" w:eastAsia="黑体" w:cs="Times New Roman"/>
          <w:bCs w:val="0"/>
          <w:color w:val="000000"/>
          <w:sz w:val="22"/>
          <w:szCs w:val="15"/>
        </w:rPr>
        <w:t>供应商资格条件</w:t>
      </w:r>
      <w:bookmarkEnd w:id="18"/>
      <w:bookmarkEnd w:id="19"/>
      <w:bookmarkEnd w:id="20"/>
      <w:bookmarkEnd w:id="21"/>
      <w:bookmarkEnd w:id="22"/>
      <w:bookmarkEnd w:id="23"/>
      <w:bookmarkEnd w:id="24"/>
    </w:p>
    <w:p>
      <w:pPr>
        <w:snapToGrid w:val="0"/>
        <w:spacing w:line="440" w:lineRule="exact"/>
        <w:ind w:firstLine="420" w:firstLineChars="200"/>
        <w:rPr>
          <w:rFonts w:ascii="Times New Roman" w:hAnsi="Times New Roman" w:cs="Times New Roman"/>
          <w:szCs w:val="22"/>
        </w:rPr>
      </w:pPr>
      <w:r>
        <w:rPr>
          <w:rFonts w:ascii="Times New Roman" w:hAnsi="Times New Roman" w:cs="Times New Roman"/>
          <w:szCs w:val="22"/>
        </w:rPr>
        <w:t>3.1 本次采购要求供应商须</w:t>
      </w:r>
      <w:r>
        <w:rPr>
          <w:rFonts w:hint="eastAsia" w:ascii="Times New Roman" w:hAnsi="Times New Roman" w:cs="Times New Roman"/>
          <w:szCs w:val="22"/>
        </w:rPr>
        <w:t>同时</w:t>
      </w:r>
      <w:r>
        <w:rPr>
          <w:rFonts w:ascii="Times New Roman" w:hAnsi="Times New Roman" w:cs="Times New Roman"/>
          <w:szCs w:val="22"/>
        </w:rPr>
        <w:t>具备：</w:t>
      </w:r>
    </w:p>
    <w:p>
      <w:pPr>
        <w:snapToGrid w:val="0"/>
        <w:spacing w:line="440" w:lineRule="exact"/>
        <w:ind w:firstLine="420" w:firstLineChars="200"/>
        <w:rPr>
          <w:rFonts w:ascii="Times New Roman" w:hAnsi="Times New Roman" w:cs="Times New Roman"/>
          <w:szCs w:val="22"/>
        </w:rPr>
      </w:pPr>
      <w:r>
        <w:rPr>
          <w:rFonts w:ascii="Times New Roman" w:hAnsi="Times New Roman" w:cs="Times New Roman"/>
          <w:szCs w:val="22"/>
        </w:rPr>
        <w:t>（1）资质最低要求：</w:t>
      </w:r>
    </w:p>
    <w:p>
      <w:pPr>
        <w:snapToGrid w:val="0"/>
        <w:spacing w:line="440" w:lineRule="exact"/>
        <w:ind w:firstLine="420" w:firstLineChars="200"/>
        <w:rPr>
          <w:rFonts w:ascii="Times New Roman" w:hAnsi="Times New Roman" w:cs="Times New Roman"/>
          <w:szCs w:val="22"/>
        </w:rPr>
      </w:pPr>
      <w:r>
        <w:rPr>
          <w:rFonts w:ascii="Times New Roman" w:hAnsi="Times New Roman" w:cs="Times New Roman"/>
          <w:szCs w:val="22"/>
        </w:rPr>
        <w:t>①具备独立法人资格，持有有效的营业执照；</w:t>
      </w:r>
    </w:p>
    <w:p>
      <w:pPr>
        <w:snapToGrid w:val="0"/>
        <w:spacing w:line="440" w:lineRule="exact"/>
        <w:ind w:firstLine="420" w:firstLineChars="200"/>
        <w:rPr>
          <w:rFonts w:ascii="Times New Roman" w:hAnsi="Times New Roman" w:cs="Times New Roman"/>
          <w:szCs w:val="22"/>
        </w:rPr>
      </w:pPr>
      <w:r>
        <w:rPr>
          <w:rFonts w:ascii="Times New Roman" w:hAnsi="Times New Roman" w:cs="Times New Roman"/>
          <w:szCs w:val="22"/>
        </w:rPr>
        <w:t>②持有建设行政主管部门颁发的有效的安全生产许可证。</w:t>
      </w:r>
    </w:p>
    <w:p>
      <w:pPr>
        <w:snapToGrid w:val="0"/>
        <w:spacing w:line="440" w:lineRule="exact"/>
        <w:ind w:firstLine="420" w:firstLineChars="200"/>
        <w:rPr>
          <w:rFonts w:ascii="Times New Roman" w:hAnsi="Times New Roman" w:cs="Times New Roman"/>
          <w:szCs w:val="22"/>
        </w:rPr>
      </w:pPr>
      <w:r>
        <w:rPr>
          <w:rFonts w:hint="default" w:ascii="Times New Roman" w:hAnsi="Times New Roman" w:cs="Times New Roman"/>
          <w:szCs w:val="22"/>
        </w:rPr>
        <w:t>③</w:t>
      </w:r>
      <w:r>
        <w:rPr>
          <w:rFonts w:hint="eastAsia" w:ascii="Times New Roman" w:hAnsi="Times New Roman" w:cs="Times New Roman"/>
          <w:szCs w:val="22"/>
        </w:rPr>
        <w:t>经工集团劳务合格供应商。</w:t>
      </w:r>
    </w:p>
    <w:p>
      <w:pPr>
        <w:numPr>
          <w:ilvl w:val="255"/>
          <w:numId w:val="0"/>
        </w:numPr>
        <w:snapToGrid w:val="0"/>
        <w:spacing w:line="440" w:lineRule="exact"/>
        <w:ind w:firstLine="420" w:firstLineChars="200"/>
        <w:rPr>
          <w:rFonts w:hint="default" w:ascii="Times New Roman" w:hAnsi="Times New Roman" w:cs="Times New Roman" w:eastAsiaTheme="minorEastAsia"/>
          <w:szCs w:val="22"/>
          <w:lang w:val="en-US" w:eastAsia="zh-CN"/>
        </w:rPr>
      </w:pPr>
      <w:r>
        <w:rPr>
          <w:rFonts w:hint="eastAsia" w:ascii="Times New Roman" w:hAnsi="Times New Roman" w:cs="Times New Roman"/>
          <w:szCs w:val="22"/>
        </w:rPr>
        <w:t>（</w:t>
      </w:r>
      <w:r>
        <w:rPr>
          <w:rFonts w:hint="eastAsia" w:ascii="Times New Roman" w:hAnsi="Times New Roman" w:cs="Times New Roman"/>
          <w:szCs w:val="22"/>
          <w:lang w:val="en-US" w:eastAsia="zh-CN"/>
        </w:rPr>
        <w:t>2</w:t>
      </w:r>
      <w:r>
        <w:rPr>
          <w:rFonts w:hint="eastAsia" w:ascii="Times New Roman" w:hAnsi="Times New Roman" w:cs="Times New Roman"/>
          <w:szCs w:val="22"/>
        </w:rPr>
        <w:t>）</w:t>
      </w:r>
      <w:r>
        <w:rPr>
          <w:rFonts w:ascii="Times New Roman" w:hAnsi="Times New Roman" w:cs="Times New Roman"/>
          <w:szCs w:val="22"/>
        </w:rPr>
        <w:t>主要人员最低要求：</w:t>
      </w:r>
      <w:r>
        <w:rPr>
          <w:rFonts w:hint="eastAsia" w:ascii="Times New Roman" w:hAnsi="Times New Roman" w:cs="Times New Roman"/>
          <w:szCs w:val="22"/>
          <w:lang w:val="en-US" w:eastAsia="zh-CN"/>
        </w:rPr>
        <w:t>·</w:t>
      </w:r>
      <w:r>
        <w:rPr>
          <w:rFonts w:hint="eastAsia" w:ascii="Times New Roman" w:hAnsi="Times New Roman" w:cs="Times New Roman"/>
          <w:szCs w:val="22"/>
          <w:lang w:val="en-US" w:eastAsia="zh-CN"/>
        </w:rPr>
        <w:tab/>
      </w:r>
      <w:r>
        <w:rPr>
          <w:rFonts w:hint="eastAsia" w:ascii="Times New Roman" w:hAnsi="Times New Roman" w:cs="Times New Roman"/>
          <w:szCs w:val="22"/>
          <w:lang w:val="en-US" w:eastAsia="zh-CN"/>
        </w:rPr>
        <w:tab/>
      </w:r>
    </w:p>
    <w:p>
      <w:pPr>
        <w:snapToGrid w:val="0"/>
        <w:spacing w:line="440" w:lineRule="exact"/>
        <w:ind w:firstLine="420" w:firstLineChars="200"/>
        <w:rPr>
          <w:rFonts w:ascii="Times New Roman" w:hAnsi="Times New Roman" w:cs="Times New Roman"/>
          <w:szCs w:val="22"/>
        </w:rPr>
      </w:pPr>
      <w:r>
        <w:rPr>
          <w:rFonts w:ascii="Times New Roman" w:hAnsi="Times New Roman" w:cs="Times New Roman"/>
          <w:szCs w:val="22"/>
        </w:rPr>
        <w:t>项目</w:t>
      </w:r>
      <w:r>
        <w:rPr>
          <w:rFonts w:hint="eastAsia" w:ascii="Times New Roman" w:hAnsi="Times New Roman" w:cs="Times New Roman"/>
          <w:szCs w:val="22"/>
        </w:rPr>
        <w:t>负责人</w:t>
      </w:r>
      <w:r>
        <w:rPr>
          <w:rFonts w:ascii="Times New Roman" w:hAnsi="Times New Roman" w:cs="Times New Roman"/>
          <w:szCs w:val="22"/>
        </w:rPr>
        <w:t>1名，具备以下资格条件：</w:t>
      </w:r>
    </w:p>
    <w:p>
      <w:pPr>
        <w:snapToGrid w:val="0"/>
        <w:spacing w:line="440" w:lineRule="exact"/>
        <w:ind w:firstLine="420" w:firstLineChars="200"/>
        <w:rPr>
          <w:rFonts w:ascii="Times New Roman" w:hAnsi="Times New Roman" w:cs="Times New Roman"/>
          <w:szCs w:val="22"/>
        </w:rPr>
      </w:pPr>
      <w:r>
        <w:rPr>
          <w:rFonts w:hint="eastAsia" w:ascii="Times New Roman" w:hAnsi="Times New Roman" w:cs="Times New Roman"/>
          <w:szCs w:val="22"/>
        </w:rPr>
        <w:t>①</w:t>
      </w:r>
      <w:r>
        <w:rPr>
          <w:rFonts w:ascii="Times New Roman" w:hAnsi="Times New Roman" w:cs="Times New Roman"/>
          <w:szCs w:val="22"/>
        </w:rPr>
        <w:t>具备</w:t>
      </w:r>
      <w:r>
        <w:rPr>
          <w:rFonts w:hint="eastAsia" w:ascii="Times New Roman" w:hAnsi="Times New Roman" w:cs="Times New Roman"/>
          <w:szCs w:val="22"/>
        </w:rPr>
        <w:t>建筑工程施工管理经验</w:t>
      </w:r>
      <w:r>
        <w:rPr>
          <w:rFonts w:ascii="Times New Roman" w:hAnsi="Times New Roman" w:cs="Times New Roman"/>
          <w:szCs w:val="22"/>
        </w:rPr>
        <w:t>；</w:t>
      </w:r>
    </w:p>
    <w:p>
      <w:pPr>
        <w:snapToGrid w:val="0"/>
        <w:spacing w:line="440" w:lineRule="exact"/>
        <w:ind w:firstLine="420" w:firstLineChars="200"/>
        <w:rPr>
          <w:rFonts w:ascii="Times New Roman" w:hAnsi="Times New Roman" w:cs="Times New Roman"/>
          <w:szCs w:val="22"/>
        </w:rPr>
      </w:pPr>
      <w:r>
        <w:rPr>
          <w:rFonts w:ascii="Times New Roman" w:hAnsi="Times New Roman" w:cs="Times New Roman"/>
          <w:szCs w:val="22"/>
        </w:rPr>
        <w:t>对供应商其他人员的要求：</w:t>
      </w:r>
      <w:r>
        <w:rPr>
          <w:rFonts w:hint="eastAsia" w:ascii="Times New Roman" w:hAnsi="Times New Roman" w:cs="Times New Roman"/>
          <w:szCs w:val="22"/>
          <w:u w:val="single"/>
        </w:rPr>
        <w:t>技术负责人、施工员、安全员各1名 ，具备相应资格证书</w:t>
      </w:r>
      <w:r>
        <w:rPr>
          <w:rFonts w:hint="eastAsia" w:ascii="Times New Roman" w:hAnsi="Times New Roman" w:cs="Times New Roman"/>
          <w:szCs w:val="22"/>
        </w:rPr>
        <w:t>。</w:t>
      </w:r>
    </w:p>
    <w:p>
      <w:pPr>
        <w:numPr>
          <w:ilvl w:val="255"/>
          <w:numId w:val="0"/>
        </w:numPr>
        <w:snapToGrid w:val="0"/>
        <w:spacing w:line="440" w:lineRule="exact"/>
        <w:ind w:firstLine="420" w:firstLineChars="200"/>
        <w:rPr>
          <w:rFonts w:ascii="Times New Roman" w:hAnsi="Times New Roman" w:cs="Times New Roman"/>
          <w:szCs w:val="22"/>
        </w:rPr>
      </w:pPr>
      <w:r>
        <w:rPr>
          <w:rFonts w:hint="eastAsia" w:ascii="Times New Roman" w:hAnsi="Times New Roman" w:cs="Times New Roman"/>
          <w:szCs w:val="22"/>
        </w:rPr>
        <w:t>（3）</w:t>
      </w:r>
      <w:r>
        <w:rPr>
          <w:rFonts w:ascii="Times New Roman" w:hAnsi="Times New Roman" w:cs="Times New Roman"/>
          <w:szCs w:val="22"/>
        </w:rPr>
        <w:t>信誉要求最低要求：</w:t>
      </w:r>
    </w:p>
    <w:p>
      <w:pPr>
        <w:snapToGrid w:val="0"/>
        <w:spacing w:line="440" w:lineRule="exact"/>
        <w:ind w:firstLine="420" w:firstLineChars="200"/>
        <w:rPr>
          <w:rFonts w:ascii="Times New Roman" w:hAnsi="Times New Roman" w:cs="Times New Roman"/>
          <w:szCs w:val="22"/>
        </w:rPr>
      </w:pPr>
      <w:r>
        <w:rPr>
          <w:rFonts w:ascii="Times New Roman" w:hAnsi="Times New Roman" w:cs="Times New Roman"/>
          <w:szCs w:val="22"/>
        </w:rPr>
        <w:t>①</w:t>
      </w:r>
      <w:r>
        <w:rPr>
          <w:rFonts w:hint="eastAsia" w:ascii="Times New Roman" w:hAnsi="Times New Roman" w:cs="Times New Roman"/>
          <w:szCs w:val="22"/>
        </w:rPr>
        <w:t>未被责令停业，暂扣或吊销执照，或吊销资质证书；</w:t>
      </w:r>
    </w:p>
    <w:p>
      <w:pPr>
        <w:snapToGrid w:val="0"/>
        <w:spacing w:line="440" w:lineRule="exact"/>
        <w:ind w:firstLine="420" w:firstLineChars="200"/>
      </w:pPr>
      <w:r>
        <w:rPr>
          <w:rFonts w:hint="eastAsia" w:ascii="Times New Roman" w:hAnsi="Times New Roman" w:cs="Times New Roman"/>
          <w:szCs w:val="22"/>
        </w:rPr>
        <w:t>②未进入清算程序，或被宣告破产，或其他丧失履约能力的情形；</w:t>
      </w:r>
    </w:p>
    <w:p>
      <w:pPr>
        <w:snapToGrid w:val="0"/>
        <w:spacing w:line="440" w:lineRule="exact"/>
        <w:ind w:firstLine="420" w:firstLineChars="200"/>
        <w:rPr>
          <w:rFonts w:ascii="Times New Roman" w:hAnsi="Times New Roman" w:cs="Times New Roman"/>
          <w:szCs w:val="22"/>
        </w:rPr>
      </w:pPr>
      <w:r>
        <w:rPr>
          <w:rFonts w:hint="eastAsia" w:ascii="Times New Roman" w:hAnsi="Times New Roman" w:cs="Times New Roman"/>
          <w:szCs w:val="22"/>
        </w:rPr>
        <w:t>③</w:t>
      </w:r>
      <w:r>
        <w:rPr>
          <w:rFonts w:ascii="Times New Roman" w:hAnsi="Times New Roman" w:cs="Times New Roman"/>
          <w:szCs w:val="22"/>
        </w:rPr>
        <w:t>在国家企业信用信息公示系统（http://www.gsxt.gov.cn）中</w:t>
      </w:r>
      <w:r>
        <w:rPr>
          <w:rFonts w:hint="eastAsia" w:ascii="Times New Roman" w:hAnsi="Times New Roman" w:cs="Times New Roman"/>
          <w:szCs w:val="22"/>
        </w:rPr>
        <w:t>未</w:t>
      </w:r>
      <w:r>
        <w:rPr>
          <w:rFonts w:ascii="Times New Roman" w:hAnsi="Times New Roman" w:cs="Times New Roman"/>
          <w:szCs w:val="22"/>
        </w:rPr>
        <w:t>被列入严重违法失信企业名单；</w:t>
      </w:r>
    </w:p>
    <w:p>
      <w:pPr>
        <w:snapToGrid w:val="0"/>
        <w:spacing w:line="440" w:lineRule="exact"/>
        <w:ind w:firstLine="420" w:firstLineChars="200"/>
        <w:rPr>
          <w:rFonts w:ascii="Times New Roman" w:hAnsi="Times New Roman" w:cs="Times New Roman"/>
          <w:szCs w:val="22"/>
        </w:rPr>
      </w:pPr>
      <w:r>
        <w:rPr>
          <w:rFonts w:hint="eastAsia" w:ascii="Times New Roman" w:hAnsi="Times New Roman" w:cs="Times New Roman"/>
          <w:szCs w:val="22"/>
        </w:rPr>
        <w:t>④</w:t>
      </w:r>
      <w:r>
        <w:rPr>
          <w:rFonts w:ascii="Times New Roman" w:hAnsi="Times New Roman" w:cs="Times New Roman"/>
          <w:szCs w:val="22"/>
        </w:rPr>
        <w:t>在“信用中国”网站（http://www.creditchina.gov.cn）中</w:t>
      </w:r>
      <w:r>
        <w:rPr>
          <w:rFonts w:hint="eastAsia" w:ascii="Times New Roman" w:hAnsi="Times New Roman" w:cs="Times New Roman"/>
          <w:szCs w:val="22"/>
        </w:rPr>
        <w:t>未</w:t>
      </w:r>
      <w:r>
        <w:rPr>
          <w:rFonts w:ascii="Times New Roman" w:hAnsi="Times New Roman" w:cs="Times New Roman"/>
          <w:szCs w:val="22"/>
        </w:rPr>
        <w:t>被列入失信被执行人名单；</w:t>
      </w:r>
    </w:p>
    <w:p>
      <w:pPr>
        <w:snapToGrid w:val="0"/>
        <w:spacing w:line="440" w:lineRule="exact"/>
        <w:ind w:firstLine="420" w:firstLineChars="200"/>
        <w:rPr>
          <w:rFonts w:ascii="Times New Roman" w:hAnsi="Times New Roman" w:cs="Times New Roman"/>
          <w:szCs w:val="22"/>
        </w:rPr>
      </w:pPr>
      <w:r>
        <w:rPr>
          <w:rFonts w:hint="eastAsia" w:ascii="Times New Roman" w:hAnsi="Times New Roman" w:cs="Times New Roman"/>
          <w:szCs w:val="22"/>
        </w:rPr>
        <w:t>⑤</w:t>
      </w:r>
      <w:r>
        <w:rPr>
          <w:rFonts w:ascii="Times New Roman" w:hAnsi="Times New Roman" w:cs="Times New Roman"/>
          <w:szCs w:val="22"/>
        </w:rPr>
        <w:t>在近三年内（自</w:t>
      </w:r>
      <w:r>
        <w:rPr>
          <w:rFonts w:hint="eastAsia" w:ascii="Times New Roman" w:hAnsi="Times New Roman" w:cs="Times New Roman"/>
          <w:szCs w:val="22"/>
        </w:rPr>
        <w:t>响应文件递交截止之日</w:t>
      </w:r>
      <w:r>
        <w:rPr>
          <w:rFonts w:ascii="Times New Roman" w:hAnsi="Times New Roman" w:cs="Times New Roman"/>
          <w:szCs w:val="22"/>
        </w:rPr>
        <w:t>向前追溯3年）供应商或其法定代表人、拟委任的项目经理</w:t>
      </w:r>
      <w:r>
        <w:rPr>
          <w:rFonts w:hint="eastAsia" w:ascii="Times New Roman" w:hAnsi="Times New Roman" w:cs="Times New Roman"/>
          <w:szCs w:val="22"/>
        </w:rPr>
        <w:t>未</w:t>
      </w:r>
      <w:r>
        <w:rPr>
          <w:rFonts w:ascii="Times New Roman" w:hAnsi="Times New Roman" w:cs="Times New Roman"/>
          <w:szCs w:val="22"/>
        </w:rPr>
        <w:t>有行贿犯罪行为。</w:t>
      </w:r>
    </w:p>
    <w:p>
      <w:pPr>
        <w:snapToGrid w:val="0"/>
        <w:spacing w:line="440" w:lineRule="exact"/>
        <w:ind w:firstLine="420" w:firstLineChars="200"/>
        <w:rPr>
          <w:rFonts w:ascii="Times New Roman" w:hAnsi="Times New Roman"/>
        </w:rPr>
      </w:pPr>
      <w:r>
        <w:rPr>
          <w:rFonts w:hint="eastAsia" w:ascii="Times New Roman" w:hAnsi="Times New Roman"/>
        </w:rPr>
        <w:t>⑥其他要求：______________。</w:t>
      </w:r>
    </w:p>
    <w:p>
      <w:pPr>
        <w:snapToGrid w:val="0"/>
        <w:spacing w:line="440" w:lineRule="exact"/>
        <w:ind w:firstLine="420" w:firstLineChars="200"/>
        <w:rPr>
          <w:rFonts w:ascii="Times New Roman" w:hAnsi="Times New Roman" w:cs="Times New Roman"/>
          <w:sz w:val="18"/>
          <w:szCs w:val="21"/>
        </w:rPr>
      </w:pPr>
      <w:r>
        <w:rPr>
          <w:rFonts w:ascii="Times New Roman" w:hAnsi="Times New Roman" w:cs="Times New Roman"/>
          <w:szCs w:val="22"/>
        </w:rPr>
        <w:t>3.2 联合体：本次采购</w:t>
      </w:r>
      <w:r>
        <w:rPr>
          <w:rFonts w:hint="eastAsia" w:ascii="Times New Roman" w:hAnsi="Times New Roman" w:cs="Times New Roman"/>
          <w:szCs w:val="22"/>
        </w:rPr>
        <w:t>不接受</w:t>
      </w:r>
      <w:r>
        <w:rPr>
          <w:rFonts w:ascii="Times New Roman" w:hAnsi="Times New Roman" w:cs="Times New Roman"/>
          <w:szCs w:val="22"/>
        </w:rPr>
        <w:t>联合体报价。</w:t>
      </w:r>
    </w:p>
    <w:p>
      <w:pPr>
        <w:snapToGrid w:val="0"/>
        <w:spacing w:line="440" w:lineRule="exact"/>
        <w:ind w:firstLine="420" w:firstLineChars="200"/>
        <w:rPr>
          <w:rFonts w:ascii="Times New Roman" w:hAnsi="Times New Roman" w:cs="Times New Roman"/>
          <w:sz w:val="18"/>
          <w:szCs w:val="21"/>
        </w:rPr>
      </w:pPr>
      <w:r>
        <w:rPr>
          <w:rFonts w:ascii="Times New Roman" w:hAnsi="Times New Roman" w:cs="Times New Roman"/>
          <w:szCs w:val="22"/>
        </w:rPr>
        <w:t>3.3 单位负责人为同一人或者存在控股、管理关系的不同单位，不得同时参加同一合同包报价，否则相关响应文件均无效。</w:t>
      </w:r>
    </w:p>
    <w:p>
      <w:pPr>
        <w:pStyle w:val="4"/>
        <w:snapToGrid w:val="0"/>
        <w:spacing w:before="120" w:after="120" w:line="240" w:lineRule="auto"/>
        <w:ind w:firstLine="403"/>
        <w:rPr>
          <w:rFonts w:ascii="Times New Roman" w:hAnsi="Times New Roman" w:eastAsia="黑体" w:cs="Times New Roman"/>
          <w:bCs w:val="0"/>
          <w:color w:val="000000"/>
          <w:sz w:val="22"/>
          <w:szCs w:val="15"/>
        </w:rPr>
      </w:pPr>
      <w:bookmarkStart w:id="25" w:name="_Toc29452_WPSOffice_Level2"/>
      <w:bookmarkStart w:id="26" w:name="_Toc2996_WPSOffice_Level2"/>
      <w:bookmarkStart w:id="27" w:name="_Toc525632588"/>
      <w:bookmarkStart w:id="28" w:name="_Toc1994"/>
      <w:bookmarkStart w:id="29" w:name="_Toc25666_WPSOffice_Level2"/>
      <w:bookmarkStart w:id="30" w:name="_Toc4751"/>
      <w:bookmarkStart w:id="31" w:name="_Toc4109_WPSOffice_Level2"/>
      <w:r>
        <w:rPr>
          <w:rFonts w:hint="eastAsia" w:ascii="Times New Roman" w:hAnsi="Times New Roman" w:eastAsia="黑体" w:cs="Times New Roman"/>
          <w:bCs w:val="0"/>
          <w:color w:val="000000"/>
          <w:sz w:val="22"/>
          <w:szCs w:val="15"/>
        </w:rPr>
        <w:t>询比文件</w:t>
      </w:r>
      <w:r>
        <w:rPr>
          <w:rFonts w:ascii="Times New Roman" w:hAnsi="Times New Roman" w:eastAsia="黑体" w:cs="Times New Roman"/>
          <w:bCs w:val="0"/>
          <w:color w:val="000000"/>
          <w:sz w:val="22"/>
          <w:szCs w:val="15"/>
        </w:rPr>
        <w:t>的获取</w:t>
      </w:r>
      <w:bookmarkEnd w:id="25"/>
      <w:bookmarkEnd w:id="26"/>
      <w:bookmarkEnd w:id="27"/>
      <w:bookmarkEnd w:id="28"/>
      <w:bookmarkEnd w:id="29"/>
      <w:bookmarkEnd w:id="30"/>
      <w:bookmarkEnd w:id="31"/>
    </w:p>
    <w:p>
      <w:pPr>
        <w:spacing w:line="480" w:lineRule="exact"/>
        <w:ind w:firstLine="420" w:firstLineChars="200"/>
        <w:rPr>
          <w:rFonts w:hint="default" w:ascii="仿宋_GB2312" w:hAnsi="仿宋_GB2312" w:eastAsia="仿宋_GB2312" w:cs="仿宋_GB2312"/>
          <w:color w:val="000000"/>
          <w:kern w:val="0"/>
          <w:sz w:val="28"/>
          <w:szCs w:val="28"/>
          <w:lang w:val="en-US" w:eastAsia="zh-CN"/>
        </w:rPr>
      </w:pPr>
      <w:r>
        <w:rPr>
          <w:rFonts w:hint="default" w:ascii="Times New Roman" w:hAnsi="Times New Roman" w:cs="Times New Roman"/>
          <w:color w:val="auto"/>
          <w:sz w:val="21"/>
          <w:szCs w:val="22"/>
          <w:highlight w:val="none"/>
          <w:lang w:val="en-US" w:eastAsia="zh-CN"/>
        </w:rPr>
        <w:t>供应商应在递交响应文件的截止时间前登录</w:t>
      </w:r>
      <w:r>
        <w:rPr>
          <w:rFonts w:hint="default" w:ascii="Times New Roman" w:hAnsi="Times New Roman" w:cs="Times New Roman"/>
          <w:color w:val="auto"/>
          <w:sz w:val="21"/>
          <w:szCs w:val="22"/>
          <w:highlight w:val="none"/>
        </w:rPr>
        <w:t>安徽省经工建设集团有限公司</w:t>
      </w:r>
      <w:r>
        <w:rPr>
          <w:rFonts w:hint="eastAsia" w:ascii="Times New Roman" w:hAnsi="Times New Roman" w:cs="Times New Roman"/>
          <w:color w:val="auto"/>
          <w:sz w:val="21"/>
          <w:szCs w:val="22"/>
          <w:highlight w:val="none"/>
          <w:lang w:val="en-US" w:eastAsia="zh-CN"/>
        </w:rPr>
        <w:t>网站，</w:t>
      </w:r>
      <w:r>
        <w:rPr>
          <w:rFonts w:hint="default" w:ascii="Times New Roman" w:hAnsi="Times New Roman" w:cs="Times New Roman"/>
          <w:color w:val="auto"/>
          <w:sz w:val="21"/>
          <w:szCs w:val="22"/>
          <w:highlight w:val="none"/>
        </w:rPr>
        <w:t>自行下载</w:t>
      </w:r>
      <w:r>
        <w:rPr>
          <w:rFonts w:hint="eastAsia" w:ascii="Times New Roman" w:hAnsi="Times New Roman" w:cs="Times New Roman"/>
          <w:color w:val="auto"/>
          <w:sz w:val="21"/>
          <w:szCs w:val="22"/>
          <w:highlight w:val="none"/>
          <w:lang w:eastAsia="zh-CN"/>
        </w:rPr>
        <w:t>询比文件</w:t>
      </w:r>
      <w:r>
        <w:rPr>
          <w:rFonts w:hint="default" w:ascii="Times New Roman" w:hAnsi="Times New Roman" w:cs="Times New Roman"/>
          <w:color w:val="auto"/>
          <w:sz w:val="21"/>
          <w:szCs w:val="22"/>
          <w:highlight w:val="none"/>
          <w:lang w:val="en-US" w:eastAsia="zh-CN"/>
        </w:rPr>
        <w:t>及相关资料</w:t>
      </w:r>
      <w:r>
        <w:rPr>
          <w:rFonts w:hint="default" w:ascii="Times New Roman" w:hAnsi="Times New Roman" w:cs="Times New Roman"/>
          <w:color w:val="auto"/>
          <w:sz w:val="21"/>
          <w:szCs w:val="22"/>
          <w:highlight w:val="none"/>
        </w:rPr>
        <w:t>。</w:t>
      </w:r>
      <w:r>
        <w:rPr>
          <w:rFonts w:hint="default" w:ascii="Times New Roman" w:hAnsi="Times New Roman" w:cs="Times New Roman"/>
          <w:color w:val="auto"/>
          <w:sz w:val="21"/>
          <w:szCs w:val="22"/>
          <w:highlight w:val="none"/>
          <w:lang w:val="en-US" w:eastAsia="zh-CN"/>
        </w:rPr>
        <w:t>未按规定在</w:t>
      </w:r>
      <w:r>
        <w:rPr>
          <w:rFonts w:hint="default" w:ascii="Times New Roman" w:hAnsi="Times New Roman" w:cs="Times New Roman"/>
          <w:color w:val="auto"/>
          <w:sz w:val="21"/>
          <w:szCs w:val="22"/>
          <w:highlight w:val="none"/>
        </w:rPr>
        <w:t>安徽省经工建设集团有限公司</w:t>
      </w:r>
      <w:r>
        <w:rPr>
          <w:rFonts w:hint="eastAsia" w:ascii="Times New Roman" w:hAnsi="Times New Roman" w:cs="Times New Roman"/>
          <w:color w:val="auto"/>
          <w:sz w:val="21"/>
          <w:szCs w:val="22"/>
          <w:highlight w:val="none"/>
          <w:lang w:val="en-US" w:eastAsia="zh-CN"/>
        </w:rPr>
        <w:t>网站</w:t>
      </w:r>
      <w:r>
        <w:rPr>
          <w:rFonts w:hint="default" w:ascii="Times New Roman" w:hAnsi="Times New Roman" w:cs="Times New Roman"/>
          <w:color w:val="auto"/>
          <w:sz w:val="21"/>
          <w:szCs w:val="22"/>
          <w:highlight w:val="none"/>
          <w:lang w:val="en-US" w:eastAsia="zh-CN"/>
        </w:rPr>
        <w:t>下载</w:t>
      </w:r>
      <w:r>
        <w:rPr>
          <w:rFonts w:hint="eastAsia" w:ascii="Times New Roman" w:hAnsi="Times New Roman" w:cs="Times New Roman"/>
          <w:color w:val="auto"/>
          <w:sz w:val="21"/>
          <w:szCs w:val="22"/>
          <w:highlight w:val="none"/>
          <w:lang w:val="en-US" w:eastAsia="zh-CN"/>
        </w:rPr>
        <w:t>询比文件</w:t>
      </w:r>
      <w:r>
        <w:rPr>
          <w:rFonts w:hint="default" w:ascii="Times New Roman" w:hAnsi="Times New Roman" w:cs="Times New Roman"/>
          <w:color w:val="auto"/>
          <w:sz w:val="21"/>
          <w:szCs w:val="22"/>
          <w:highlight w:val="none"/>
          <w:lang w:val="en-US" w:eastAsia="zh-CN"/>
        </w:rPr>
        <w:t>的，后续将不予接受其响应文件。</w:t>
      </w:r>
    </w:p>
    <w:p>
      <w:pPr>
        <w:pStyle w:val="4"/>
        <w:snapToGrid w:val="0"/>
        <w:spacing w:before="120" w:after="120" w:line="240" w:lineRule="auto"/>
        <w:ind w:firstLine="403"/>
        <w:rPr>
          <w:rFonts w:ascii="Times New Roman" w:hAnsi="Times New Roman" w:eastAsia="黑体" w:cs="Times New Roman"/>
          <w:bCs w:val="0"/>
          <w:color w:val="000000"/>
          <w:sz w:val="22"/>
          <w:szCs w:val="15"/>
        </w:rPr>
      </w:pPr>
      <w:bookmarkStart w:id="32" w:name="_Toc525632589"/>
      <w:bookmarkStart w:id="33" w:name="_Toc726"/>
      <w:r>
        <w:rPr>
          <w:rFonts w:ascii="Times New Roman" w:hAnsi="Times New Roman" w:eastAsia="黑体" w:cs="Times New Roman"/>
          <w:bCs w:val="0"/>
          <w:color w:val="000000"/>
          <w:sz w:val="22"/>
          <w:szCs w:val="15"/>
        </w:rPr>
        <w:t>响应文件的递交</w:t>
      </w:r>
      <w:bookmarkEnd w:id="32"/>
      <w:bookmarkEnd w:id="33"/>
    </w:p>
    <w:p>
      <w:pPr>
        <w:spacing w:line="360" w:lineRule="auto"/>
        <w:ind w:firstLine="420" w:firstLineChars="200"/>
        <w:rPr>
          <w:rFonts w:ascii="Times New Roman" w:hAnsi="Times New Roman" w:cs="Times New Roman"/>
        </w:rPr>
      </w:pPr>
      <w:bookmarkStart w:id="34" w:name="_Toc525632591"/>
      <w:bookmarkStart w:id="35" w:name="_Toc22719"/>
      <w:r>
        <w:rPr>
          <w:rFonts w:hint="default" w:ascii="Times New Roman" w:hAnsi="Times New Roman" w:cs="Times New Roman"/>
          <w:color w:val="auto"/>
          <w:sz w:val="21"/>
          <w:szCs w:val="22"/>
          <w:highlight w:val="none"/>
        </w:rPr>
        <w:t>响应文件递交的截止时间为</w:t>
      </w:r>
      <w:r>
        <w:rPr>
          <w:rFonts w:hint="eastAsia" w:ascii="Times New Roman" w:hAnsi="Times New Roman" w:cs="Times New Roman"/>
          <w:color w:val="auto"/>
          <w:sz w:val="21"/>
          <w:szCs w:val="22"/>
          <w:highlight w:val="yellow"/>
          <w:lang w:val="en-US" w:eastAsia="zh-CN"/>
        </w:rPr>
        <w:t>2022</w:t>
      </w:r>
      <w:r>
        <w:rPr>
          <w:rFonts w:hint="default" w:ascii="Times New Roman" w:hAnsi="Times New Roman" w:cs="Times New Roman"/>
          <w:color w:val="auto"/>
          <w:sz w:val="21"/>
          <w:szCs w:val="22"/>
          <w:highlight w:val="yellow"/>
        </w:rPr>
        <w:t>年</w:t>
      </w:r>
      <w:r>
        <w:rPr>
          <w:rFonts w:hint="eastAsia" w:ascii="Times New Roman" w:hAnsi="Times New Roman" w:cs="Times New Roman"/>
          <w:color w:val="auto"/>
          <w:sz w:val="21"/>
          <w:szCs w:val="22"/>
          <w:highlight w:val="yellow"/>
          <w:lang w:val="en-US" w:eastAsia="zh-CN"/>
        </w:rPr>
        <w:t>7</w:t>
      </w:r>
      <w:r>
        <w:rPr>
          <w:rFonts w:hint="default" w:ascii="Times New Roman" w:hAnsi="Times New Roman" w:cs="Times New Roman"/>
          <w:color w:val="auto"/>
          <w:sz w:val="21"/>
          <w:szCs w:val="22"/>
          <w:highlight w:val="yellow"/>
        </w:rPr>
        <w:t>月</w:t>
      </w:r>
      <w:r>
        <w:rPr>
          <w:rFonts w:hint="eastAsia" w:ascii="Times New Roman" w:hAnsi="Times New Roman" w:cs="Times New Roman"/>
          <w:color w:val="auto"/>
          <w:sz w:val="21"/>
          <w:szCs w:val="22"/>
          <w:highlight w:val="yellow"/>
          <w:lang w:val="en-US" w:eastAsia="zh-CN"/>
        </w:rPr>
        <w:t>26</w:t>
      </w:r>
      <w:r>
        <w:rPr>
          <w:rFonts w:hint="default" w:ascii="Times New Roman" w:hAnsi="Times New Roman" w:cs="Times New Roman"/>
          <w:color w:val="auto"/>
          <w:sz w:val="21"/>
          <w:szCs w:val="22"/>
          <w:highlight w:val="yellow"/>
        </w:rPr>
        <w:t>日</w:t>
      </w:r>
      <w:r>
        <w:rPr>
          <w:rFonts w:hint="eastAsia" w:ascii="Times New Roman" w:hAnsi="Times New Roman" w:cs="Times New Roman"/>
          <w:color w:val="auto"/>
          <w:sz w:val="21"/>
          <w:szCs w:val="22"/>
          <w:highlight w:val="yellow"/>
          <w:lang w:val="en-US" w:eastAsia="zh-CN"/>
        </w:rPr>
        <w:t>10</w:t>
      </w:r>
      <w:r>
        <w:rPr>
          <w:rFonts w:hint="default" w:ascii="Times New Roman" w:hAnsi="Times New Roman" w:cs="Times New Roman"/>
          <w:color w:val="auto"/>
          <w:sz w:val="21"/>
          <w:szCs w:val="22"/>
          <w:highlight w:val="yellow"/>
        </w:rPr>
        <w:t>时</w:t>
      </w:r>
      <w:r>
        <w:rPr>
          <w:rFonts w:hint="eastAsia" w:ascii="Times New Roman" w:hAnsi="Times New Roman" w:cs="Times New Roman"/>
          <w:color w:val="auto"/>
          <w:sz w:val="21"/>
          <w:szCs w:val="22"/>
          <w:highlight w:val="yellow"/>
        </w:rPr>
        <w:t>00</w:t>
      </w:r>
      <w:r>
        <w:rPr>
          <w:rFonts w:hint="default" w:ascii="Times New Roman" w:hAnsi="Times New Roman" w:cs="Times New Roman"/>
          <w:color w:val="auto"/>
          <w:sz w:val="21"/>
          <w:szCs w:val="22"/>
          <w:highlight w:val="yellow"/>
        </w:rPr>
        <w:t>分</w:t>
      </w:r>
      <w:r>
        <w:rPr>
          <w:rFonts w:hint="default" w:ascii="Times New Roman" w:hAnsi="Times New Roman" w:cs="Times New Roman"/>
          <w:color w:val="auto"/>
          <w:sz w:val="21"/>
          <w:szCs w:val="22"/>
          <w:highlight w:val="none"/>
        </w:rPr>
        <w:t>，供应商的法定代表人或其授权代理人应于</w:t>
      </w:r>
      <w:r>
        <w:rPr>
          <w:rFonts w:hint="eastAsia" w:ascii="Times New Roman" w:hAnsi="Times New Roman" w:cs="Times New Roman"/>
          <w:color w:val="auto"/>
          <w:sz w:val="21"/>
          <w:szCs w:val="22"/>
          <w:highlight w:val="none"/>
          <w:lang w:val="en-US" w:eastAsia="zh-CN"/>
        </w:rPr>
        <w:t>2022</w:t>
      </w:r>
      <w:r>
        <w:rPr>
          <w:rFonts w:hint="default" w:ascii="Times New Roman" w:hAnsi="Times New Roman" w:cs="Times New Roman"/>
          <w:color w:val="auto"/>
          <w:sz w:val="21"/>
          <w:szCs w:val="22"/>
          <w:highlight w:val="none"/>
        </w:rPr>
        <w:t>年</w:t>
      </w:r>
      <w:r>
        <w:rPr>
          <w:rFonts w:hint="eastAsia" w:ascii="Times New Roman" w:hAnsi="Times New Roman" w:cs="Times New Roman"/>
          <w:color w:val="auto"/>
          <w:sz w:val="21"/>
          <w:szCs w:val="22"/>
          <w:highlight w:val="none"/>
          <w:lang w:val="en-US" w:eastAsia="zh-CN"/>
        </w:rPr>
        <w:t>7</w:t>
      </w:r>
      <w:r>
        <w:rPr>
          <w:rFonts w:hint="default" w:ascii="Times New Roman" w:hAnsi="Times New Roman" w:cs="Times New Roman"/>
          <w:color w:val="auto"/>
          <w:sz w:val="21"/>
          <w:szCs w:val="22"/>
          <w:highlight w:val="none"/>
        </w:rPr>
        <w:t>月</w:t>
      </w:r>
      <w:r>
        <w:rPr>
          <w:rFonts w:hint="eastAsia" w:ascii="Times New Roman" w:hAnsi="Times New Roman" w:cs="Times New Roman"/>
          <w:color w:val="auto"/>
          <w:sz w:val="21"/>
          <w:szCs w:val="22"/>
          <w:highlight w:val="none"/>
          <w:lang w:val="en-US" w:eastAsia="zh-CN"/>
        </w:rPr>
        <w:t>26</w:t>
      </w:r>
      <w:r>
        <w:rPr>
          <w:rFonts w:hint="default" w:ascii="Times New Roman" w:hAnsi="Times New Roman" w:cs="Times New Roman"/>
          <w:color w:val="auto"/>
          <w:sz w:val="21"/>
          <w:szCs w:val="22"/>
          <w:highlight w:val="none"/>
        </w:rPr>
        <w:t>日</w:t>
      </w:r>
      <w:r>
        <w:rPr>
          <w:rFonts w:hint="eastAsia" w:ascii="Times New Roman" w:hAnsi="Times New Roman" w:cs="Times New Roman"/>
          <w:color w:val="auto"/>
          <w:sz w:val="21"/>
          <w:szCs w:val="22"/>
          <w:highlight w:val="none"/>
          <w:lang w:val="en-US" w:eastAsia="zh-CN"/>
        </w:rPr>
        <w:t>9</w:t>
      </w:r>
      <w:r>
        <w:rPr>
          <w:rFonts w:hint="default" w:ascii="Times New Roman" w:hAnsi="Times New Roman" w:cs="Times New Roman"/>
          <w:color w:val="auto"/>
          <w:sz w:val="21"/>
          <w:szCs w:val="22"/>
          <w:highlight w:val="none"/>
        </w:rPr>
        <w:t>时</w:t>
      </w:r>
      <w:r>
        <w:rPr>
          <w:rFonts w:hint="eastAsia" w:ascii="Times New Roman" w:hAnsi="Times New Roman" w:cs="Times New Roman"/>
          <w:color w:val="auto"/>
          <w:sz w:val="21"/>
          <w:szCs w:val="22"/>
          <w:highlight w:val="none"/>
        </w:rPr>
        <w:t>30</w:t>
      </w:r>
      <w:r>
        <w:rPr>
          <w:rFonts w:hint="default" w:ascii="Times New Roman" w:hAnsi="Times New Roman" w:cs="Times New Roman"/>
          <w:color w:val="auto"/>
          <w:sz w:val="21"/>
          <w:szCs w:val="22"/>
          <w:highlight w:val="none"/>
        </w:rPr>
        <w:t>分</w:t>
      </w:r>
      <w:r>
        <w:rPr>
          <w:rFonts w:hint="eastAsia" w:ascii="Times New Roman" w:hAnsi="Times New Roman" w:cs="Times New Roman"/>
          <w:color w:val="auto"/>
          <w:sz w:val="21"/>
          <w:szCs w:val="22"/>
          <w:highlight w:val="none"/>
        </w:rPr>
        <w:t>至</w:t>
      </w:r>
      <w:r>
        <w:rPr>
          <w:rFonts w:hint="default" w:ascii="Times New Roman" w:hAnsi="Times New Roman" w:cs="Times New Roman"/>
          <w:color w:val="auto"/>
          <w:sz w:val="21"/>
          <w:szCs w:val="22"/>
          <w:highlight w:val="none"/>
        </w:rPr>
        <w:t>递交的截止时间前将响应文件</w:t>
      </w:r>
      <w:r>
        <w:rPr>
          <w:rFonts w:hint="eastAsia" w:ascii="Times New Roman" w:hAnsi="Times New Roman" w:cs="Times New Roman"/>
          <w:color w:val="auto"/>
          <w:sz w:val="21"/>
          <w:szCs w:val="22"/>
          <w:highlight w:val="none"/>
        </w:rPr>
        <w:t>递交至安徽省经工建设集团有限公司</w:t>
      </w:r>
      <w:r>
        <w:rPr>
          <w:rFonts w:hint="eastAsia" w:ascii="Times New Roman" w:hAnsi="Times New Roman" w:cs="Times New Roman"/>
          <w:color w:val="auto"/>
          <w:sz w:val="21"/>
          <w:szCs w:val="22"/>
          <w:highlight w:val="none"/>
          <w:lang w:val="en-US" w:eastAsia="zh-CN"/>
        </w:rPr>
        <w:t>10</w:t>
      </w:r>
      <w:r>
        <w:rPr>
          <w:rFonts w:hint="eastAsia" w:ascii="Times New Roman" w:hAnsi="Times New Roman" w:cs="Times New Roman"/>
          <w:color w:val="auto"/>
          <w:sz w:val="21"/>
          <w:szCs w:val="22"/>
          <w:highlight w:val="none"/>
        </w:rPr>
        <w:t>楼会议室</w:t>
      </w:r>
      <w:r>
        <w:rPr>
          <w:rFonts w:hint="default" w:ascii="Times New Roman" w:hAnsi="Times New Roman" w:cs="Times New Roman"/>
          <w:color w:val="auto"/>
          <w:sz w:val="21"/>
          <w:szCs w:val="22"/>
          <w:highlight w:val="none"/>
        </w:rPr>
        <w:t xml:space="preserve"> </w:t>
      </w:r>
      <w:r>
        <w:rPr>
          <w:rFonts w:hint="eastAsia" w:ascii="Times New Roman" w:hAnsi="Times New Roman" w:cs="Times New Roman"/>
          <w:color w:val="auto"/>
          <w:sz w:val="21"/>
          <w:szCs w:val="22"/>
          <w:highlight w:val="none"/>
        </w:rPr>
        <w:t>（</w:t>
      </w:r>
      <w:r>
        <w:rPr>
          <w:rFonts w:hint="eastAsia" w:ascii="Times New Roman" w:hAnsi="Times New Roman" w:cs="Times New Roman"/>
          <w:color w:val="auto"/>
          <w:sz w:val="21"/>
          <w:szCs w:val="22"/>
          <w:highlight w:val="none"/>
          <w:lang w:val="en-US" w:eastAsia="zh-CN"/>
        </w:rPr>
        <w:t>1002室</w:t>
      </w:r>
      <w:r>
        <w:rPr>
          <w:rFonts w:hint="default" w:ascii="Times New Roman" w:hAnsi="Times New Roman" w:cs="Times New Roman"/>
          <w:color w:val="auto"/>
          <w:sz w:val="21"/>
          <w:szCs w:val="22"/>
          <w:highlight w:val="none"/>
        </w:rPr>
        <w:t>）</w:t>
      </w:r>
      <w:r>
        <w:rPr>
          <w:rFonts w:ascii="仿宋_GB2312" w:hAnsi="仿宋_GB2312" w:eastAsia="仿宋_GB2312" w:cs="仿宋_GB2312"/>
          <w:color w:val="000000"/>
          <w:kern w:val="0"/>
          <w:sz w:val="28"/>
          <w:szCs w:val="28"/>
        </w:rPr>
        <w:t>。</w:t>
      </w:r>
    </w:p>
    <w:p>
      <w:pPr>
        <w:pStyle w:val="4"/>
        <w:snapToGrid w:val="0"/>
        <w:spacing w:before="120" w:after="120" w:line="240" w:lineRule="auto"/>
        <w:ind w:firstLine="403"/>
        <w:rPr>
          <w:rFonts w:ascii="Times New Roman" w:hAnsi="Times New Roman" w:eastAsia="黑体" w:cs="Times New Roman"/>
          <w:bCs w:val="0"/>
          <w:color w:val="000000"/>
          <w:sz w:val="22"/>
          <w:szCs w:val="15"/>
        </w:rPr>
      </w:pPr>
      <w:r>
        <w:rPr>
          <w:rFonts w:ascii="Times New Roman" w:hAnsi="Times New Roman" w:eastAsia="黑体" w:cs="Times New Roman"/>
          <w:bCs w:val="0"/>
          <w:color w:val="000000"/>
          <w:sz w:val="22"/>
          <w:szCs w:val="15"/>
        </w:rPr>
        <w:t>响应文件启封</w:t>
      </w:r>
    </w:p>
    <w:p>
      <w:pPr>
        <w:spacing w:line="480" w:lineRule="exact"/>
        <w:ind w:firstLine="420" w:firstLineChars="200"/>
        <w:rPr>
          <w:rFonts w:ascii="Times New Roman" w:hAnsi="Times New Roman" w:cs="Times New Roman"/>
        </w:rPr>
      </w:pPr>
      <w:r>
        <w:rPr>
          <w:rFonts w:hint="default" w:ascii="Times New Roman" w:hAnsi="Times New Roman" w:cs="Times New Roman"/>
          <w:color w:val="auto"/>
          <w:sz w:val="21"/>
          <w:szCs w:val="22"/>
          <w:highlight w:val="none"/>
        </w:rPr>
        <w:t>响应文件的递交截止时间到后，采购人将于</w:t>
      </w:r>
      <w:r>
        <w:rPr>
          <w:rFonts w:hint="eastAsia" w:ascii="Times New Roman" w:hAnsi="Times New Roman" w:cs="Times New Roman"/>
          <w:color w:val="auto"/>
          <w:sz w:val="21"/>
          <w:szCs w:val="22"/>
          <w:highlight w:val="none"/>
        </w:rPr>
        <w:t>安徽省经工建设集团有限公司</w:t>
      </w:r>
      <w:r>
        <w:rPr>
          <w:rFonts w:hint="eastAsia" w:ascii="Times New Roman" w:hAnsi="Times New Roman" w:cs="Times New Roman"/>
          <w:color w:val="auto"/>
          <w:sz w:val="21"/>
          <w:szCs w:val="22"/>
          <w:highlight w:val="none"/>
          <w:lang w:val="en-US" w:eastAsia="zh-CN"/>
        </w:rPr>
        <w:t>10</w:t>
      </w:r>
      <w:r>
        <w:rPr>
          <w:rFonts w:hint="eastAsia" w:ascii="Times New Roman" w:hAnsi="Times New Roman" w:cs="Times New Roman"/>
          <w:color w:val="auto"/>
          <w:sz w:val="21"/>
          <w:szCs w:val="22"/>
          <w:highlight w:val="none"/>
        </w:rPr>
        <w:t>楼</w:t>
      </w:r>
      <w:r>
        <w:rPr>
          <w:rFonts w:hint="eastAsia" w:ascii="Times New Roman" w:hAnsi="Times New Roman" w:cs="Times New Roman"/>
          <w:color w:val="auto"/>
          <w:sz w:val="21"/>
          <w:szCs w:val="22"/>
          <w:highlight w:val="none"/>
          <w:lang w:val="en-US" w:eastAsia="zh-CN"/>
        </w:rPr>
        <w:t>1002室</w:t>
      </w:r>
      <w:r>
        <w:rPr>
          <w:rFonts w:hint="default" w:ascii="Times New Roman" w:hAnsi="Times New Roman" w:cs="Times New Roman"/>
          <w:color w:val="auto"/>
          <w:sz w:val="21"/>
          <w:szCs w:val="22"/>
          <w:highlight w:val="none"/>
        </w:rPr>
        <w:t>组织进行响应文件的启封。供应商的法定代表人或授权代理人应携带本人身份证</w:t>
      </w:r>
      <w:r>
        <w:rPr>
          <w:rFonts w:hint="eastAsia" w:ascii="Times New Roman" w:hAnsi="Times New Roman" w:cs="Times New Roman"/>
          <w:color w:val="auto"/>
          <w:sz w:val="21"/>
          <w:szCs w:val="22"/>
          <w:highlight w:val="none"/>
        </w:rPr>
        <w:t>、授权代理人应携带授权委托书</w:t>
      </w:r>
      <w:r>
        <w:rPr>
          <w:rFonts w:hint="default" w:ascii="Times New Roman" w:hAnsi="Times New Roman" w:cs="Times New Roman"/>
          <w:color w:val="auto"/>
          <w:sz w:val="21"/>
          <w:szCs w:val="22"/>
          <w:highlight w:val="none"/>
        </w:rPr>
        <w:t>准时参加启封会议。</w:t>
      </w:r>
    </w:p>
    <w:p>
      <w:pPr>
        <w:pStyle w:val="4"/>
        <w:snapToGrid w:val="0"/>
        <w:spacing w:before="120" w:after="120" w:line="240" w:lineRule="auto"/>
        <w:ind w:firstLine="403"/>
        <w:rPr>
          <w:rFonts w:ascii="Times New Roman" w:hAnsi="Times New Roman" w:eastAsia="黑体" w:cs="Times New Roman"/>
          <w:bCs w:val="0"/>
          <w:color w:val="000000"/>
          <w:sz w:val="22"/>
          <w:szCs w:val="15"/>
        </w:rPr>
      </w:pPr>
      <w:r>
        <w:rPr>
          <w:rFonts w:hint="eastAsia" w:ascii="Times New Roman" w:hAnsi="Times New Roman" w:eastAsia="黑体" w:cs="Times New Roman"/>
          <w:bCs w:val="0"/>
          <w:color w:val="000000"/>
          <w:sz w:val="22"/>
          <w:szCs w:val="15"/>
        </w:rPr>
        <w:t>响应保证金</w:t>
      </w:r>
    </w:p>
    <w:p>
      <w:pPr>
        <w:snapToGrid w:val="0"/>
        <w:spacing w:line="440" w:lineRule="exact"/>
        <w:ind w:firstLine="420" w:firstLineChars="200"/>
        <w:rPr>
          <w:rFonts w:ascii="Times New Roman" w:hAnsi="Times New Roman"/>
        </w:rPr>
      </w:pPr>
      <w:r>
        <w:rPr>
          <w:rFonts w:hint="eastAsia" w:ascii="Times New Roman" w:hAnsi="Times New Roman"/>
        </w:rPr>
        <w:t>响应保证金的金额：</w:t>
      </w:r>
      <w:r>
        <w:rPr>
          <w:rFonts w:hint="eastAsia" w:ascii="Times New Roman" w:hAnsi="Times New Roman" w:cs="Times New Roman"/>
          <w:szCs w:val="22"/>
          <w:u w:val="single"/>
          <w:lang w:val="en-US" w:eastAsia="zh-CN"/>
        </w:rPr>
        <w:t>5</w:t>
      </w:r>
      <w:r>
        <w:rPr>
          <w:rFonts w:hint="eastAsia" w:ascii="Times New Roman" w:hAnsi="Times New Roman" w:cs="Times New Roman"/>
          <w:szCs w:val="22"/>
          <w:u w:val="single"/>
        </w:rPr>
        <w:t>万元</w:t>
      </w:r>
    </w:p>
    <w:p>
      <w:pPr>
        <w:snapToGrid w:val="0"/>
        <w:spacing w:line="440" w:lineRule="exact"/>
        <w:ind w:firstLine="420" w:firstLineChars="200"/>
        <w:rPr>
          <w:rFonts w:ascii="Times New Roman" w:hAnsi="Times New Roman" w:cs="Times New Roman"/>
          <w:szCs w:val="22"/>
          <w:u w:val="single"/>
        </w:rPr>
      </w:pPr>
      <w:r>
        <w:rPr>
          <w:rFonts w:hint="eastAsia" w:ascii="Times New Roman" w:hAnsi="Times New Roman"/>
        </w:rPr>
        <w:t>响应保证金的递交形式：</w:t>
      </w:r>
      <w:r>
        <w:rPr>
          <w:rFonts w:hint="eastAsia" w:ascii="Times New Roman" w:hAnsi="Times New Roman" w:cs="Times New Roman"/>
          <w:szCs w:val="22"/>
          <w:u w:val="single"/>
        </w:rPr>
        <w:t>银行转账或银行保函</w:t>
      </w:r>
    </w:p>
    <w:p>
      <w:pPr>
        <w:snapToGrid w:val="0"/>
        <w:spacing w:line="440" w:lineRule="exact"/>
        <w:ind w:firstLine="420" w:firstLineChars="200"/>
        <w:rPr>
          <w:rFonts w:ascii="Times New Roman" w:hAnsi="Times New Roman"/>
        </w:rPr>
      </w:pPr>
      <w:r>
        <w:rPr>
          <w:rFonts w:hint="eastAsia" w:ascii="Times New Roman" w:hAnsi="Times New Roman"/>
        </w:rPr>
        <w:t>递交账号：</w:t>
      </w:r>
    </w:p>
    <w:p>
      <w:pPr>
        <w:snapToGrid w:val="0"/>
        <w:spacing w:line="440" w:lineRule="exact"/>
        <w:ind w:firstLine="420" w:firstLineChars="200"/>
        <w:rPr>
          <w:rFonts w:ascii="Times New Roman" w:hAnsi="Times New Roman"/>
          <w:b/>
          <w:bCs/>
        </w:rPr>
      </w:pPr>
      <w:r>
        <w:rPr>
          <w:rFonts w:hint="eastAsia" w:ascii="Times New Roman" w:hAnsi="Times New Roman"/>
          <w:b/>
          <w:bCs/>
        </w:rPr>
        <w:t>开户银行：工行合肥东陈岗支行（分理处）</w:t>
      </w:r>
    </w:p>
    <w:p>
      <w:pPr>
        <w:snapToGrid w:val="0"/>
        <w:spacing w:line="440" w:lineRule="exact"/>
        <w:ind w:firstLine="420" w:firstLineChars="200"/>
        <w:rPr>
          <w:rFonts w:ascii="Times New Roman" w:hAnsi="Times New Roman"/>
          <w:b/>
          <w:bCs/>
        </w:rPr>
      </w:pPr>
      <w:r>
        <w:rPr>
          <w:rFonts w:hint="eastAsia" w:ascii="Times New Roman" w:hAnsi="Times New Roman"/>
          <w:b/>
          <w:bCs/>
        </w:rPr>
        <w:t>账    号：1302012109026700213</w:t>
      </w:r>
    </w:p>
    <w:p>
      <w:pPr>
        <w:snapToGrid w:val="0"/>
        <w:spacing w:line="440" w:lineRule="exact"/>
        <w:ind w:firstLine="420" w:firstLineChars="200"/>
        <w:rPr>
          <w:rFonts w:ascii="Times New Roman" w:hAnsi="Times New Roman"/>
        </w:rPr>
      </w:pPr>
      <w:r>
        <w:rPr>
          <w:rFonts w:hint="eastAsia" w:ascii="Times New Roman" w:hAnsi="Times New Roman"/>
        </w:rPr>
        <w:t>递交截止时间：响应截止日期前</w:t>
      </w:r>
    </w:p>
    <w:p>
      <w:pPr>
        <w:pStyle w:val="4"/>
        <w:snapToGrid w:val="0"/>
        <w:spacing w:before="120" w:after="120" w:line="240" w:lineRule="auto"/>
        <w:ind w:firstLine="403"/>
        <w:rPr>
          <w:rFonts w:ascii="Times New Roman" w:hAnsi="Times New Roman" w:eastAsia="黑体" w:cs="Times New Roman"/>
          <w:bCs w:val="0"/>
          <w:color w:val="000000"/>
          <w:sz w:val="22"/>
          <w:szCs w:val="15"/>
        </w:rPr>
      </w:pPr>
      <w:r>
        <w:rPr>
          <w:rFonts w:ascii="Times New Roman" w:hAnsi="Times New Roman" w:eastAsia="黑体" w:cs="Times New Roman"/>
          <w:bCs w:val="0"/>
          <w:color w:val="000000"/>
          <w:sz w:val="22"/>
          <w:szCs w:val="15"/>
        </w:rPr>
        <w:t>发布公告的媒介</w:t>
      </w:r>
      <w:bookmarkEnd w:id="34"/>
      <w:bookmarkEnd w:id="35"/>
    </w:p>
    <w:p>
      <w:pPr>
        <w:snapToGrid w:val="0"/>
        <w:spacing w:line="440" w:lineRule="exact"/>
        <w:ind w:firstLine="420" w:firstLineChars="200"/>
        <w:rPr>
          <w:rFonts w:ascii="Times New Roman" w:hAnsi="Times New Roman" w:cs="Times New Roman"/>
          <w:szCs w:val="22"/>
        </w:rPr>
      </w:pPr>
      <w:r>
        <w:rPr>
          <w:rFonts w:ascii="Times New Roman" w:hAnsi="Times New Roman" w:cs="Times New Roman"/>
          <w:szCs w:val="22"/>
        </w:rPr>
        <w:t>本次采购公告在</w:t>
      </w:r>
      <w:r>
        <w:rPr>
          <w:rFonts w:hint="eastAsia" w:ascii="宋体" w:hAnsi="宋体" w:eastAsia="宋体" w:cs="宋体"/>
          <w:color w:val="2C3E50"/>
          <w:szCs w:val="21"/>
          <w:shd w:val="clear" w:color="auto" w:fill="FFFFFF"/>
        </w:rPr>
        <w:t>本次采购公告在安徽省经工建设集团有限公司（</w:t>
      </w:r>
      <w:r>
        <w:rPr>
          <w:rFonts w:ascii="Times New Roman" w:hAnsi="Times New Roman" w:eastAsia="宋体" w:cs="Times New Roman"/>
          <w:color w:val="2C3E50"/>
          <w:szCs w:val="21"/>
          <w:shd w:val="clear" w:color="auto" w:fill="FFFFFF"/>
        </w:rPr>
        <w:t>https://</w:t>
      </w:r>
      <w:r>
        <w:rPr>
          <w:rFonts w:hint="eastAsia" w:ascii="Times New Roman" w:hAnsi="Times New Roman" w:eastAsia="宋体" w:cs="Times New Roman"/>
          <w:color w:val="2C3E50"/>
          <w:szCs w:val="21"/>
          <w:shd w:val="clear" w:color="auto" w:fill="FFFFFF"/>
        </w:rPr>
        <w:t>www.</w:t>
      </w:r>
      <w:r>
        <w:fldChar w:fldCharType="begin"/>
      </w:r>
      <w:r>
        <w:instrText xml:space="preserve"> HYPERLINK "http://ahjggroup.com/" </w:instrText>
      </w:r>
      <w:r>
        <w:fldChar w:fldCharType="separate"/>
      </w:r>
      <w:r>
        <w:rPr>
          <w:rFonts w:ascii="Times New Roman" w:hAnsi="Times New Roman" w:eastAsia="宋体" w:cs="Times New Roman"/>
          <w:color w:val="2C3E50"/>
          <w:szCs w:val="21"/>
          <w:shd w:val="clear" w:color="auto" w:fill="FFFFFF"/>
        </w:rPr>
        <w:t>ahjggroup.com)</w:t>
      </w:r>
      <w:r>
        <w:rPr>
          <w:rFonts w:ascii="Times New Roman" w:hAnsi="Times New Roman" w:eastAsia="宋体" w:cs="Times New Roman"/>
          <w:color w:val="2C3E50"/>
          <w:szCs w:val="21"/>
          <w:shd w:val="clear" w:color="auto" w:fill="FFFFFF"/>
        </w:rPr>
        <w:fldChar w:fldCharType="end"/>
      </w:r>
      <w:r>
        <w:rPr>
          <w:rFonts w:hint="eastAsia" w:ascii="宋体" w:hAnsi="宋体" w:eastAsia="宋体" w:cs="宋体"/>
          <w:color w:val="2C3E50"/>
          <w:szCs w:val="21"/>
          <w:shd w:val="clear" w:color="auto" w:fill="FFFFFF"/>
        </w:rPr>
        <w:t>上发布</w:t>
      </w:r>
      <w:r>
        <w:rPr>
          <w:rFonts w:ascii="Times New Roman" w:hAnsi="Times New Roman" w:cs="Times New Roman"/>
          <w:szCs w:val="22"/>
        </w:rPr>
        <w:t>。</w:t>
      </w:r>
    </w:p>
    <w:p>
      <w:pPr>
        <w:pStyle w:val="4"/>
        <w:snapToGrid w:val="0"/>
        <w:spacing w:before="120" w:after="120" w:line="240" w:lineRule="auto"/>
        <w:ind w:firstLine="403"/>
        <w:rPr>
          <w:rFonts w:ascii="Times New Roman" w:hAnsi="Times New Roman" w:eastAsia="黑体" w:cs="Times New Roman"/>
          <w:bCs w:val="0"/>
          <w:color w:val="000000"/>
          <w:sz w:val="22"/>
          <w:szCs w:val="15"/>
        </w:rPr>
      </w:pPr>
      <w:bookmarkStart w:id="36" w:name="_Toc20572_WPSOffice_Level2"/>
      <w:bookmarkStart w:id="37" w:name="_Toc26829"/>
      <w:bookmarkStart w:id="38" w:name="_Toc28571_WPSOffice_Level2"/>
      <w:bookmarkStart w:id="39" w:name="_Toc8501"/>
      <w:bookmarkStart w:id="40" w:name="_Toc525632592"/>
      <w:bookmarkStart w:id="41" w:name="_Toc14943_WPSOffice_Level2"/>
      <w:bookmarkStart w:id="42" w:name="_Toc321_WPSOffice_Level2"/>
      <w:r>
        <w:rPr>
          <w:rFonts w:ascii="Times New Roman" w:hAnsi="Times New Roman" w:eastAsia="黑体" w:cs="Times New Roman"/>
          <w:bCs w:val="0"/>
          <w:color w:val="000000"/>
          <w:sz w:val="22"/>
          <w:szCs w:val="15"/>
        </w:rPr>
        <w:t>采购人联系方式</w:t>
      </w:r>
      <w:bookmarkEnd w:id="36"/>
      <w:bookmarkEnd w:id="37"/>
      <w:bookmarkEnd w:id="38"/>
      <w:bookmarkEnd w:id="39"/>
      <w:bookmarkEnd w:id="40"/>
      <w:bookmarkEnd w:id="41"/>
      <w:bookmarkEnd w:id="42"/>
    </w:p>
    <w:p>
      <w:pPr>
        <w:spacing w:line="440" w:lineRule="exact"/>
        <w:ind w:firstLine="420" w:firstLineChars="200"/>
        <w:rPr>
          <w:rFonts w:ascii="Times New Roman" w:hAnsi="Times New Roman" w:cs="Times New Roman"/>
          <w:szCs w:val="22"/>
        </w:rPr>
      </w:pPr>
      <w:r>
        <w:rPr>
          <w:rFonts w:ascii="Times New Roman" w:hAnsi="Times New Roman" w:cs="Times New Roman"/>
          <w:szCs w:val="22"/>
        </w:rPr>
        <w:t>采 购 人：</w:t>
      </w:r>
      <w:r>
        <w:rPr>
          <w:rFonts w:hint="eastAsia" w:ascii="Times New Roman" w:hAnsi="Times New Roman" w:cs="Times New Roman"/>
          <w:szCs w:val="22"/>
          <w:u w:val="single"/>
        </w:rPr>
        <w:t>安徽省经工建设集团有限公司</w:t>
      </w:r>
    </w:p>
    <w:p>
      <w:pPr>
        <w:spacing w:line="440" w:lineRule="exact"/>
        <w:ind w:firstLine="420" w:firstLineChars="200"/>
        <w:rPr>
          <w:rFonts w:ascii="Times New Roman" w:hAnsi="Times New Roman" w:cs="Times New Roman"/>
          <w:szCs w:val="22"/>
        </w:rPr>
      </w:pPr>
      <w:r>
        <w:rPr>
          <w:rFonts w:ascii="Times New Roman" w:hAnsi="Times New Roman" w:cs="Times New Roman"/>
          <w:szCs w:val="22"/>
        </w:rPr>
        <w:t>地    址：</w:t>
      </w:r>
      <w:r>
        <w:rPr>
          <w:rFonts w:hint="eastAsia" w:ascii="Times New Roman" w:hAnsi="Times New Roman" w:cs="Times New Roman"/>
          <w:szCs w:val="22"/>
          <w:u w:val="single"/>
        </w:rPr>
        <w:t xml:space="preserve">安徽省合肥市滨湖高速时代广场C1-9/10F  </w:t>
      </w:r>
      <w:r>
        <w:rPr>
          <w:rFonts w:ascii="仿宋_GB2312" w:hAnsi="仿宋_GB2312" w:eastAsia="仿宋_GB2312" w:cs="仿宋_GB2312"/>
          <w:color w:val="000000"/>
          <w:kern w:val="0"/>
          <w:sz w:val="28"/>
          <w:szCs w:val="28"/>
        </w:rPr>
        <w:t xml:space="preserve">  </w:t>
      </w:r>
    </w:p>
    <w:p>
      <w:pPr>
        <w:spacing w:line="440" w:lineRule="exact"/>
        <w:ind w:firstLine="420" w:firstLineChars="200"/>
        <w:rPr>
          <w:rFonts w:ascii="Times New Roman" w:hAnsi="Times New Roman" w:cs="Times New Roman"/>
          <w:szCs w:val="22"/>
        </w:rPr>
      </w:pPr>
      <w:r>
        <w:rPr>
          <w:rFonts w:ascii="Times New Roman" w:hAnsi="Times New Roman" w:cs="Times New Roman"/>
          <w:szCs w:val="22"/>
        </w:rPr>
        <w:t>联 系 人：</w:t>
      </w:r>
      <w:r>
        <w:rPr>
          <w:rFonts w:hint="eastAsia" w:ascii="Times New Roman" w:hAnsi="Times New Roman" w:cs="Times New Roman"/>
          <w:szCs w:val="22"/>
          <w:u w:val="single"/>
        </w:rPr>
        <w:t>陈  工</w:t>
      </w:r>
      <w:r>
        <w:rPr>
          <w:rFonts w:ascii="Times New Roman" w:hAnsi="Times New Roman" w:cs="Times New Roman"/>
          <w:szCs w:val="22"/>
          <w:u w:val="single"/>
        </w:rPr>
        <w:t xml:space="preserve">  </w:t>
      </w:r>
      <w:r>
        <w:rPr>
          <w:rFonts w:ascii="Times New Roman" w:hAnsi="Times New Roman" w:cs="Times New Roman"/>
          <w:szCs w:val="22"/>
        </w:rPr>
        <w:t xml:space="preserve">  </w:t>
      </w:r>
    </w:p>
    <w:p>
      <w:pPr>
        <w:spacing w:line="440" w:lineRule="exact"/>
        <w:ind w:firstLine="420" w:firstLineChars="200"/>
        <w:rPr>
          <w:rFonts w:ascii="仿宋_GB2312" w:hAnsi="仿宋_GB2312" w:eastAsia="仿宋_GB2312" w:cs="仿宋_GB2312"/>
          <w:color w:val="000000"/>
          <w:kern w:val="0"/>
          <w:sz w:val="28"/>
          <w:szCs w:val="28"/>
        </w:rPr>
      </w:pPr>
      <w:r>
        <w:rPr>
          <w:rFonts w:ascii="Times New Roman" w:hAnsi="Times New Roman" w:cs="Times New Roman"/>
          <w:szCs w:val="22"/>
        </w:rPr>
        <w:t>电    话：</w:t>
      </w:r>
      <w:r>
        <w:rPr>
          <w:rFonts w:hint="eastAsia" w:ascii="Times New Roman" w:hAnsi="Times New Roman" w:cs="Times New Roman"/>
          <w:szCs w:val="22"/>
          <w:u w:val="single"/>
        </w:rPr>
        <w:t xml:space="preserve">18268495766  </w:t>
      </w:r>
      <w:r>
        <w:rPr>
          <w:rFonts w:ascii="仿宋_GB2312" w:hAnsi="仿宋_GB2312" w:eastAsia="仿宋_GB2312" w:cs="仿宋_GB2312"/>
          <w:color w:val="000000"/>
          <w:kern w:val="0"/>
          <w:sz w:val="28"/>
          <w:szCs w:val="28"/>
        </w:rPr>
        <w:t xml:space="preserve"> </w:t>
      </w:r>
    </w:p>
    <w:p>
      <w:pPr>
        <w:spacing w:line="440" w:lineRule="exact"/>
        <w:ind w:firstLine="420" w:firstLineChars="200"/>
        <w:rPr>
          <w:rFonts w:ascii="Times New Roman" w:hAnsi="Times New Roman" w:cs="Times New Roman"/>
          <w:szCs w:val="22"/>
        </w:rPr>
      </w:pPr>
      <w:r>
        <w:rPr>
          <w:rFonts w:ascii="Times New Roman" w:hAnsi="Times New Roman" w:cs="Times New Roman"/>
          <w:szCs w:val="22"/>
        </w:rPr>
        <w:t>电子邮箱：</w:t>
      </w:r>
      <w:r>
        <w:rPr>
          <w:rFonts w:hint="eastAsia" w:ascii="Times New Roman" w:hAnsi="Times New Roman" w:cs="Times New Roman"/>
          <w:szCs w:val="22"/>
          <w:u w:val="single"/>
        </w:rPr>
        <w:t>1374131140@qq.com</w:t>
      </w:r>
      <w:r>
        <w:rPr>
          <w:rFonts w:ascii="Times New Roman" w:hAnsi="Times New Roman" w:cs="Times New Roman"/>
          <w:szCs w:val="22"/>
          <w:u w:val="single"/>
        </w:rPr>
        <w:t xml:space="preserve">    </w:t>
      </w:r>
      <w:r>
        <w:rPr>
          <w:rFonts w:ascii="Times New Roman" w:hAnsi="Times New Roman" w:cs="Times New Roman"/>
          <w:szCs w:val="22"/>
        </w:rPr>
        <w:t xml:space="preserve"> </w:t>
      </w:r>
    </w:p>
    <w:p>
      <w:pPr>
        <w:spacing w:line="440" w:lineRule="exact"/>
        <w:ind w:firstLine="420" w:firstLineChars="200"/>
        <w:rPr>
          <w:rFonts w:ascii="Times New Roman" w:hAnsi="Times New Roman" w:cs="Times New Roman"/>
          <w:szCs w:val="22"/>
        </w:rPr>
      </w:pPr>
    </w:p>
    <w:p>
      <w:pPr>
        <w:pStyle w:val="18"/>
        <w:jc w:val="center"/>
        <w:rPr>
          <w:rFonts w:hint="default" w:ascii="Times New Roman" w:hAnsi="Times New Roman"/>
          <w:color w:val="auto"/>
          <w:sz w:val="21"/>
          <w:szCs w:val="22"/>
        </w:rPr>
      </w:pPr>
      <w:r>
        <w:rPr>
          <w:rFonts w:hint="default" w:ascii="Times New Roman" w:hAnsi="Times New Roman"/>
          <w:color w:val="auto"/>
          <w:sz w:val="21"/>
          <w:szCs w:val="22"/>
        </w:rPr>
        <w:t xml:space="preserve">                                          </w:t>
      </w:r>
    </w:p>
    <w:p>
      <w:pPr>
        <w:pStyle w:val="18"/>
        <w:jc w:val="right"/>
        <w:rPr>
          <w:rFonts w:hint="default" w:ascii="Times New Roman" w:hAnsi="Times New Roman"/>
          <w:color w:val="auto"/>
          <w:sz w:val="21"/>
          <w:szCs w:val="22"/>
        </w:rPr>
      </w:pPr>
    </w:p>
    <w:p>
      <w:pPr>
        <w:pStyle w:val="18"/>
        <w:jc w:val="right"/>
        <w:rPr>
          <w:rFonts w:hint="default" w:ascii="Times New Roman" w:hAnsi="Times New Roman"/>
          <w:color w:val="auto"/>
          <w:szCs w:val="28"/>
        </w:rPr>
      </w:pPr>
      <w:r>
        <w:rPr>
          <w:rFonts w:ascii="Times New Roman" w:hAnsi="Times New Roman"/>
          <w:color w:val="auto"/>
          <w:sz w:val="21"/>
          <w:szCs w:val="22"/>
        </w:rPr>
        <w:t>2022</w:t>
      </w:r>
      <w:r>
        <w:rPr>
          <w:rFonts w:hint="default" w:ascii="Times New Roman" w:hAnsi="Times New Roman"/>
          <w:color w:val="auto"/>
          <w:sz w:val="21"/>
          <w:szCs w:val="22"/>
        </w:rPr>
        <w:t>年</w:t>
      </w:r>
      <w:r>
        <w:rPr>
          <w:rFonts w:hint="eastAsia" w:ascii="Times New Roman" w:hAnsi="Times New Roman"/>
          <w:color w:val="auto"/>
          <w:sz w:val="21"/>
          <w:szCs w:val="22"/>
          <w:lang w:val="en-US" w:eastAsia="zh-CN"/>
        </w:rPr>
        <w:t>7</w:t>
      </w:r>
      <w:r>
        <w:rPr>
          <w:rFonts w:hint="default" w:ascii="Times New Roman" w:hAnsi="Times New Roman"/>
          <w:color w:val="auto"/>
          <w:sz w:val="21"/>
          <w:szCs w:val="22"/>
        </w:rPr>
        <w:t>月</w:t>
      </w:r>
      <w:r>
        <w:rPr>
          <w:rFonts w:hint="eastAsia" w:ascii="Times New Roman" w:hAnsi="Times New Roman"/>
          <w:color w:val="auto"/>
          <w:sz w:val="21"/>
          <w:szCs w:val="22"/>
          <w:lang w:val="en-US" w:eastAsia="zh-CN"/>
        </w:rPr>
        <w:t>22</w:t>
      </w:r>
      <w:r>
        <w:rPr>
          <w:rFonts w:hint="default" w:ascii="Times New Roman" w:hAnsi="Times New Roman"/>
          <w:color w:val="auto"/>
          <w:sz w:val="21"/>
          <w:szCs w:val="22"/>
        </w:rPr>
        <w:t>日</w:t>
      </w:r>
    </w:p>
    <w:p>
      <w:pPr>
        <w:rPr>
          <w:rFonts w:ascii="Times New Roman" w:hAnsi="Times New Roman" w:cs="Times New Roman"/>
          <w:sz w:val="24"/>
          <w:szCs w:val="28"/>
        </w:rPr>
      </w:pPr>
      <w:r>
        <w:rPr>
          <w:rFonts w:ascii="Times New Roman" w:hAnsi="Times New Roman" w:cs="Times New Roman"/>
          <w:sz w:val="24"/>
          <w:szCs w:val="28"/>
        </w:rPr>
        <w:br w:type="page"/>
      </w:r>
    </w:p>
    <w:p>
      <w:pPr>
        <w:pStyle w:val="3"/>
        <w:spacing w:before="312" w:after="312"/>
        <w:rPr>
          <w:rFonts w:ascii="Times New Roman" w:hAnsi="Times New Roman" w:eastAsia="宋体" w:cs="Times New Roman"/>
        </w:rPr>
      </w:pPr>
      <w:r>
        <w:rPr>
          <w:rFonts w:hint="eastAsia" w:ascii="Times New Roman" w:hAnsi="Times New Roman" w:eastAsia="宋体" w:cs="Times New Roman"/>
        </w:rPr>
        <w:t>供应商须知</w:t>
      </w:r>
    </w:p>
    <w:p>
      <w:pPr>
        <w:spacing w:line="440" w:lineRule="exact"/>
        <w:jc w:val="center"/>
        <w:outlineLvl w:val="1"/>
        <w:rPr>
          <w:rFonts w:ascii="Times New Roman" w:hAnsi="Times New Roman" w:eastAsia="黑体" w:cs="Times New Roman"/>
          <w:sz w:val="28"/>
          <w:szCs w:val="28"/>
        </w:rPr>
      </w:pPr>
      <w:bookmarkStart w:id="43" w:name="_Toc19501"/>
      <w:bookmarkStart w:id="44" w:name="_Toc16069"/>
      <w:bookmarkStart w:id="45" w:name="_Toc29381_WPSOffice_Level2"/>
      <w:bookmarkStart w:id="46" w:name="_Toc26656928"/>
      <w:bookmarkStart w:id="47" w:name="_Toc55466811"/>
      <w:r>
        <w:rPr>
          <w:rFonts w:ascii="Times New Roman" w:hAnsi="Times New Roman" w:eastAsia="黑体" w:cs="Times New Roman"/>
          <w:sz w:val="28"/>
          <w:szCs w:val="28"/>
        </w:rPr>
        <w:t>供应商须知前附表</w:t>
      </w:r>
      <w:bookmarkEnd w:id="43"/>
      <w:bookmarkEnd w:id="44"/>
      <w:bookmarkEnd w:id="45"/>
      <w:bookmarkEnd w:id="46"/>
      <w:bookmarkEnd w:id="47"/>
    </w:p>
    <w:tbl>
      <w:tblPr>
        <w:tblStyle w:val="14"/>
        <w:tblW w:w="8926" w:type="dxa"/>
        <w:tblInd w:w="0" w:type="dxa"/>
        <w:tblLayout w:type="fixed"/>
        <w:tblCellMar>
          <w:top w:w="0" w:type="dxa"/>
          <w:left w:w="108" w:type="dxa"/>
          <w:bottom w:w="0" w:type="dxa"/>
          <w:right w:w="108" w:type="dxa"/>
        </w:tblCellMar>
      </w:tblPr>
      <w:tblGrid>
        <w:gridCol w:w="1000"/>
        <w:gridCol w:w="2572"/>
        <w:gridCol w:w="5354"/>
      </w:tblGrid>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480" w:lineRule="exact"/>
              <w:jc w:val="center"/>
              <w:rPr>
                <w:rFonts w:ascii="Times New Roman" w:hAnsi="Times New Roman" w:eastAsia="宋体" w:cs="Times New Roman"/>
                <w:b/>
                <w:szCs w:val="21"/>
              </w:rPr>
            </w:pPr>
            <w:r>
              <w:rPr>
                <w:rFonts w:ascii="Times New Roman" w:hAnsi="Times New Roman" w:eastAsia="宋体" w:cs="Times New Roman"/>
                <w:b/>
                <w:szCs w:val="21"/>
              </w:rPr>
              <w:t>条款号</w:t>
            </w:r>
          </w:p>
        </w:tc>
        <w:tc>
          <w:tcPr>
            <w:tcW w:w="2572"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480" w:lineRule="exact"/>
              <w:jc w:val="center"/>
              <w:rPr>
                <w:rFonts w:ascii="Times New Roman" w:hAnsi="Times New Roman" w:eastAsia="宋体" w:cs="Times New Roman"/>
                <w:b/>
                <w:szCs w:val="21"/>
              </w:rPr>
            </w:pPr>
            <w:r>
              <w:rPr>
                <w:rFonts w:ascii="Times New Roman" w:hAnsi="Times New Roman" w:eastAsia="宋体" w:cs="Times New Roman"/>
                <w:b/>
                <w:szCs w:val="21"/>
              </w:rPr>
              <w:t>条  款  名  称</w:t>
            </w:r>
          </w:p>
        </w:tc>
        <w:tc>
          <w:tcPr>
            <w:tcW w:w="535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480" w:lineRule="exact"/>
              <w:jc w:val="center"/>
              <w:rPr>
                <w:rFonts w:ascii="Times New Roman" w:hAnsi="Times New Roman" w:eastAsia="宋体" w:cs="Times New Roman"/>
                <w:b/>
                <w:szCs w:val="21"/>
              </w:rPr>
            </w:pPr>
            <w:r>
              <w:rPr>
                <w:rFonts w:ascii="Times New Roman" w:hAnsi="Times New Roman" w:eastAsia="宋体" w:cs="Times New Roman"/>
                <w:b/>
                <w:szCs w:val="21"/>
              </w:rPr>
              <w:t>编  列  内  容</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1</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采购人</w:t>
            </w:r>
          </w:p>
        </w:tc>
        <w:tc>
          <w:tcPr>
            <w:tcW w:w="535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 xml:space="preserve">采 购 人：安徽省经工建设集团有限公司                     </w:t>
            </w:r>
          </w:p>
          <w:p>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 xml:space="preserve">地    址：安徽省合肥市蜀山区甘泉路398号                                          </w:t>
            </w:r>
          </w:p>
          <w:p>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 xml:space="preserve">联 系 人：陈工                         </w:t>
            </w:r>
          </w:p>
          <w:p>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 xml:space="preserve">电    话： 18268495766                      </w:t>
            </w:r>
          </w:p>
          <w:p>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 xml:space="preserve">电子邮箱： 1374131140@qq.com     </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2</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项目名称</w:t>
            </w:r>
          </w:p>
        </w:tc>
        <w:tc>
          <w:tcPr>
            <w:tcW w:w="535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驿达公司服务区易燃夹芯板更换工程劳务</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3</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项目建设地点</w:t>
            </w:r>
          </w:p>
        </w:tc>
        <w:tc>
          <w:tcPr>
            <w:tcW w:w="535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详见清单</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4</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资金来源及比例</w:t>
            </w:r>
          </w:p>
        </w:tc>
        <w:tc>
          <w:tcPr>
            <w:tcW w:w="5354"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Cs w:val="21"/>
              </w:rPr>
            </w:pPr>
            <w:r>
              <w:rPr>
                <w:rFonts w:hint="eastAsia" w:ascii="宋体" w:hAnsi="宋体" w:eastAsia="宋体" w:cs="宋体"/>
                <w:color w:val="000000"/>
                <w:kern w:val="0"/>
                <w:sz w:val="22"/>
                <w:szCs w:val="22"/>
                <w:lang w:bidi="ar"/>
              </w:rPr>
              <w:t>采购人自筹，</w:t>
            </w:r>
            <w:r>
              <w:rPr>
                <w:rFonts w:ascii="TimesNewRomanPSMT" w:hAnsi="TimesNewRomanPSMT" w:eastAsia="TimesNewRomanPSMT" w:cs="TimesNewRomanPSMT"/>
                <w:color w:val="000000"/>
                <w:kern w:val="0"/>
                <w:sz w:val="22"/>
                <w:szCs w:val="22"/>
                <w:lang w:bidi="ar"/>
              </w:rPr>
              <w:t>100%</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5</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资金落实情况</w:t>
            </w:r>
          </w:p>
        </w:tc>
        <w:tc>
          <w:tcPr>
            <w:tcW w:w="535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已落实</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6</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采购范围</w:t>
            </w:r>
          </w:p>
        </w:tc>
        <w:tc>
          <w:tcPr>
            <w:tcW w:w="535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详见采购公告</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7</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计划工期</w:t>
            </w:r>
          </w:p>
        </w:tc>
        <w:tc>
          <w:tcPr>
            <w:tcW w:w="5354"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总工期</w:t>
            </w:r>
            <w:r>
              <w:rPr>
                <w:rFonts w:hint="eastAsia" w:ascii="Times New Roman" w:hAnsi="Times New Roman" w:eastAsia="宋体" w:cs="Times New Roman"/>
                <w:kern w:val="0"/>
                <w:szCs w:val="21"/>
                <w:lang w:val="en-US" w:eastAsia="zh-CN"/>
              </w:rPr>
              <w:t>30日历天</w:t>
            </w:r>
            <w:r>
              <w:rPr>
                <w:rFonts w:ascii="Times New Roman" w:hAnsi="Times New Roman" w:eastAsia="宋体" w:cs="Times New Roman"/>
                <w:kern w:val="0"/>
                <w:szCs w:val="21"/>
              </w:rPr>
              <w:t>，具体开工时间以对应单体项目下达开工时间为准。缺陷责任期为 24 个月，以项目的验收合格时间为起始时间。</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8</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质量要求</w:t>
            </w:r>
          </w:p>
        </w:tc>
        <w:tc>
          <w:tcPr>
            <w:tcW w:w="535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合格</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9</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 xml:space="preserve">踏勘现场 </w:t>
            </w:r>
          </w:p>
        </w:tc>
        <w:tc>
          <w:tcPr>
            <w:tcW w:w="5354" w:type="dxa"/>
            <w:tcBorders>
              <w:top w:val="single" w:color="auto" w:sz="4" w:space="0"/>
              <w:left w:val="single" w:color="auto" w:sz="4" w:space="0"/>
              <w:bottom w:val="single" w:color="auto" w:sz="4" w:space="0"/>
              <w:right w:val="single" w:color="auto" w:sz="4" w:space="0"/>
            </w:tcBorders>
            <w:vAlign w:val="center"/>
          </w:tcPr>
          <w:p>
            <w:pPr>
              <w:pStyle w:val="7"/>
              <w:topLinePunct/>
              <w:spacing w:line="400" w:lineRule="exact"/>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 xml:space="preserve">☒组织：  时间：      集合地点： </w:t>
            </w:r>
          </w:p>
          <w:p>
            <w:pPr>
              <w:pStyle w:val="7"/>
              <w:topLinePunct/>
              <w:spacing w:line="400" w:lineRule="exact"/>
              <w:ind w:firstLine="1050" w:firstLineChars="50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联系人：    联系方式：</w:t>
            </w:r>
          </w:p>
          <w:p>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☑不组织：请响应人自行踏勘现场，所产生的费用由响应人自理，并对其安全自行承担责任。凡参加响应，无论响应人是否踏勘现场，均视同其已踏勘。</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10</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增值税税金的计算方</w:t>
            </w:r>
          </w:p>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法</w:t>
            </w:r>
          </w:p>
        </w:tc>
        <w:tc>
          <w:tcPr>
            <w:tcW w:w="535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投标报价为含税价，税率按税法规定的建筑业一般纳税人计算，并执行国家最新税率标准。</w:t>
            </w:r>
          </w:p>
          <w:p>
            <w:pPr>
              <w:widowControl/>
              <w:spacing w:line="360" w:lineRule="auto"/>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承包人应提供增值税专用发票，发包人提供的甲供材料不计入承包人的增值税应纳税额。</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11</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报价方式</w:t>
            </w:r>
          </w:p>
        </w:tc>
        <w:tc>
          <w:tcPr>
            <w:tcW w:w="5354"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ascii="Wingdings" w:hAnsi="Wingdings" w:eastAsia="宋体" w:cs="Wingdings"/>
                <w:color w:val="FF0000"/>
                <w:kern w:val="0"/>
                <w:sz w:val="22"/>
                <w:szCs w:val="22"/>
                <w:lang w:bidi="ar"/>
              </w:rPr>
              <w:sym w:font="Wingdings" w:char="00FE"/>
            </w:r>
            <w:r>
              <w:rPr>
                <w:rFonts w:hint="eastAsia" w:ascii="宋体" w:hAnsi="宋体" w:eastAsia="宋体" w:cs="宋体"/>
                <w:color w:val="000000"/>
                <w:kern w:val="0"/>
                <w:sz w:val="22"/>
                <w:szCs w:val="22"/>
                <w:lang w:bidi="ar"/>
              </w:rPr>
              <w:t xml:space="preserve">单价 </w:t>
            </w:r>
          </w:p>
          <w:p>
            <w:pPr>
              <w:widowControl/>
              <w:jc w:val="left"/>
              <w:rPr>
                <w:rFonts w:ascii="宋体" w:hAnsi="宋体" w:eastAsia="宋体" w:cs="宋体"/>
                <w:color w:val="000000"/>
                <w:kern w:val="0"/>
                <w:sz w:val="22"/>
                <w:szCs w:val="22"/>
                <w:lang w:bidi="ar"/>
              </w:rPr>
            </w:pPr>
            <w:r>
              <w:rPr>
                <w:rFonts w:ascii="Wingdings" w:hAnsi="Wingdings" w:eastAsia="宋体" w:cs="Wingdings"/>
                <w:color w:val="000000"/>
                <w:kern w:val="0"/>
                <w:sz w:val="22"/>
                <w:szCs w:val="22"/>
                <w:lang w:bidi="ar"/>
              </w:rPr>
              <w:sym w:font="Wingdings" w:char="00A8"/>
            </w:r>
            <w:r>
              <w:rPr>
                <w:rFonts w:hint="eastAsia" w:ascii="宋体" w:hAnsi="宋体" w:eastAsia="宋体" w:cs="宋体"/>
                <w:color w:val="000000"/>
                <w:kern w:val="0"/>
                <w:sz w:val="22"/>
                <w:szCs w:val="22"/>
                <w:lang w:bidi="ar"/>
              </w:rPr>
              <w:t xml:space="preserve">总价 </w:t>
            </w:r>
          </w:p>
          <w:p>
            <w:pPr>
              <w:widowControl/>
              <w:jc w:val="left"/>
              <w:rPr>
                <w:rFonts w:ascii="宋体" w:hAnsi="宋体" w:eastAsia="宋体" w:cs="宋体"/>
                <w:color w:val="000000"/>
                <w:kern w:val="0"/>
                <w:sz w:val="22"/>
                <w:szCs w:val="22"/>
                <w:lang w:bidi="ar"/>
              </w:rPr>
            </w:pPr>
            <w:r>
              <w:rPr>
                <w:rFonts w:hint="eastAsia" w:ascii="Times New Roman" w:hAnsi="Times New Roman" w:eastAsia="宋体" w:cs="Times New Roman"/>
                <w:kern w:val="0"/>
                <w:szCs w:val="21"/>
              </w:rPr>
              <w:t>报价人报价含临时设施费及安全文明施工费。</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12</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最高响应限价</w:t>
            </w:r>
          </w:p>
        </w:tc>
        <w:tc>
          <w:tcPr>
            <w:tcW w:w="5354"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 xml:space="preserve">       详见采购公告</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13</w:t>
            </w:r>
          </w:p>
        </w:tc>
        <w:tc>
          <w:tcPr>
            <w:tcW w:w="2572"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响应有效期</w:t>
            </w:r>
          </w:p>
        </w:tc>
        <w:tc>
          <w:tcPr>
            <w:tcW w:w="535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自响应人提交响应文件截止之日起计算90天</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14</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响应保证金</w:t>
            </w:r>
          </w:p>
        </w:tc>
        <w:tc>
          <w:tcPr>
            <w:tcW w:w="5354"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ascii="宋体" w:hAnsi="宋体" w:eastAsia="宋体" w:cs="宋体"/>
                <w:color w:val="000000"/>
                <w:kern w:val="0"/>
                <w:sz w:val="22"/>
                <w:szCs w:val="22"/>
                <w:lang w:bidi="ar"/>
              </w:rPr>
              <w:t xml:space="preserve">是否要求响应人递交响应保证金： </w:t>
            </w:r>
          </w:p>
          <w:p>
            <w:pPr>
              <w:widowControl/>
              <w:jc w:val="left"/>
            </w:pPr>
            <w:r>
              <w:rPr>
                <w:rFonts w:ascii="Wingdings" w:hAnsi="Wingdings" w:eastAsia="宋体" w:cs="Wingdings"/>
                <w:color w:val="FF0000"/>
                <w:kern w:val="0"/>
                <w:sz w:val="22"/>
                <w:szCs w:val="22"/>
                <w:lang w:bidi="ar"/>
              </w:rPr>
              <w:t></w:t>
            </w:r>
            <w:r>
              <w:rPr>
                <w:rFonts w:hint="eastAsia" w:ascii="宋体" w:hAnsi="宋体" w:eastAsia="宋体" w:cs="宋体"/>
                <w:color w:val="000000"/>
                <w:kern w:val="0"/>
                <w:sz w:val="22"/>
                <w:szCs w:val="22"/>
                <w:lang w:bidi="ar"/>
              </w:rPr>
              <w:t xml:space="preserve">要求， </w:t>
            </w:r>
          </w:p>
          <w:p>
            <w:pPr>
              <w:widowControl/>
              <w:jc w:val="left"/>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响应保证金的金额：见采购公告 </w:t>
            </w:r>
          </w:p>
          <w:p>
            <w:pPr>
              <w:widowControl/>
              <w:jc w:val="left"/>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响应保证金的形式：银行转账或银行保函 </w:t>
            </w:r>
          </w:p>
          <w:p>
            <w:pPr>
              <w:widowControl/>
              <w:jc w:val="left"/>
            </w:pPr>
            <w:r>
              <w:rPr>
                <w:rFonts w:hint="eastAsia" w:ascii="宋体" w:hAnsi="宋体" w:eastAsia="宋体" w:cs="宋体"/>
                <w:color w:val="000000"/>
                <w:kern w:val="0"/>
                <w:sz w:val="22"/>
                <w:szCs w:val="22"/>
                <w:lang w:bidi="ar"/>
              </w:rPr>
              <w:t xml:space="preserve">响应保证金账户信息：见采购公告 </w:t>
            </w:r>
          </w:p>
          <w:p>
            <w:pPr>
              <w:widowControl/>
              <w:jc w:val="left"/>
            </w:pPr>
            <w:r>
              <w:rPr>
                <w:rFonts w:hint="eastAsia" w:ascii="宋体" w:hAnsi="宋体" w:eastAsia="宋体" w:cs="宋体"/>
                <w:color w:val="000000"/>
                <w:kern w:val="0"/>
                <w:sz w:val="22"/>
                <w:szCs w:val="22"/>
                <w:lang w:bidi="ar"/>
              </w:rPr>
              <w:t xml:space="preserve">采用银行保函时，应由响应人开立基本账户的银行开具 </w:t>
            </w:r>
          </w:p>
          <w:p>
            <w:pPr>
              <w:widowControl/>
              <w:jc w:val="left"/>
              <w:rPr>
                <w:rFonts w:ascii="Times New Roman" w:hAnsi="Times New Roman" w:eastAsia="宋体" w:cs="Times New Roman"/>
                <w:kern w:val="0"/>
                <w:szCs w:val="21"/>
              </w:rPr>
            </w:pPr>
            <w:r>
              <w:rPr>
                <w:rFonts w:ascii="Wingdings" w:hAnsi="Wingdings" w:eastAsia="宋体" w:cs="Wingdings"/>
                <w:color w:val="000000"/>
                <w:kern w:val="0"/>
                <w:sz w:val="22"/>
                <w:szCs w:val="22"/>
                <w:lang w:bidi="ar"/>
              </w:rPr>
              <w:t></w:t>
            </w:r>
            <w:r>
              <w:rPr>
                <w:rFonts w:hint="eastAsia" w:ascii="宋体" w:hAnsi="宋体" w:eastAsia="宋体" w:cs="宋体"/>
                <w:color w:val="000000"/>
                <w:kern w:val="0"/>
                <w:sz w:val="22"/>
                <w:szCs w:val="22"/>
                <w:lang w:bidi="ar"/>
              </w:rPr>
              <w:t>不要求</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15</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不予退还投</w:t>
            </w:r>
          </w:p>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标保证金的情形</w:t>
            </w:r>
          </w:p>
        </w:tc>
        <w:tc>
          <w:tcPr>
            <w:tcW w:w="535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（1）中标候选人放弃中标候选人资格；</w:t>
            </w:r>
          </w:p>
          <w:p>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（2）响应人在响应过程中存在弄虚作假、与采购人或者其他响应人串通响应、以行贿谋取中标、无正当理由放弃中标以及进行恶意投诉等响应不良行为的。</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16</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响应人提出问题的</w:t>
            </w:r>
          </w:p>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截止时间</w:t>
            </w:r>
          </w:p>
        </w:tc>
        <w:tc>
          <w:tcPr>
            <w:tcW w:w="535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highlight w:val="yellow"/>
              </w:rPr>
              <w:t>2022年</w:t>
            </w:r>
            <w:r>
              <w:rPr>
                <w:rFonts w:hint="eastAsia" w:ascii="Times New Roman" w:hAnsi="Times New Roman" w:eastAsia="宋体" w:cs="Times New Roman"/>
                <w:kern w:val="0"/>
                <w:szCs w:val="21"/>
                <w:highlight w:val="yellow"/>
                <w:lang w:val="en-US" w:eastAsia="zh-CN"/>
              </w:rPr>
              <w:t>7</w:t>
            </w:r>
            <w:r>
              <w:rPr>
                <w:rFonts w:hint="eastAsia" w:ascii="Times New Roman" w:hAnsi="Times New Roman" w:eastAsia="宋体" w:cs="Times New Roman"/>
                <w:kern w:val="0"/>
                <w:szCs w:val="21"/>
                <w:highlight w:val="yellow"/>
              </w:rPr>
              <w:t>月</w:t>
            </w:r>
            <w:r>
              <w:rPr>
                <w:rFonts w:hint="eastAsia" w:ascii="Times New Roman" w:hAnsi="Times New Roman" w:eastAsia="宋体" w:cs="Times New Roman"/>
                <w:kern w:val="0"/>
                <w:szCs w:val="21"/>
                <w:highlight w:val="yellow"/>
                <w:lang w:val="en-US" w:eastAsia="zh-CN"/>
              </w:rPr>
              <w:t>25</w:t>
            </w:r>
            <w:r>
              <w:rPr>
                <w:rFonts w:hint="eastAsia" w:ascii="Times New Roman" w:hAnsi="Times New Roman" w:eastAsia="宋体" w:cs="Times New Roman"/>
                <w:kern w:val="0"/>
                <w:szCs w:val="21"/>
                <w:highlight w:val="yellow"/>
              </w:rPr>
              <w:t>日10时00分。</w:t>
            </w:r>
            <w:r>
              <w:rPr>
                <w:rFonts w:hint="eastAsia" w:ascii="Times New Roman" w:hAnsi="Times New Roman" w:eastAsia="宋体" w:cs="Times New Roman"/>
                <w:kern w:val="0"/>
                <w:szCs w:val="21"/>
              </w:rPr>
              <w:t>响应人未在规定时间内提出需要询价人澄清或答疑的，视同对询价文件全部内容的知晓、理解和接受，开标后不得就询价文件所列内容提出质疑、投诉等；中标后签订合同时和履约过程中，也不得以未深入研究询价文件为由提出任何形式的增加合同价款或索赔的要求。</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17</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开标时间和地点</w:t>
            </w:r>
          </w:p>
        </w:tc>
        <w:tc>
          <w:tcPr>
            <w:tcW w:w="535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见采购公告</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18</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履约保证金</w:t>
            </w:r>
          </w:p>
        </w:tc>
        <w:tc>
          <w:tcPr>
            <w:tcW w:w="5354"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ascii="宋体" w:hAnsi="宋体" w:eastAsia="宋体" w:cs="宋体"/>
                <w:color w:val="000000"/>
                <w:kern w:val="0"/>
                <w:sz w:val="22"/>
                <w:szCs w:val="22"/>
                <w:lang w:bidi="ar"/>
              </w:rPr>
              <w:t xml:space="preserve">是否要求中标人提交履约保证金： </w:t>
            </w:r>
          </w:p>
          <w:p>
            <w:pPr>
              <w:widowControl/>
              <w:jc w:val="left"/>
            </w:pPr>
            <w:r>
              <w:rPr>
                <w:rFonts w:ascii="Wingdings" w:hAnsi="Wingdings" w:eastAsia="宋体" w:cs="Wingdings"/>
                <w:color w:val="FF0000"/>
                <w:kern w:val="0"/>
                <w:sz w:val="22"/>
                <w:szCs w:val="22"/>
                <w:lang w:bidi="ar"/>
              </w:rPr>
              <w:t></w:t>
            </w:r>
            <w:r>
              <w:rPr>
                <w:rFonts w:hint="eastAsia" w:ascii="宋体" w:hAnsi="宋体" w:eastAsia="宋体" w:cs="宋体"/>
                <w:color w:val="000000"/>
                <w:kern w:val="0"/>
                <w:sz w:val="22"/>
                <w:szCs w:val="22"/>
                <w:lang w:bidi="ar"/>
              </w:rPr>
              <w:t>要求，履约保证金形式：电汇（转账）或银行保函。</w:t>
            </w:r>
            <w:r>
              <w:rPr>
                <w:rFonts w:hint="eastAsia" w:ascii="宋体" w:hAnsi="宋体" w:eastAsia="宋体" w:cs="宋体"/>
                <w:b/>
                <w:bCs/>
                <w:color w:val="000000"/>
                <w:kern w:val="0"/>
                <w:sz w:val="22"/>
                <w:szCs w:val="22"/>
                <w:lang w:bidi="ar"/>
              </w:rPr>
              <w:t xml:space="preserve"> </w:t>
            </w:r>
          </w:p>
          <w:p>
            <w:pPr>
              <w:widowControl/>
              <w:jc w:val="left"/>
              <w:rPr>
                <w:rFonts w:eastAsia="宋体"/>
                <w:highlight w:val="yellow"/>
              </w:rPr>
            </w:pPr>
            <w:r>
              <w:rPr>
                <w:rFonts w:hint="eastAsia" w:ascii="宋体" w:hAnsi="宋体" w:eastAsia="宋体" w:cs="宋体"/>
                <w:color w:val="000000"/>
                <w:kern w:val="0"/>
                <w:sz w:val="22"/>
                <w:szCs w:val="22"/>
                <w:lang w:bidi="ar"/>
              </w:rPr>
              <w:t>履约保证金的金额：2%合同价</w:t>
            </w:r>
          </w:p>
          <w:p>
            <w:pPr>
              <w:widowControl/>
              <w:jc w:val="left"/>
            </w:pPr>
            <w:r>
              <w:rPr>
                <w:rFonts w:hint="eastAsia" w:ascii="宋体" w:hAnsi="宋体" w:eastAsia="宋体" w:cs="宋体"/>
                <w:color w:val="000000"/>
                <w:kern w:val="0"/>
                <w:sz w:val="22"/>
                <w:szCs w:val="22"/>
                <w:lang w:bidi="ar"/>
              </w:rPr>
              <w:t xml:space="preserve">履约保证金提交时间：收到中标通知书后 </w:t>
            </w:r>
            <w:r>
              <w:rPr>
                <w:rFonts w:hint="eastAsia" w:ascii="宋体" w:hAnsi="宋体" w:eastAsia="宋体" w:cs="宋体"/>
                <w:b/>
                <w:bCs/>
                <w:color w:val="000000"/>
                <w:kern w:val="0"/>
                <w:sz w:val="22"/>
                <w:szCs w:val="22"/>
                <w:lang w:bidi="ar"/>
              </w:rPr>
              <w:t xml:space="preserve">7 </w:t>
            </w:r>
            <w:r>
              <w:rPr>
                <w:rFonts w:hint="eastAsia" w:ascii="宋体" w:hAnsi="宋体" w:eastAsia="宋体" w:cs="宋体"/>
                <w:color w:val="000000"/>
                <w:kern w:val="0"/>
                <w:sz w:val="22"/>
                <w:szCs w:val="22"/>
                <w:lang w:bidi="ar"/>
              </w:rPr>
              <w:t xml:space="preserve">天内。 </w:t>
            </w:r>
          </w:p>
          <w:p>
            <w:pPr>
              <w:widowControl/>
              <w:jc w:val="left"/>
            </w:pPr>
            <w:r>
              <w:rPr>
                <w:rFonts w:hint="eastAsia" w:ascii="宋体" w:hAnsi="宋体" w:eastAsia="宋体" w:cs="宋体"/>
                <w:color w:val="000000"/>
                <w:kern w:val="0"/>
                <w:sz w:val="22"/>
                <w:szCs w:val="22"/>
                <w:lang w:bidi="ar"/>
              </w:rPr>
              <w:t xml:space="preserve">采用银行保函时，应由响应人开立基本账户的银行开具。 </w:t>
            </w:r>
          </w:p>
          <w:p>
            <w:pPr>
              <w:widowControl/>
              <w:jc w:val="left"/>
              <w:rPr>
                <w:rFonts w:ascii="Times New Roman" w:hAnsi="Times New Roman" w:eastAsia="宋体" w:cs="Times New Roman"/>
                <w:kern w:val="0"/>
                <w:szCs w:val="21"/>
              </w:rPr>
            </w:pPr>
            <w:r>
              <w:rPr>
                <w:rFonts w:ascii="Wingdings" w:hAnsi="Wingdings" w:eastAsia="宋体" w:cs="Wingdings"/>
                <w:color w:val="000000"/>
                <w:kern w:val="0"/>
                <w:sz w:val="22"/>
                <w:szCs w:val="22"/>
                <w:lang w:bidi="ar"/>
              </w:rPr>
              <w:t></w:t>
            </w:r>
            <w:r>
              <w:rPr>
                <w:rFonts w:hint="eastAsia" w:ascii="宋体" w:hAnsi="宋体" w:eastAsia="宋体" w:cs="宋体"/>
                <w:color w:val="000000"/>
                <w:kern w:val="0"/>
                <w:sz w:val="22"/>
                <w:szCs w:val="22"/>
                <w:lang w:bidi="ar"/>
              </w:rPr>
              <w:t>不要求</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19</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cs="Times New Roman"/>
              </w:rPr>
            </w:pPr>
            <w:r>
              <w:rPr>
                <w:rFonts w:hint="eastAsia" w:ascii="Times New Roman" w:hAnsi="Times New Roman" w:cs="Times New Roman"/>
              </w:rPr>
              <w:t>响应文件副本份数</w:t>
            </w:r>
          </w:p>
        </w:tc>
        <w:tc>
          <w:tcPr>
            <w:tcW w:w="5354"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szCs w:val="21"/>
                <w:u w:val="single"/>
              </w:rPr>
            </w:pPr>
            <w:r>
              <w:rPr>
                <w:rFonts w:hint="eastAsia" w:ascii="宋体" w:hAnsi="宋体" w:eastAsia="宋体" w:cs="宋体"/>
                <w:color w:val="000000"/>
                <w:kern w:val="0"/>
                <w:sz w:val="22"/>
                <w:szCs w:val="22"/>
                <w:lang w:bidi="ar"/>
              </w:rPr>
              <w:t>正本壹份，副本壹份（需密封，电子版文件随文件正本提交）。正副本内容不一致时，以正本为准。</w:t>
            </w:r>
          </w:p>
        </w:tc>
      </w:tr>
      <w:tr>
        <w:trPr>
          <w:trHeight w:val="653"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20</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仿宋_GB2312" w:hAnsi="仿宋_GB2312" w:eastAsia="仿宋_GB2312" w:cs="仿宋_GB2312"/>
                <w:szCs w:val="21"/>
              </w:rPr>
              <w:t>装订包封要求</w:t>
            </w:r>
          </w:p>
        </w:tc>
        <w:tc>
          <w:tcPr>
            <w:tcW w:w="5354"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宋体" w:cs="Times New Roman"/>
                <w:szCs w:val="21"/>
              </w:rPr>
            </w:pPr>
            <w:r>
              <w:rPr>
                <w:rFonts w:hint="eastAsia" w:ascii="宋体" w:hAnsi="宋体" w:eastAsia="宋体" w:cs="宋体"/>
                <w:color w:val="000000"/>
                <w:kern w:val="0"/>
                <w:sz w:val="22"/>
                <w:szCs w:val="22"/>
                <w:lang w:bidi="ar"/>
              </w:rPr>
              <w:t>响应文件正副本密封在同一密封袋，封口处须密封并加盖企业公章及法人章或授权代表签字</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21</w:t>
            </w:r>
          </w:p>
        </w:tc>
        <w:tc>
          <w:tcPr>
            <w:tcW w:w="25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封套上应载明的信息</w:t>
            </w:r>
          </w:p>
        </w:tc>
        <w:tc>
          <w:tcPr>
            <w:tcW w:w="5354"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1、项目名称  2、询价人名称3、响应人名称。</w:t>
            </w:r>
          </w:p>
          <w:p>
            <w:pPr>
              <w:spacing w:line="480" w:lineRule="exact"/>
              <w:rPr>
                <w:rFonts w:ascii="Times New Roman" w:hAnsi="Times New Roman" w:eastAsia="宋体" w:cs="Times New Roman"/>
                <w:szCs w:val="21"/>
              </w:rPr>
            </w:pPr>
            <w:r>
              <w:rPr>
                <w:rFonts w:hint="eastAsia" w:ascii="宋体" w:hAnsi="宋体" w:eastAsia="宋体" w:cs="宋体"/>
                <w:color w:val="000000"/>
                <w:kern w:val="0"/>
                <w:sz w:val="22"/>
                <w:szCs w:val="22"/>
                <w:lang w:bidi="ar"/>
              </w:rPr>
              <w:t>在 年 月 日  时  分（响应截止时间）前不得开启</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22</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cs="Times New Roman" w:asciiTheme="minorEastAsia" w:hAnsiTheme="minorEastAsia"/>
                <w:szCs w:val="21"/>
              </w:rPr>
            </w:pPr>
            <w:r>
              <w:rPr>
                <w:rFonts w:hint="eastAsia" w:cs="仿宋_GB2312" w:asciiTheme="minorEastAsia" w:hAnsiTheme="minorEastAsia"/>
                <w:szCs w:val="21"/>
              </w:rPr>
              <w:t>开标程序</w:t>
            </w:r>
          </w:p>
        </w:tc>
        <w:tc>
          <w:tcPr>
            <w:tcW w:w="5354"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rPr>
                <w:rFonts w:ascii="Times New Roman" w:hAnsi="Times New Roman" w:eastAsia="宋体" w:cs="Times New Roman"/>
                <w:szCs w:val="21"/>
              </w:rPr>
            </w:pPr>
            <w:r>
              <w:rPr>
                <w:rFonts w:hint="eastAsia" w:ascii="宋体" w:hAnsi="宋体" w:eastAsia="宋体" w:cs="宋体"/>
                <w:color w:val="000000"/>
                <w:kern w:val="0"/>
                <w:sz w:val="22"/>
                <w:szCs w:val="22"/>
                <w:lang w:bidi="ar"/>
              </w:rPr>
              <w:t>密封情况检查：宣布开标后，响应人代表互检响应文件密封及递交情况，并就检查结果明确意见。开标顺序按照响应签到先后顺序，先开技术文件，技术文件评审完成后开启报价文件。</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23</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 w:val="22"/>
                <w:szCs w:val="22"/>
              </w:rPr>
            </w:pPr>
            <w:r>
              <w:rPr>
                <w:rFonts w:hint="eastAsia" w:ascii="Times New Roman" w:hAnsi="Times New Roman" w:eastAsia="宋体" w:cs="Times New Roman"/>
                <w:sz w:val="22"/>
                <w:szCs w:val="22"/>
              </w:rPr>
              <w:t>评标办法</w:t>
            </w:r>
          </w:p>
        </w:tc>
        <w:tc>
          <w:tcPr>
            <w:tcW w:w="5354"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rPr>
                <w:rFonts w:ascii="宋体" w:hAnsi="宋体" w:eastAsia="宋体" w:cs="宋体"/>
                <w:color w:val="000000"/>
                <w:kern w:val="0"/>
                <w:sz w:val="22"/>
                <w:szCs w:val="22"/>
                <w:highlight w:val="yellow"/>
                <w:lang w:bidi="ar"/>
              </w:rPr>
            </w:pPr>
            <w:r>
              <w:rPr>
                <w:rFonts w:hint="eastAsia" w:ascii="宋体" w:hAnsi="宋体" w:eastAsia="宋体" w:cs="宋体"/>
                <w:color w:val="000000"/>
                <w:kern w:val="0"/>
                <w:sz w:val="22"/>
                <w:szCs w:val="22"/>
                <w:lang w:bidi="ar"/>
              </w:rPr>
              <w:t xml:space="preserve">最低评标价法（A类）☒   </w:t>
            </w:r>
            <w:r>
              <w:rPr>
                <w:rFonts w:hint="eastAsia" w:ascii="宋体" w:hAnsi="宋体" w:eastAsia="宋体" w:cs="宋体"/>
                <w:color w:val="000000"/>
                <w:kern w:val="0"/>
                <w:sz w:val="22"/>
                <w:szCs w:val="22"/>
                <w:highlight w:val="yellow"/>
                <w:lang w:bidi="ar"/>
              </w:rPr>
              <w:t>综合评分法（B类）  √</w:t>
            </w:r>
          </w:p>
          <w:p>
            <w:pPr>
              <w:snapToGrid w:val="0"/>
              <w:spacing w:line="480" w:lineRule="exact"/>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三阶段评审法（C1类）☒  三阶段评审法（C2类）☒</w:t>
            </w:r>
          </w:p>
          <w:p>
            <w:pPr>
              <w:snapToGrid w:val="0"/>
              <w:spacing w:line="480" w:lineRule="exact"/>
              <w:rPr>
                <w:rFonts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567" w:hRule="atLeast"/>
        </w:trPr>
        <w:tc>
          <w:tcPr>
            <w:tcW w:w="8926"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80" w:lineRule="exact"/>
              <w:rPr>
                <w:rFonts w:ascii="Times New Roman" w:hAnsi="Times New Roman" w:eastAsia="宋体" w:cs="Times New Roman"/>
                <w:szCs w:val="21"/>
              </w:rPr>
            </w:pPr>
            <w:r>
              <w:rPr>
                <w:rFonts w:hint="eastAsia" w:ascii="Times New Roman" w:hAnsi="Times New Roman" w:eastAsia="宋体" w:cs="Times New Roman"/>
                <w:szCs w:val="21"/>
              </w:rPr>
              <w:t>24</w:t>
            </w:r>
            <w:r>
              <w:rPr>
                <w:rFonts w:ascii="Times New Roman" w:hAnsi="Times New Roman" w:eastAsia="宋体" w:cs="Times New Roman"/>
                <w:szCs w:val="21"/>
              </w:rPr>
              <w:t>需要补充的其他内容</w:t>
            </w:r>
          </w:p>
        </w:tc>
      </w:tr>
      <w:tr>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24.1</w:t>
            </w:r>
          </w:p>
        </w:tc>
        <w:tc>
          <w:tcPr>
            <w:tcW w:w="7926"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ind w:firstLine="440" w:firstLineChars="200"/>
              <w:rPr>
                <w:rFonts w:hint="default" w:cs="仿宋_GB2312" w:asciiTheme="minorEastAsia" w:hAnsiTheme="minorEastAsia" w:eastAsiaTheme="minorEastAsia"/>
                <w:sz w:val="22"/>
                <w:szCs w:val="22"/>
                <w:lang w:val="en-US" w:eastAsia="zh-CN"/>
              </w:rPr>
            </w:pPr>
            <w:r>
              <w:rPr>
                <w:rFonts w:hint="eastAsia" w:cs="仿宋_GB2312" w:asciiTheme="minorEastAsia" w:hAnsiTheme="minorEastAsia"/>
                <w:sz w:val="22"/>
                <w:szCs w:val="22"/>
              </w:rPr>
              <w:t>为确保项目文明工地施工，临时设施费、安全文明施工费按规定列入劳务清单报价，按询价人相关规定计提和使用。</w:t>
            </w:r>
            <w:r>
              <w:rPr>
                <w:rFonts w:hint="eastAsia" w:cs="仿宋_GB2312" w:asciiTheme="minorEastAsia" w:hAnsiTheme="minorEastAsia"/>
                <w:sz w:val="22"/>
                <w:szCs w:val="22"/>
                <w:lang w:val="en-US" w:eastAsia="zh-CN"/>
              </w:rPr>
              <w:t>其他费用采购人根据项目实际情况据实结算。</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24.2</w:t>
            </w:r>
          </w:p>
        </w:tc>
        <w:tc>
          <w:tcPr>
            <w:tcW w:w="7926"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ind w:firstLine="440" w:firstLineChars="200"/>
              <w:rPr>
                <w:rFonts w:cs="Times New Roman" w:asciiTheme="minorEastAsia" w:hAnsiTheme="minorEastAsia"/>
                <w:szCs w:val="21"/>
              </w:rPr>
            </w:pPr>
            <w:r>
              <w:rPr>
                <w:rFonts w:hint="eastAsia" w:cs="仿宋_GB2312" w:asciiTheme="minorEastAsia" w:hAnsiTheme="minorEastAsia"/>
                <w:sz w:val="22"/>
                <w:szCs w:val="22"/>
              </w:rPr>
              <w:t>甲供材：甲供材数量以工程量清单数量为准，实际损耗率超出定额损耗率的有响应单位自行承担，应包含在响应报价中。（详见甲供材一览表）</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24.3</w:t>
            </w:r>
          </w:p>
        </w:tc>
        <w:tc>
          <w:tcPr>
            <w:tcW w:w="7926"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ind w:firstLine="440" w:firstLineChars="200"/>
              <w:rPr>
                <w:rFonts w:cs="仿宋_GB2312" w:asciiTheme="minorEastAsia" w:hAnsiTheme="minorEastAsia"/>
                <w:sz w:val="22"/>
                <w:szCs w:val="22"/>
              </w:rPr>
            </w:pPr>
            <w:r>
              <w:rPr>
                <w:rFonts w:hint="eastAsia" w:cs="仿宋_GB2312" w:asciiTheme="minorEastAsia" w:hAnsiTheme="minorEastAsia"/>
                <w:sz w:val="22"/>
                <w:szCs w:val="22"/>
              </w:rPr>
              <w:t>工程量以实际发生量为准，过程计量需配备专职计量人员</w:t>
            </w:r>
          </w:p>
        </w:tc>
      </w:tr>
      <w:tr>
        <w:tblPrEx>
          <w:tblCellMar>
            <w:top w:w="0" w:type="dxa"/>
            <w:left w:w="108" w:type="dxa"/>
            <w:bottom w:w="0" w:type="dxa"/>
            <w:right w:w="108" w:type="dxa"/>
          </w:tblCellMar>
        </w:tblPrEx>
        <w:trPr>
          <w:trHeight w:val="599"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24.4</w:t>
            </w:r>
          </w:p>
        </w:tc>
        <w:tc>
          <w:tcPr>
            <w:tcW w:w="7926" w:type="dxa"/>
            <w:gridSpan w:val="2"/>
            <w:tcBorders>
              <w:top w:val="single" w:color="auto" w:sz="4" w:space="0"/>
              <w:left w:val="single" w:color="auto" w:sz="4" w:space="0"/>
              <w:bottom w:val="single" w:color="auto" w:sz="4" w:space="0"/>
              <w:right w:val="single" w:color="auto" w:sz="4" w:space="0"/>
            </w:tcBorders>
            <w:vAlign w:val="center"/>
          </w:tcPr>
          <w:p>
            <w:pPr>
              <w:pStyle w:val="13"/>
              <w:spacing w:line="360" w:lineRule="auto"/>
              <w:ind w:left="0" w:leftChars="0" w:firstLine="440"/>
              <w:rPr>
                <w:rFonts w:cs="仿宋_GB2312" w:asciiTheme="minorEastAsia" w:hAnsiTheme="minorEastAsia"/>
                <w:sz w:val="22"/>
              </w:rPr>
            </w:pPr>
            <w:r>
              <w:rPr>
                <w:rFonts w:hint="eastAsia" w:cs="仿宋_GB2312" w:asciiTheme="minorEastAsia" w:hAnsiTheme="minorEastAsia"/>
                <w:sz w:val="22"/>
              </w:rPr>
              <w:t>因图纸变更新增子目</w:t>
            </w:r>
            <w:r>
              <w:rPr>
                <w:rFonts w:hint="eastAsia" w:cs="仿宋_GB2312" w:asciiTheme="minorEastAsia" w:hAnsiTheme="minorEastAsia"/>
                <w:sz w:val="22"/>
                <w:lang w:val="en-US" w:eastAsia="zh-CN"/>
              </w:rPr>
              <w:t>原清单</w:t>
            </w:r>
            <w:r>
              <w:rPr>
                <w:rFonts w:hint="eastAsia" w:cs="仿宋_GB2312" w:asciiTheme="minorEastAsia" w:hAnsiTheme="minorEastAsia"/>
                <w:sz w:val="22"/>
              </w:rPr>
              <w:t>无相应子目的，依据安徽省2018年版计价依据组价，按总价降幅比例下浮后结算。</w:t>
            </w:r>
          </w:p>
        </w:tc>
      </w:tr>
      <w:tr>
        <w:tblPrEx>
          <w:tblCellMar>
            <w:top w:w="0" w:type="dxa"/>
            <w:left w:w="108" w:type="dxa"/>
            <w:bottom w:w="0" w:type="dxa"/>
            <w:right w:w="108" w:type="dxa"/>
          </w:tblCellMar>
        </w:tblPrEx>
        <w:trPr>
          <w:trHeight w:val="411"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24.5</w:t>
            </w:r>
          </w:p>
        </w:tc>
        <w:tc>
          <w:tcPr>
            <w:tcW w:w="7926" w:type="dxa"/>
            <w:gridSpan w:val="2"/>
            <w:tcBorders>
              <w:top w:val="single" w:color="auto" w:sz="4" w:space="0"/>
              <w:left w:val="single" w:color="auto" w:sz="4" w:space="0"/>
              <w:bottom w:val="single" w:color="auto" w:sz="4" w:space="0"/>
              <w:right w:val="single" w:color="auto" w:sz="4" w:space="0"/>
            </w:tcBorders>
            <w:vAlign w:val="center"/>
          </w:tcPr>
          <w:p>
            <w:pPr>
              <w:pStyle w:val="13"/>
              <w:ind w:left="0" w:leftChars="0" w:firstLine="440"/>
              <w:rPr>
                <w:rFonts w:cs="仿宋_GB2312" w:asciiTheme="minorEastAsia" w:hAnsiTheme="minorEastAsia"/>
                <w:sz w:val="22"/>
              </w:rPr>
            </w:pPr>
            <w:r>
              <w:rPr>
                <w:rFonts w:hint="eastAsia" w:cs="仿宋_GB2312" w:asciiTheme="minorEastAsia" w:hAnsiTheme="minorEastAsia"/>
                <w:sz w:val="22"/>
              </w:rPr>
              <w:t>中标单位需提供满足设计、清单及采购人要求的样品</w:t>
            </w:r>
          </w:p>
        </w:tc>
      </w:tr>
      <w:tr>
        <w:tblPrEx>
          <w:tblCellMar>
            <w:top w:w="0" w:type="dxa"/>
            <w:left w:w="108" w:type="dxa"/>
            <w:bottom w:w="0" w:type="dxa"/>
            <w:right w:w="108" w:type="dxa"/>
          </w:tblCellMar>
        </w:tblPrEx>
        <w:trPr>
          <w:trHeight w:val="1892"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24.6</w:t>
            </w:r>
          </w:p>
        </w:tc>
        <w:tc>
          <w:tcPr>
            <w:tcW w:w="7926"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ind w:firstLine="440" w:firstLineChars="200"/>
              <w:jc w:val="left"/>
              <w:rPr>
                <w:rFonts w:cs="仿宋_GB2312" w:asciiTheme="minorEastAsia" w:hAnsiTheme="minorEastAsia"/>
                <w:sz w:val="22"/>
                <w:szCs w:val="22"/>
              </w:rPr>
            </w:pPr>
            <w:r>
              <w:rPr>
                <w:rFonts w:hint="eastAsia" w:cs="仿宋_GB2312" w:asciiTheme="minorEastAsia" w:hAnsiTheme="minorEastAsia"/>
                <w:sz w:val="22"/>
                <w:szCs w:val="22"/>
              </w:rPr>
              <w:t>劳务单位需配备的管理人员须到岗持证履职，且不得随意更换，中标后管理人员若不能满足公司要求或不服从管理须无条件更换；劳务单位进场施工班组须为熟练专业的劳务工人，若为当地临时招聘组建的班组，经工集团直接取消劳务单位中标资格并做清库处理；</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24.7</w:t>
            </w:r>
          </w:p>
        </w:tc>
        <w:tc>
          <w:tcPr>
            <w:tcW w:w="7926"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jc w:val="left"/>
              <w:rPr>
                <w:rFonts w:hint="default" w:cs="仿宋_GB2312" w:asciiTheme="minorEastAsia" w:hAnsiTheme="minorEastAsia" w:eastAsiaTheme="minorEastAsia"/>
                <w:sz w:val="22"/>
                <w:szCs w:val="22"/>
                <w:lang w:val="en-US" w:eastAsia="zh-CN"/>
              </w:rPr>
            </w:pPr>
            <w:r>
              <w:rPr>
                <w:rFonts w:hint="eastAsia" w:cs="仿宋_GB2312" w:asciiTheme="minorEastAsia" w:hAnsiTheme="minorEastAsia"/>
                <w:sz w:val="22"/>
                <w:szCs w:val="22"/>
                <w:highlight w:val="yellow"/>
                <w:lang w:val="en-US" w:eastAsia="zh-CN"/>
              </w:rPr>
              <w:t>技术文件与报价文件分别单独密封</w:t>
            </w:r>
          </w:p>
        </w:tc>
      </w:tr>
    </w:tbl>
    <w:p>
      <w:r>
        <w:rPr>
          <w:rFonts w:hint="eastAsia" w:ascii="Times New Roman" w:hAnsi="Times New Roman" w:cs="Times New Roman"/>
          <w:szCs w:val="21"/>
        </w:rPr>
        <w:t>注：供应商须知正文</w:t>
      </w:r>
      <w:r>
        <w:rPr>
          <w:rFonts w:ascii="Times New Roman" w:hAnsi="Times New Roman" w:cs="Times New Roman"/>
          <w:szCs w:val="21"/>
        </w:rPr>
        <w:t>与前附表</w:t>
      </w:r>
      <w:r>
        <w:rPr>
          <w:rFonts w:hint="eastAsia" w:ascii="Times New Roman" w:hAnsi="Times New Roman" w:cs="Times New Roman"/>
          <w:szCs w:val="21"/>
        </w:rPr>
        <w:t>内容</w:t>
      </w:r>
      <w:r>
        <w:rPr>
          <w:rFonts w:ascii="Times New Roman" w:hAnsi="Times New Roman" w:cs="Times New Roman"/>
          <w:szCs w:val="21"/>
        </w:rPr>
        <w:t>不一致</w:t>
      </w:r>
      <w:r>
        <w:rPr>
          <w:rFonts w:hint="eastAsia" w:ascii="Times New Roman" w:hAnsi="Times New Roman" w:cs="Times New Roman"/>
          <w:szCs w:val="21"/>
        </w:rPr>
        <w:t>时</w:t>
      </w:r>
      <w:r>
        <w:rPr>
          <w:rFonts w:ascii="Times New Roman" w:hAnsi="Times New Roman" w:cs="Times New Roman"/>
          <w:szCs w:val="21"/>
        </w:rPr>
        <w:t>，以供应商</w:t>
      </w:r>
      <w:r>
        <w:rPr>
          <w:rFonts w:hint="eastAsia" w:ascii="Times New Roman" w:hAnsi="Times New Roman" w:cs="Times New Roman"/>
          <w:szCs w:val="21"/>
        </w:rPr>
        <w:t>须知</w:t>
      </w:r>
      <w:r>
        <w:rPr>
          <w:rFonts w:ascii="Times New Roman" w:hAnsi="Times New Roman" w:cs="Times New Roman"/>
          <w:szCs w:val="21"/>
        </w:rPr>
        <w:t>前附表</w:t>
      </w:r>
      <w:r>
        <w:rPr>
          <w:rFonts w:hint="eastAsia" w:ascii="Times New Roman" w:hAnsi="Times New Roman" w:cs="Times New Roman"/>
          <w:szCs w:val="21"/>
        </w:rPr>
        <w:t>的</w:t>
      </w:r>
      <w:r>
        <w:rPr>
          <w:rFonts w:ascii="Times New Roman" w:hAnsi="Times New Roman" w:cs="Times New Roman"/>
          <w:szCs w:val="21"/>
        </w:rPr>
        <w:t>内容为准</w:t>
      </w:r>
      <w:r>
        <w:rPr>
          <w:rFonts w:hint="eastAsia" w:ascii="Times New Roman" w:hAnsi="Times New Roman" w:cs="Times New Roman"/>
          <w:szCs w:val="21"/>
        </w:rPr>
        <w:t>。</w:t>
      </w:r>
    </w:p>
    <w:p>
      <w:pPr>
        <w:rPr>
          <w:rFonts w:ascii="Times New Roman" w:hAnsi="Times New Roman" w:eastAsia="黑体" w:cs="Times New Roman"/>
          <w:bCs/>
          <w:sz w:val="24"/>
          <w:szCs w:val="32"/>
        </w:rPr>
      </w:pPr>
      <w:bookmarkStart w:id="48" w:name="_Toc9067720"/>
      <w:bookmarkStart w:id="49" w:name="_Toc14201207"/>
      <w:bookmarkStart w:id="50" w:name="_Toc26656938"/>
      <w:r>
        <w:rPr>
          <w:rFonts w:ascii="Times New Roman" w:hAnsi="Times New Roman" w:eastAsia="黑体" w:cs="Times New Roman"/>
          <w:bCs/>
          <w:sz w:val="24"/>
          <w:szCs w:val="32"/>
        </w:rPr>
        <w:br w:type="page"/>
      </w:r>
      <w:r>
        <w:rPr>
          <w:rFonts w:ascii="Times New Roman" w:hAnsi="Times New Roman" w:eastAsia="黑体" w:cs="Times New Roman"/>
          <w:bCs/>
          <w:sz w:val="24"/>
          <w:szCs w:val="32"/>
        </w:rPr>
        <w:t>1. 总则</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pPr>
        <w:spacing w:line="440" w:lineRule="exact"/>
        <w:ind w:firstLine="420"/>
        <w:rPr>
          <w:rFonts w:ascii="Times New Roman" w:hAnsi="Times New Roman" w:cs="Times New Roman"/>
          <w:szCs w:val="21"/>
        </w:rPr>
      </w:pPr>
      <w:r>
        <w:rPr>
          <w:rFonts w:ascii="Times New Roman" w:hAnsi="Times New Roman" w:cs="Times New Roman"/>
          <w:szCs w:val="21"/>
        </w:rPr>
        <w:t>本合同包的质量要求：</w:t>
      </w:r>
      <w:r>
        <w:rPr>
          <w:rFonts w:hint="eastAsia" w:ascii="Times New Roman" w:hAnsi="Times New Roman" w:cs="Times New Roman"/>
          <w:szCs w:val="21"/>
        </w:rPr>
        <w:t>见供应商须知前附表。</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 xml:space="preserve"> 供应商资格要求</w:t>
      </w:r>
    </w:p>
    <w:p>
      <w:pPr>
        <w:spacing w:line="440" w:lineRule="exact"/>
        <w:ind w:firstLine="42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w:t>
      </w:r>
      <w:r>
        <w:rPr>
          <w:rFonts w:hint="eastAsia" w:ascii="Times New Roman" w:hAnsi="Times New Roman" w:cs="Times New Roman"/>
          <w:szCs w:val="21"/>
        </w:rPr>
        <w:t xml:space="preserve"> </w:t>
      </w:r>
      <w:r>
        <w:rPr>
          <w:rFonts w:ascii="Times New Roman" w:hAnsi="Times New Roman" w:cs="Times New Roman"/>
          <w:szCs w:val="21"/>
        </w:rPr>
        <w:t xml:space="preserve">供应商应具备承担本合同包施工的资质条件、能力和信誉：见第一章 </w:t>
      </w:r>
      <w:r>
        <w:rPr>
          <w:rFonts w:hint="eastAsia" w:ascii="Times New Roman" w:hAnsi="Times New Roman" w:cs="Times New Roman"/>
          <w:szCs w:val="21"/>
        </w:rPr>
        <w:t>采购公告第3.1款要求</w:t>
      </w:r>
      <w:r>
        <w:rPr>
          <w:rFonts w:ascii="Times New Roman" w:hAnsi="Times New Roman" w:cs="Times New Roman"/>
          <w:szCs w:val="21"/>
        </w:rPr>
        <w:t>。</w:t>
      </w:r>
    </w:p>
    <w:p>
      <w:pPr>
        <w:spacing w:line="440" w:lineRule="exact"/>
        <w:ind w:firstLine="42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 xml:space="preserve"> 其他</w:t>
      </w:r>
      <w:r>
        <w:rPr>
          <w:rFonts w:hint="eastAsia" w:ascii="Times New Roman" w:hAnsi="Times New Roman" w:cs="Times New Roman"/>
          <w:szCs w:val="21"/>
        </w:rPr>
        <w:t>要求：见供应商须知前附表</w:t>
      </w:r>
      <w:r>
        <w:rPr>
          <w:rFonts w:ascii="Times New Roman" w:hAnsi="Times New Roman" w:cs="Times New Roman"/>
          <w:szCs w:val="21"/>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 xml:space="preserve"> 费用承担</w:t>
      </w:r>
    </w:p>
    <w:p>
      <w:pPr>
        <w:spacing w:line="440" w:lineRule="exact"/>
        <w:ind w:firstLine="420"/>
        <w:rPr>
          <w:rFonts w:ascii="Times New Roman" w:hAnsi="Times New Roman" w:cs="Times New Roman"/>
        </w:rPr>
      </w:pPr>
      <w:r>
        <w:rPr>
          <w:rFonts w:ascii="Times New Roman" w:hAnsi="Times New Roman" w:cs="Times New Roman"/>
          <w:szCs w:val="21"/>
        </w:rPr>
        <w:t>供应商</w:t>
      </w:r>
      <w:r>
        <w:rPr>
          <w:rFonts w:ascii="Times New Roman" w:hAnsi="Times New Roman" w:cs="Times New Roman"/>
        </w:rPr>
        <w:t>准备和参加询比活动发生的费用自理。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 xml:space="preserve"> 保密</w:t>
      </w:r>
    </w:p>
    <w:p>
      <w:pPr>
        <w:spacing w:line="440" w:lineRule="exact"/>
        <w:ind w:firstLine="420"/>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 xml:space="preserve"> 计量单位</w:t>
      </w:r>
    </w:p>
    <w:p>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 xml:space="preserve"> 踏勘现场</w:t>
      </w:r>
    </w:p>
    <w:p>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 xml:space="preserve"> 分包</w:t>
      </w:r>
    </w:p>
    <w:p>
      <w:pPr>
        <w:spacing w:line="440" w:lineRule="exact"/>
        <w:ind w:firstLine="420"/>
        <w:rPr>
          <w:rFonts w:ascii="Times New Roman" w:hAnsi="Times New Roman" w:cs="Times New Roman"/>
        </w:rPr>
      </w:pPr>
      <w:r>
        <w:rPr>
          <w:rFonts w:hint="eastAsia" w:ascii="Times New Roman" w:hAnsi="Times New Roman" w:cs="Times New Roman"/>
        </w:rPr>
        <w:t xml:space="preserve">不允许分包。        </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 xml:space="preserve"> 偏</w:t>
      </w:r>
      <w:r>
        <w:rPr>
          <w:rFonts w:hint="eastAsia" w:ascii="Times New Roman" w:hAnsi="Times New Roman" w:eastAsia="黑体" w:cs="Times New Roman"/>
          <w:bCs/>
          <w:sz w:val="24"/>
          <w:szCs w:val="32"/>
        </w:rPr>
        <w:t>差</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偏差包括重大偏差和细微偏差。</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响应文件存在第三章“评审办法”中所列任一否决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pPr>
        <w:spacing w:line="440" w:lineRule="exact"/>
        <w:ind w:firstLine="420"/>
        <w:rPr>
          <w:rFonts w:ascii="Times New Roman" w:hAnsi="Times New Roman" w:cs="Times New Roman"/>
        </w:rPr>
      </w:pPr>
      <w:r>
        <w:rPr>
          <w:rFonts w:ascii="Times New Roman" w:hAnsi="Times New Roman" w:cs="Times New Roman"/>
        </w:rPr>
        <w:t>本询比文件包括：</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采购公告</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（2）供应商须知；</w:t>
      </w:r>
    </w:p>
    <w:p>
      <w:pPr>
        <w:spacing w:line="440" w:lineRule="exact"/>
        <w:ind w:firstLine="420"/>
        <w:rPr>
          <w:rFonts w:ascii="Times New Roman" w:hAnsi="Times New Roman" w:cs="Times New Roman"/>
        </w:rPr>
      </w:pPr>
      <w:r>
        <w:rPr>
          <w:rFonts w:ascii="Times New Roman" w:hAnsi="Times New Roman" w:cs="Times New Roman"/>
        </w:rPr>
        <w:t>（3）评审办法；</w:t>
      </w:r>
    </w:p>
    <w:p>
      <w:pPr>
        <w:spacing w:line="440" w:lineRule="exact"/>
        <w:ind w:firstLine="420"/>
        <w:rPr>
          <w:rFonts w:ascii="Times New Roman" w:hAnsi="Times New Roman" w:cs="Times New Roman"/>
        </w:rPr>
      </w:pPr>
      <w:r>
        <w:rPr>
          <w:rFonts w:ascii="Times New Roman" w:hAnsi="Times New Roman" w:cs="Times New Roman"/>
        </w:rPr>
        <w:t>（4）合同条款及格式；</w:t>
      </w:r>
    </w:p>
    <w:p>
      <w:pPr>
        <w:spacing w:line="440" w:lineRule="exact"/>
        <w:ind w:firstLine="420"/>
        <w:rPr>
          <w:rFonts w:ascii="Times New Roman" w:hAnsi="Times New Roman" w:cs="Times New Roman"/>
        </w:rPr>
      </w:pPr>
      <w:r>
        <w:rPr>
          <w:rFonts w:ascii="Times New Roman" w:hAnsi="Times New Roman" w:cs="Times New Roman"/>
        </w:rPr>
        <w:t>（5）采购需求及清单；</w:t>
      </w:r>
    </w:p>
    <w:p>
      <w:pPr>
        <w:spacing w:line="440" w:lineRule="exact"/>
        <w:ind w:firstLine="420"/>
        <w:rPr>
          <w:rFonts w:ascii="Times New Roman" w:hAnsi="Times New Roman" w:cs="Times New Roman"/>
        </w:rPr>
      </w:pPr>
      <w:r>
        <w:rPr>
          <w:rFonts w:ascii="Times New Roman" w:hAnsi="Times New Roman" w:cs="Times New Roman"/>
        </w:rPr>
        <w:t>（6）响应文件格式</w:t>
      </w:r>
      <w:r>
        <w:rPr>
          <w:rFonts w:hint="eastAsia"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pPr>
        <w:spacing w:line="440" w:lineRule="exact"/>
        <w:ind w:firstLine="420"/>
        <w:rPr>
          <w:rFonts w:ascii="Times New Roman" w:hAnsi="Times New Roman" w:cs="Times New Roman"/>
        </w:rPr>
      </w:pPr>
      <w:r>
        <w:rPr>
          <w:rFonts w:ascii="Times New Roman" w:hAnsi="Times New Roman" w:cs="Times New Roman"/>
        </w:rPr>
        <w:t>2.2.1</w:t>
      </w:r>
      <w:r>
        <w:rPr>
          <w:rFonts w:hint="eastAsia" w:ascii="Times New Roman" w:hAnsi="Times New Roman" w:cs="Times New Roman"/>
        </w:rPr>
        <w:t xml:space="preserve"> </w:t>
      </w:r>
      <w:r>
        <w:rPr>
          <w:rFonts w:ascii="Times New Roman" w:hAnsi="Times New Roman" w:cs="Times New Roman"/>
        </w:rPr>
        <w:t>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通过安徽交控采购采购平台</w:t>
      </w:r>
      <w:r>
        <w:rPr>
          <w:rFonts w:ascii="Times New Roman" w:hAnsi="Times New Roman" w:cs="Times New Roman"/>
        </w:rPr>
        <w:t>要求采购人对询比文件予以澄清</w:t>
      </w:r>
      <w:r>
        <w:rPr>
          <w:rFonts w:hint="eastAsia" w:ascii="Times New Roman" w:hAnsi="Times New Roman" w:cs="Times New Roman"/>
        </w:rPr>
        <w:t>或修改</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 xml:space="preserve"> 除非采购人认为确有必要答复，否则，采购人有权拒绝回复供应商在本章第</w:t>
      </w:r>
      <w:r>
        <w:rPr>
          <w:rFonts w:hint="eastAsia" w:ascii="Times New Roman" w:hAnsi="Times New Roman" w:cs="Times New Roman"/>
        </w:rPr>
        <w:t>16</w:t>
      </w:r>
      <w:r>
        <w:rPr>
          <w:rFonts w:ascii="Times New Roman" w:hAnsi="Times New Roman" w:cs="Times New Roman"/>
        </w:rPr>
        <w:t>项规定的时间后提出的任何澄清</w:t>
      </w:r>
      <w:r>
        <w:rPr>
          <w:rFonts w:hint="eastAsia" w:ascii="Times New Roman" w:hAnsi="Times New Roman" w:cs="Times New Roman"/>
        </w:rPr>
        <w:t>或修改</w:t>
      </w:r>
      <w:r>
        <w:rPr>
          <w:rFonts w:ascii="Times New Roman" w:hAnsi="Times New Roman" w:cs="Times New Roman"/>
        </w:rPr>
        <w:t>要求。</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pPr>
        <w:spacing w:line="440" w:lineRule="exact"/>
        <w:ind w:firstLine="420"/>
        <w:rPr>
          <w:rFonts w:ascii="Times New Roman" w:hAnsi="Times New Roman" w:cs="Times New Roman"/>
        </w:rPr>
      </w:pPr>
      <w:r>
        <w:rPr>
          <w:rFonts w:ascii="Times New Roman" w:hAnsi="Times New Roman" w:cs="Times New Roman"/>
        </w:rPr>
        <w:t>响应文件应包括下列内容：</w:t>
      </w:r>
    </w:p>
    <w:p>
      <w:pPr>
        <w:spacing w:line="440" w:lineRule="exact"/>
        <w:ind w:firstLine="42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报价函</w:t>
      </w:r>
      <w:r>
        <w:rPr>
          <w:rFonts w:hint="eastAsia" w:ascii="Times New Roman" w:hAnsi="Times New Roman" w:cs="Times New Roman"/>
        </w:rPr>
        <w:t>；</w:t>
      </w:r>
    </w:p>
    <w:p>
      <w:pPr>
        <w:spacing w:line="440" w:lineRule="exact"/>
        <w:ind w:firstLine="42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法定代表人身份证明及授权委托书</w:t>
      </w:r>
      <w:r>
        <w:rPr>
          <w:rFonts w:hint="eastAsia" w:ascii="Times New Roman" w:hAnsi="Times New Roman" w:cs="Times New Roman"/>
        </w:rPr>
        <w:t>；</w:t>
      </w:r>
    </w:p>
    <w:p>
      <w:pPr>
        <w:spacing w:line="440" w:lineRule="exact"/>
        <w:ind w:firstLine="42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已标价的</w:t>
      </w:r>
      <w:r>
        <w:rPr>
          <w:rFonts w:hint="eastAsia" w:ascii="Times New Roman" w:hAnsi="Times New Roman" w:cs="Times New Roman"/>
        </w:rPr>
        <w:t>工程量</w:t>
      </w:r>
      <w:r>
        <w:rPr>
          <w:rFonts w:ascii="Times New Roman" w:hAnsi="Times New Roman" w:cs="Times New Roman"/>
        </w:rPr>
        <w:t>清单</w:t>
      </w:r>
      <w:r>
        <w:rPr>
          <w:rFonts w:hint="eastAsia" w:ascii="Times New Roman" w:hAnsi="Times New Roman" w:cs="Times New Roman"/>
        </w:rPr>
        <w:t>；</w:t>
      </w:r>
    </w:p>
    <w:p>
      <w:pPr>
        <w:spacing w:line="440" w:lineRule="exact"/>
        <w:ind w:firstLine="42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供应商基本情况</w:t>
      </w:r>
      <w:r>
        <w:rPr>
          <w:rFonts w:hint="eastAsia" w:ascii="Times New Roman" w:hAnsi="Times New Roman" w:cs="Times New Roman"/>
        </w:rPr>
        <w:t>；</w:t>
      </w:r>
    </w:p>
    <w:p>
      <w:pPr>
        <w:spacing w:line="440" w:lineRule="exact"/>
        <w:ind w:firstLine="420"/>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拟委任的主要人员</w:t>
      </w:r>
      <w:r>
        <w:rPr>
          <w:rFonts w:hint="eastAsia" w:ascii="Times New Roman" w:hAnsi="Times New Roman" w:cs="Times New Roman"/>
        </w:rPr>
        <w:t>；</w:t>
      </w:r>
    </w:p>
    <w:p>
      <w:pPr>
        <w:spacing w:line="440" w:lineRule="exact"/>
        <w:ind w:firstLine="420"/>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信誉情况</w:t>
      </w:r>
      <w:r>
        <w:rPr>
          <w:rFonts w:hint="eastAsia" w:ascii="Times New Roman" w:hAnsi="Times New Roman" w:cs="Times New Roman"/>
        </w:rPr>
        <w:t>；</w:t>
      </w:r>
    </w:p>
    <w:p>
      <w:pPr>
        <w:spacing w:line="440" w:lineRule="exact"/>
        <w:ind w:firstLine="420"/>
        <w:rPr>
          <w:rFonts w:ascii="Times New Roman" w:hAnsi="Times New Roman" w:cs="Times New Roman"/>
        </w:rPr>
      </w:pPr>
      <w:r>
        <w:rPr>
          <w:rFonts w:hint="eastAsia" w:ascii="Times New Roman" w:hAnsi="Times New Roman" w:cs="Times New Roman"/>
        </w:rPr>
        <w:t>（7）施工组织设计；</w:t>
      </w:r>
    </w:p>
    <w:p>
      <w:pPr>
        <w:spacing w:line="440" w:lineRule="exact"/>
        <w:ind w:firstLine="420"/>
        <w:rPr>
          <w:rFonts w:ascii="Times New Roman" w:hAnsi="Times New Roman" w:cs="Times New Roman"/>
        </w:rPr>
      </w:pPr>
      <w:r>
        <w:rPr>
          <w:rFonts w:hint="eastAsia" w:ascii="Times New Roman" w:hAnsi="Times New Roman" w:cs="Times New Roman"/>
        </w:rPr>
        <w:t>（8）</w:t>
      </w:r>
      <w:r>
        <w:rPr>
          <w:rFonts w:ascii="Times New Roman" w:hAnsi="Times New Roman" w:cs="Times New Roman"/>
        </w:rPr>
        <w:t>其他材料</w:t>
      </w:r>
      <w:r>
        <w:rPr>
          <w:rFonts w:hint="eastAsia"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3.2 报价要求 </w:t>
      </w:r>
    </w:p>
    <w:p>
      <w:pPr>
        <w:spacing w:line="440" w:lineRule="exact"/>
        <w:ind w:firstLine="420"/>
        <w:rPr>
          <w:rFonts w:ascii="Times New Roman" w:hAnsi="Times New Roman" w:cs="Times New Roman"/>
        </w:rPr>
      </w:pPr>
      <w:r>
        <w:rPr>
          <w:rFonts w:ascii="Times New Roman" w:hAnsi="Times New Roman" w:cs="Times New Roman"/>
        </w:rPr>
        <w:t>3.2.1 报价应包括国家规定的增值税税金。</w:t>
      </w:r>
    </w:p>
    <w:p>
      <w:pPr>
        <w:spacing w:line="440" w:lineRule="exact"/>
        <w:ind w:firstLine="420"/>
        <w:rPr>
          <w:rFonts w:ascii="Times New Roman" w:hAnsi="Times New Roman" w:cs="Times New Roma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供应商应按第六章“响应文件格式”的要求在报价函中进行报价并填写工程量清单相应表格。</w:t>
      </w:r>
    </w:p>
    <w:p>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 xml:space="preserve"> 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hint="eastAsia" w:ascii="Times New Roman" w:hAnsi="Times New Roman" w:cs="Times New Roman"/>
        </w:rPr>
        <w:t>第2.3款</w:t>
      </w:r>
      <w:r>
        <w:rPr>
          <w:rFonts w:ascii="Times New Roman" w:hAnsi="Times New Roman" w:cs="Times New Roman"/>
        </w:rPr>
        <w:t>。</w:t>
      </w:r>
    </w:p>
    <w:p>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（单价）</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 xml:space="preserve"> 报价的其他要求</w:t>
      </w:r>
      <w:r>
        <w:rPr>
          <w:rFonts w:hint="eastAsia" w:ascii="Times New Roman" w:hAnsi="Times New Roman" w:cs="Times New Roman"/>
        </w:rPr>
        <w:t>：</w:t>
      </w:r>
      <w:r>
        <w:rPr>
          <w:rFonts w:hint="eastAsia" w:ascii="Times New Roman" w:hAnsi="Times New Roman" w:cs="Times New Roman"/>
          <w:szCs w:val="21"/>
        </w:rPr>
        <w:t>见供应商须知前附表</w:t>
      </w:r>
      <w:r>
        <w:rPr>
          <w:rFonts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pPr>
        <w:keepNext/>
        <w:keepLines/>
        <w:spacing w:before="120" w:after="120" w:line="415" w:lineRule="auto"/>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3.4响应保证金</w:t>
      </w:r>
    </w:p>
    <w:p>
      <w:pPr>
        <w:spacing w:line="440" w:lineRule="exact"/>
        <w:ind w:firstLine="420"/>
        <w:rPr>
          <w:rFonts w:ascii="Times New Roman" w:hAnsi="Times New Roman"/>
        </w:rPr>
      </w:pPr>
      <w:r>
        <w:rPr>
          <w:rFonts w:ascii="Times New Roman" w:hAnsi="Times New Roman" w:cs="Times New Roman"/>
        </w:rPr>
        <w:t>3.4.1 供应商在递交响应文件的同时，应按</w:t>
      </w:r>
      <w:r>
        <w:rPr>
          <w:rFonts w:hint="eastAsia" w:ascii="Times New Roman" w:hAnsi="Times New Roman" w:cs="Times New Roman"/>
        </w:rPr>
        <w:t>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rPr>
        <w:t>第7条的要求</w:t>
      </w:r>
      <w:r>
        <w:rPr>
          <w:rFonts w:ascii="Times New Roman" w:hAnsi="Times New Roman" w:cs="Times New Roman"/>
        </w:rPr>
        <w:t>递交响应保证金，并作为其响应文件的组成部分。</w:t>
      </w:r>
    </w:p>
    <w:p>
      <w:pPr>
        <w:spacing w:line="440" w:lineRule="exact"/>
        <w:ind w:firstLine="420"/>
        <w:rPr>
          <w:rFonts w:ascii="Times New Roman" w:hAnsi="Times New Roman" w:cs="Times New Roman"/>
        </w:rPr>
      </w:pPr>
      <w:r>
        <w:rPr>
          <w:rFonts w:ascii="Times New Roman" w:hAnsi="Times New Roman" w:cs="Times New Roman"/>
        </w:rPr>
        <w:t>无论采取何种形式的响应保证金，响应保证金有效期均应与响应有效期一致。</w:t>
      </w:r>
    </w:p>
    <w:p>
      <w:pPr>
        <w:spacing w:line="440" w:lineRule="exact"/>
        <w:ind w:firstLine="420"/>
        <w:rPr>
          <w:rFonts w:ascii="Times New Roman" w:hAnsi="Times New Roman" w:cs="Times New Roman"/>
        </w:rPr>
      </w:pPr>
      <w:r>
        <w:rPr>
          <w:rFonts w:ascii="Times New Roman" w:hAnsi="Times New Roman" w:cs="Times New Roman"/>
        </w:rPr>
        <w:t>3.4.2 供应商不按本章第</w:t>
      </w:r>
      <w:r>
        <w:rPr>
          <w:rFonts w:hint="eastAsia" w:ascii="Times New Roman" w:hAnsi="Times New Roman" w:cs="Times New Roman"/>
        </w:rPr>
        <w:t>14</w:t>
      </w:r>
      <w:r>
        <w:rPr>
          <w:rFonts w:ascii="Times New Roman" w:hAnsi="Times New Roman" w:cs="Times New Roman"/>
        </w:rPr>
        <w:t>项要求提交响应保证金的，</w:t>
      </w:r>
      <w:r>
        <w:rPr>
          <w:rFonts w:hint="eastAsia" w:ascii="Times New Roman" w:hAnsi="Times New Roman" w:cs="Times New Roman"/>
        </w:rPr>
        <w:t>评审小组</w:t>
      </w:r>
      <w:r>
        <w:rPr>
          <w:rFonts w:ascii="Times New Roman" w:hAnsi="Times New Roman" w:cs="Times New Roman"/>
        </w:rPr>
        <w:t>将否决其</w:t>
      </w:r>
      <w:r>
        <w:rPr>
          <w:rFonts w:hint="eastAsia" w:ascii="Times New Roman" w:hAnsi="Times New Roman" w:cs="Times New Roman"/>
        </w:rPr>
        <w:t>响应文件</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3.4.3 采购人在与成交人签订合同后5日内办理退还响应保证金手续。</w:t>
      </w:r>
    </w:p>
    <w:p>
      <w:pPr>
        <w:spacing w:line="440" w:lineRule="exact"/>
        <w:ind w:firstLine="420"/>
        <w:rPr>
          <w:rFonts w:ascii="Times New Roman" w:hAnsi="Times New Roman" w:cs="Times New Roman"/>
        </w:rPr>
      </w:pPr>
      <w:r>
        <w:rPr>
          <w:rFonts w:ascii="Times New Roman" w:hAnsi="Times New Roman" w:cs="Times New Roman"/>
        </w:rPr>
        <w:t>3.4.4 有下列情形之一的，响应保证金将不予退还：</w:t>
      </w:r>
    </w:p>
    <w:p>
      <w:pPr>
        <w:spacing w:line="440" w:lineRule="exact"/>
        <w:ind w:firstLine="420"/>
        <w:rPr>
          <w:rFonts w:ascii="Times New Roman" w:hAnsi="Times New Roman" w:cs="Times New Roman"/>
        </w:rPr>
      </w:pPr>
      <w:r>
        <w:rPr>
          <w:rFonts w:ascii="Times New Roman" w:hAnsi="Times New Roman" w:cs="Times New Roman"/>
        </w:rPr>
        <w:t>（1）供应商在规定的响应有效期内撤销其响应文件；</w:t>
      </w:r>
    </w:p>
    <w:p>
      <w:pPr>
        <w:spacing w:line="440" w:lineRule="exact"/>
        <w:ind w:firstLine="420"/>
        <w:rPr>
          <w:rFonts w:ascii="Times New Roman" w:hAnsi="Times New Roman" w:cs="Times New Roman"/>
        </w:rPr>
      </w:pPr>
      <w:r>
        <w:rPr>
          <w:rFonts w:ascii="Times New Roman" w:hAnsi="Times New Roman" w:cs="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szCs w:val="21"/>
        </w:rPr>
        <w:t>供应商须知前附表规定的</w:t>
      </w:r>
      <w:r>
        <w:rPr>
          <w:rFonts w:ascii="Times New Roman" w:hAnsi="Times New Roman" w:cs="Times New Roman"/>
          <w:szCs w:val="21"/>
        </w:rPr>
        <w:t>其他情形</w:t>
      </w:r>
      <w:r>
        <w:rPr>
          <w:rFonts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3.5资格审查资料</w:t>
      </w:r>
    </w:p>
    <w:p>
      <w:pPr>
        <w:spacing w:line="440" w:lineRule="exact"/>
        <w:ind w:firstLine="420"/>
        <w:rPr>
          <w:rFonts w:ascii="Times New Roman" w:hAnsi="Times New Roman" w:cs="Times New Roman"/>
        </w:rPr>
      </w:pPr>
      <w:r>
        <w:rPr>
          <w:rFonts w:ascii="Times New Roman" w:hAnsi="Times New Roman" w:cs="Times New Roman"/>
        </w:rPr>
        <w:t>供应商应按第六章“响应文件格式”</w:t>
      </w:r>
      <w:r>
        <w:rPr>
          <w:rFonts w:hint="eastAsia" w:ascii="Times New Roman" w:hAnsi="Times New Roman" w:cs="Times New Roman"/>
        </w:rPr>
        <w:t>的</w:t>
      </w:r>
      <w:r>
        <w:rPr>
          <w:rFonts w:ascii="Times New Roman" w:hAnsi="Times New Roman" w:cs="Times New Roman"/>
        </w:rPr>
        <w:t>规定提供资格审查资料，以证明其满足本章第1.</w:t>
      </w:r>
      <w:r>
        <w:rPr>
          <w:rFonts w:hint="eastAsia" w:ascii="Times New Roman" w:hAnsi="Times New Roman" w:cs="Times New Roman"/>
        </w:rPr>
        <w:t>2</w:t>
      </w:r>
      <w:r>
        <w:rPr>
          <w:rFonts w:ascii="Times New Roman" w:hAnsi="Times New Roman" w:cs="Times New Roman"/>
        </w:rPr>
        <w:t>款规定的资质、</w:t>
      </w:r>
      <w:r>
        <w:rPr>
          <w:rFonts w:hint="eastAsia" w:ascii="Times New Roman" w:hAnsi="Times New Roman" w:cs="Times New Roman"/>
        </w:rPr>
        <w:t>能力、</w:t>
      </w:r>
      <w:r>
        <w:rPr>
          <w:rFonts w:ascii="Times New Roman" w:hAnsi="Times New Roman" w:cs="Times New Roman"/>
        </w:rPr>
        <w:t>信誉等要求。</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响应文件的编制</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响应文件应按第六章“响应文件格式”进行编写，如有必要，可以增加附页，作为响应文件的组成部分。</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.2 响应文件应当对询比文件有关工期、响应有效期、质量要求、技术标准和要求、</w:t>
      </w:r>
      <w:r>
        <w:rPr>
          <w:rFonts w:hint="eastAsia" w:ascii="Times New Roman" w:hAnsi="Times New Roman" w:cs="Times New Roman"/>
        </w:rPr>
        <w:t>采购范围</w:t>
      </w:r>
      <w:r>
        <w:rPr>
          <w:rFonts w:ascii="Times New Roman" w:hAnsi="Times New Roman" w:cs="Times New Roman"/>
        </w:rPr>
        <w:t>等实质性内容作出响应。</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.3响应文件的制作应满足以下规定：</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响应</w:t>
      </w:r>
      <w:r>
        <w:rPr>
          <w:rFonts w:ascii="Times New Roman" w:hAnsi="Times New Roman" w:cs="Times New Roman"/>
        </w:rPr>
        <w:t>文件应用不褪色的材料书写或打印，并按第六章“</w:t>
      </w:r>
      <w:r>
        <w:rPr>
          <w:rFonts w:hint="eastAsia" w:ascii="Times New Roman" w:hAnsi="Times New Roman" w:cs="Times New Roman"/>
        </w:rPr>
        <w:t>响应文件</w:t>
      </w:r>
      <w:r>
        <w:rPr>
          <w:rFonts w:ascii="Times New Roman" w:hAnsi="Times New Roman" w:cs="Times New Roman"/>
        </w:rPr>
        <w:t>格式”的要求进行</w:t>
      </w:r>
      <w:r>
        <w:rPr>
          <w:rFonts w:hint="eastAsia" w:ascii="Times New Roman" w:hAnsi="Times New Roman" w:cs="Times New Roman"/>
        </w:rPr>
        <w:t>签名</w:t>
      </w:r>
      <w:r>
        <w:rPr>
          <w:rFonts w:ascii="Times New Roman" w:hAnsi="Times New Roman" w:cs="Times New Roman"/>
        </w:rPr>
        <w:t>和（或）盖章。</w:t>
      </w:r>
      <w:r>
        <w:rPr>
          <w:rFonts w:hint="eastAsia" w:ascii="Times New Roman" w:hAnsi="Times New Roman" w:cs="Times New Roman"/>
        </w:rPr>
        <w:t>响应</w:t>
      </w:r>
      <w:r>
        <w:rPr>
          <w:rFonts w:ascii="Times New Roman" w:hAnsi="Times New Roman" w:cs="Times New Roman"/>
        </w:rPr>
        <w:t>文件应尽量避免涂改、行间插字或删除。如果出现上述情况，改动之处应由</w:t>
      </w:r>
      <w:r>
        <w:rPr>
          <w:rFonts w:hint="eastAsia" w:ascii="Times New Roman" w:hAnsi="Times New Roman" w:cs="Times New Roman"/>
        </w:rPr>
        <w:t>供应商</w:t>
      </w:r>
      <w:r>
        <w:rPr>
          <w:rFonts w:ascii="Times New Roman" w:hAnsi="Times New Roman" w:cs="Times New Roman"/>
        </w:rPr>
        <w:t>的法定代表人或其授权的代理人</w:t>
      </w:r>
      <w:r>
        <w:rPr>
          <w:rFonts w:hint="eastAsia" w:ascii="Times New Roman" w:hAnsi="Times New Roman" w:cs="Times New Roman"/>
        </w:rPr>
        <w:t>签名</w:t>
      </w:r>
      <w:r>
        <w:rPr>
          <w:rFonts w:ascii="Times New Roman" w:hAnsi="Times New Roman" w:cs="Times New Roman"/>
        </w:rPr>
        <w:t>或盖单位章。</w:t>
      </w:r>
    </w:p>
    <w:p>
      <w:pPr>
        <w:spacing w:line="440" w:lineRule="exact"/>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响应文件</w:t>
      </w:r>
      <w:r>
        <w:rPr>
          <w:rFonts w:ascii="Times New Roman" w:hAnsi="Times New Roman" w:cs="Times New Roman"/>
        </w:rPr>
        <w:t>正本一份，副本</w:t>
      </w:r>
      <w:r>
        <w:rPr>
          <w:rFonts w:hint="eastAsia" w:ascii="Times New Roman" w:hAnsi="Times New Roman" w:cs="Times New Roman"/>
          <w:u w:val="single"/>
        </w:rPr>
        <w:t>一__</w:t>
      </w:r>
      <w:r>
        <w:rPr>
          <w:rFonts w:ascii="Times New Roman" w:hAnsi="Times New Roman" w:cs="Times New Roman"/>
        </w:rPr>
        <w:t>份数。正本和副本的封面右上角上应清楚地标记“正本”或“副本”的字样。当副本和正本不一致时，以正本文件为准。</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响应文件</w:t>
      </w:r>
      <w:r>
        <w:rPr>
          <w:rFonts w:ascii="Times New Roman" w:hAnsi="Times New Roman" w:cs="Times New Roman"/>
        </w:rPr>
        <w:t>的正本与副本应分别装订。</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pPr>
        <w:spacing w:line="440" w:lineRule="exact"/>
        <w:ind w:firstLine="420"/>
        <w:rPr>
          <w:rFonts w:ascii="Times New Roman" w:hAnsi="Times New Roman" w:cs="Times New Roman"/>
        </w:rPr>
      </w:pPr>
      <w:r>
        <w:rPr>
          <w:rFonts w:ascii="Times New Roman" w:hAnsi="Times New Roman" w:cs="Times New Roman"/>
        </w:rPr>
        <w:t>4.1.1响应文件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在一个封套内，封套上注明：</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供应商名称：</w:t>
      </w:r>
      <w:r>
        <w:rPr>
          <w:rFonts w:hint="eastAsia" w:ascii="Times New Roman" w:hAnsi="Times New Roman" w:eastAsia="黑体" w:cs="黑体"/>
          <w:bCs/>
          <w:snapToGrid w:val="0"/>
          <w:kern w:val="0"/>
          <w:szCs w:val="21"/>
          <w:u w:val="single"/>
        </w:rPr>
        <w:t xml:space="preserve">            </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(项目</w:t>
      </w:r>
      <w:r>
        <w:rPr>
          <w:rFonts w:hint="eastAsia" w:ascii="Times New Roman" w:hAnsi="Times New Roman" w:eastAsia="黑体" w:cs="黑体"/>
        </w:rPr>
        <w:t>名称</w:t>
      </w:r>
      <w:r>
        <w:rPr>
          <w:rFonts w:hint="eastAsia" w:ascii="Times New Roman" w:hAnsi="Times New Roman" w:eastAsia="黑体" w:cs="黑体"/>
          <w:bCs/>
          <w:snapToGrid w:val="0"/>
          <w:kern w:val="0"/>
          <w:szCs w:val="21"/>
        </w:rPr>
        <w:t>)</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合同包响应文件</w:t>
      </w:r>
    </w:p>
    <w:p>
      <w:pPr>
        <w:spacing w:line="440" w:lineRule="exact"/>
        <w:ind w:firstLine="420"/>
        <w:rPr>
          <w:rFonts w:ascii="Times New Roman" w:hAnsi="Times New Roman" w:eastAsia="黑体" w:cs="黑体"/>
        </w:rPr>
      </w:pPr>
      <w:r>
        <w:rPr>
          <w:rFonts w:hint="eastAsia" w:ascii="Times New Roman" w:hAnsi="Times New Roman" w:eastAsia="黑体" w:cs="黑体"/>
          <w:bCs/>
          <w:snapToGrid w:val="0"/>
          <w:kern w:val="0"/>
          <w:szCs w:val="21"/>
        </w:rPr>
        <w:t>在</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年</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月</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日</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时</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分（递交响应文件的截止时间）前不得开启</w:t>
      </w:r>
    </w:p>
    <w:p>
      <w:pPr>
        <w:spacing w:line="440" w:lineRule="exact"/>
        <w:ind w:firstLine="420"/>
        <w:rPr>
          <w:rFonts w:ascii="Times New Roman" w:hAnsi="Times New Roman" w:cs="Times New Roman"/>
        </w:rPr>
      </w:pPr>
      <w:r>
        <w:rPr>
          <w:rFonts w:ascii="Times New Roman" w:hAnsi="Times New Roman" w:cs="Times New Roman"/>
        </w:rPr>
        <w:t>4.1.2</w:t>
      </w:r>
      <w:r>
        <w:rPr>
          <w:rFonts w:ascii="Times New Roman" w:hAnsi="Times New Roman"/>
          <w:color w:val="000000"/>
        </w:rPr>
        <w:t>未按本章第</w:t>
      </w:r>
      <w:r>
        <w:rPr>
          <w:rFonts w:hint="eastAsia" w:ascii="Times New Roman" w:hAnsi="Times New Roman"/>
          <w:color w:val="000000"/>
        </w:rPr>
        <w:t>20</w:t>
      </w:r>
      <w:r>
        <w:rPr>
          <w:rFonts w:ascii="Times New Roman" w:hAnsi="Times New Roman"/>
          <w:color w:val="000000"/>
        </w:rPr>
        <w:t>项</w:t>
      </w:r>
      <w:r>
        <w:rPr>
          <w:rFonts w:ascii="Times New Roman" w:hAnsi="Times New Roman" w:cs="Times New Roman"/>
          <w:color w:val="000000"/>
        </w:rPr>
        <w:t>要求</w:t>
      </w:r>
      <w:r>
        <w:rPr>
          <w:rFonts w:ascii="Times New Roman" w:hAnsi="Times New Roman"/>
          <w:color w:val="000000"/>
        </w:rPr>
        <w:t>密封的</w:t>
      </w:r>
      <w:r>
        <w:rPr>
          <w:rFonts w:hint="eastAsia" w:ascii="Times New Roman" w:hAnsi="Times New Roman"/>
          <w:color w:val="000000"/>
        </w:rPr>
        <w:t>响应文件</w:t>
      </w:r>
      <w:r>
        <w:rPr>
          <w:rFonts w:ascii="Times New Roman" w:hAnsi="Times New Roman"/>
          <w:color w:val="000000"/>
        </w:rPr>
        <w:t>，</w:t>
      </w:r>
      <w:r>
        <w:rPr>
          <w:rFonts w:hint="eastAsia" w:ascii="Times New Roman" w:hAnsi="Times New Roman"/>
          <w:color w:val="000000"/>
        </w:rPr>
        <w:t>采购人</w:t>
      </w:r>
      <w:r>
        <w:rPr>
          <w:rFonts w:ascii="Times New Roman" w:hAnsi="Times New Roman"/>
          <w:color w:val="000000"/>
        </w:rPr>
        <w:t>将予以拒收。</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规定递交响应文件</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w:t>
      </w:r>
      <w:r>
        <w:rPr>
          <w:rFonts w:ascii="Times New Roman" w:hAnsi="Times New Roman" w:cs="Times New Roman"/>
        </w:rPr>
        <w:t xml:space="preserve"> </w:t>
      </w:r>
      <w:r>
        <w:rPr>
          <w:rFonts w:hint="eastAsia" w:ascii="Times New Roman" w:hAnsi="Times New Roman" w:cs="Times New Roman"/>
        </w:rPr>
        <w:t>递交响应文件的供应商数量不足3家时，采购人将宣布本次采购失败，并退还已递交的响应文件。</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pPr>
        <w:spacing w:line="440" w:lineRule="exact"/>
        <w:ind w:firstLine="420"/>
        <w:rPr>
          <w:rFonts w:ascii="Times New Roman" w:hAnsi="Times New Roman" w:cs="Times New Roman"/>
        </w:rPr>
      </w:pPr>
      <w:r>
        <w:rPr>
          <w:rFonts w:ascii="Times New Roman" w:hAnsi="Times New Roman" w:cs="Times New Roman"/>
        </w:rPr>
        <w:t>采购人在本章规定的响应文件递交截止时间（启封时间），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第规定进行启封</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pPr>
        <w:spacing w:line="440" w:lineRule="exact"/>
        <w:ind w:firstLine="420"/>
        <w:rPr>
          <w:rFonts w:ascii="Times New Roman" w:hAnsi="Times New Roman" w:cs="Times New Roman"/>
        </w:rPr>
      </w:pPr>
      <w:r>
        <w:rPr>
          <w:rFonts w:ascii="Times New Roman" w:hAnsi="Times New Roman" w:cs="Times New Roman"/>
        </w:rPr>
        <w:t xml:space="preserve">5.2.1主持人按下列程序进行启封： </w:t>
      </w:r>
    </w:p>
    <w:p>
      <w:pPr>
        <w:spacing w:line="440" w:lineRule="exact"/>
        <w:ind w:firstLine="420"/>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pPr>
        <w:spacing w:line="440" w:lineRule="exact"/>
        <w:ind w:firstLine="420"/>
        <w:rPr>
          <w:rFonts w:ascii="Times New Roman" w:hAnsi="Times New Roman" w:cs="Times New Roman"/>
        </w:rPr>
      </w:pPr>
      <w:r>
        <w:rPr>
          <w:rFonts w:ascii="Times New Roman" w:hAnsi="Times New Roman" w:cs="Times New Roman"/>
        </w:rPr>
        <w:t xml:space="preserve">（2）由供应商推选的代表检查响应文件的密封情况； </w:t>
      </w:r>
    </w:p>
    <w:p>
      <w:pPr>
        <w:spacing w:line="440" w:lineRule="exact"/>
        <w:ind w:firstLine="420"/>
        <w:rPr>
          <w:rFonts w:ascii="Times New Roman" w:hAnsi="Times New Roman" w:cs="Times New Roman"/>
          <w:bCs/>
        </w:rPr>
      </w:pPr>
      <w:r>
        <w:rPr>
          <w:rFonts w:ascii="Times New Roman" w:hAnsi="Times New Roman" w:cs="Times New Roman"/>
        </w:rPr>
        <w:t>（3）</w:t>
      </w:r>
      <w:r>
        <w:rPr>
          <w:rFonts w:ascii="Times New Roman" w:hAnsi="Times New Roman" w:cs="Times New Roman"/>
          <w:bCs/>
        </w:rPr>
        <w:t>对响应文件进行启封，公布供应商名称、合同包名称、报价、质量目标、工期、响应保证金递交情况及其他内容；</w:t>
      </w:r>
    </w:p>
    <w:p>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4</w:t>
      </w:r>
      <w:r>
        <w:rPr>
          <w:rFonts w:ascii="Times New Roman" w:hAnsi="Times New Roman" w:cs="Times New Roman"/>
          <w:bCs/>
        </w:rPr>
        <w:t>）</w:t>
      </w:r>
      <w:r>
        <w:rPr>
          <w:rFonts w:hint="eastAsia" w:ascii="Times New Roman" w:hAnsi="Times New Roman"/>
          <w:color w:val="000000"/>
        </w:rPr>
        <w:t>供应商</w:t>
      </w:r>
      <w:r>
        <w:rPr>
          <w:rFonts w:ascii="Times New Roman" w:hAnsi="Times New Roman"/>
          <w:color w:val="000000"/>
        </w:rPr>
        <w:t>代表、</w:t>
      </w:r>
      <w:r>
        <w:rPr>
          <w:rFonts w:hint="eastAsia" w:ascii="Times New Roman" w:hAnsi="Times New Roman"/>
          <w:color w:val="000000"/>
        </w:rPr>
        <w:t>采购</w:t>
      </w:r>
      <w:r>
        <w:rPr>
          <w:rFonts w:ascii="Times New Roman" w:hAnsi="Times New Roman"/>
          <w:color w:val="000000"/>
        </w:rPr>
        <w:t>人代表、记录人等有关人员在</w:t>
      </w:r>
      <w:r>
        <w:rPr>
          <w:rFonts w:hint="eastAsia" w:ascii="Times New Roman" w:hAnsi="Times New Roman"/>
          <w:color w:val="000000"/>
        </w:rPr>
        <w:t>启封</w:t>
      </w:r>
      <w:r>
        <w:rPr>
          <w:rFonts w:ascii="Times New Roman" w:hAnsi="Times New Roman"/>
          <w:color w:val="000000"/>
        </w:rPr>
        <w:t>记录上</w:t>
      </w:r>
      <w:r>
        <w:rPr>
          <w:rFonts w:hint="eastAsia" w:ascii="Times New Roman" w:hAnsi="Times New Roman"/>
          <w:color w:val="000000"/>
        </w:rPr>
        <w:t>签名</w:t>
      </w:r>
      <w:r>
        <w:rPr>
          <w:rFonts w:ascii="Times New Roman" w:hAnsi="Times New Roman"/>
          <w:color w:val="000000"/>
        </w:rPr>
        <w:t>确认；</w:t>
      </w:r>
    </w:p>
    <w:p>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pPr>
        <w:spacing w:line="440" w:lineRule="exact"/>
        <w:ind w:firstLine="420"/>
        <w:rPr>
          <w:rFonts w:ascii="Times New Roman" w:hAnsi="Times New Roman" w:cs="Times New Roman"/>
          <w:bCs/>
        </w:rPr>
      </w:pPr>
      <w:r>
        <w:rPr>
          <w:rFonts w:ascii="Times New Roman" w:hAnsi="Times New Roman" w:cs="Times New Roman"/>
          <w:bCs/>
        </w:rPr>
        <w:t>5.2.2若采用合理低价法或综合评分法，在响应文件启封中，采购人将按第三章“评审办法”规定的原则计算并宣布评审基准价。若采购人发现响应文件出现以下任一情况，其报价将不再参加评审基准价的计算：</w:t>
      </w:r>
    </w:p>
    <w:p>
      <w:pPr>
        <w:spacing w:line="440" w:lineRule="exact"/>
        <w:ind w:firstLine="420"/>
        <w:rPr>
          <w:rFonts w:ascii="Times New Roman" w:hAnsi="Times New Roman" w:cs="Times New Roman"/>
          <w:bCs/>
        </w:rPr>
      </w:pPr>
      <w:r>
        <w:rPr>
          <w:rFonts w:ascii="Times New Roman" w:hAnsi="Times New Roman" w:cs="Times New Roman"/>
          <w:bCs/>
        </w:rPr>
        <w:t>（1）报价超出采购人公布的最高限价</w:t>
      </w:r>
      <w:r>
        <w:rPr>
          <w:rFonts w:hint="eastAsia" w:ascii="Times New Roman" w:hAnsi="Times New Roman" w:cs="Times New Roman"/>
          <w:bCs/>
        </w:rPr>
        <w:t>；</w:t>
      </w:r>
    </w:p>
    <w:p>
      <w:pPr>
        <w:spacing w:line="440" w:lineRule="exact"/>
        <w:ind w:firstLine="420"/>
        <w:rPr>
          <w:rFonts w:ascii="Times New Roman" w:hAnsi="Times New Roman" w:cs="Times New Roman"/>
          <w:bCs/>
        </w:rPr>
      </w:pPr>
      <w:r>
        <w:rPr>
          <w:rFonts w:hint="eastAsia" w:ascii="Times New Roman" w:hAnsi="Times New Roman" w:cs="Times New Roman"/>
          <w:bCs/>
        </w:rPr>
        <w:t>（2）</w:t>
      </w:r>
      <w:r>
        <w:rPr>
          <w:rFonts w:ascii="Times New Roman" w:hAnsi="Times New Roman" w:cs="Times New Roman"/>
          <w:bCs/>
        </w:rPr>
        <w:t>未在报价函上填写总报价</w:t>
      </w:r>
      <w:r>
        <w:rPr>
          <w:rFonts w:hint="eastAsia" w:ascii="Times New Roman" w:hAnsi="Times New Roman" w:cs="Times New Roman"/>
          <w:bCs/>
        </w:rPr>
        <w:t>；</w:t>
      </w:r>
    </w:p>
    <w:p>
      <w:pPr>
        <w:spacing w:line="440" w:lineRule="exact"/>
        <w:ind w:firstLine="420"/>
        <w:rPr>
          <w:rFonts w:ascii="Times New Roman" w:hAnsi="Times New Roman" w:cs="Times New Roman"/>
          <w:bCs/>
        </w:rPr>
      </w:pPr>
      <w:r>
        <w:rPr>
          <w:rFonts w:hint="eastAsia" w:ascii="Times New Roman" w:hAnsi="Times New Roman" w:cs="Times New Roman"/>
          <w:bCs/>
        </w:rPr>
        <w:t>（3）报价函中的报价与已标价的工程量清单总报价不一致（四舍五入除外）</w:t>
      </w:r>
      <w:r>
        <w:rPr>
          <w:rFonts w:ascii="Times New Roman" w:hAnsi="Times New Roman" w:cs="Times New Roman"/>
          <w:bCs/>
        </w:rPr>
        <w:t>；</w:t>
      </w:r>
    </w:p>
    <w:p>
      <w:pPr>
        <w:spacing w:line="440" w:lineRule="exact"/>
        <w:ind w:firstLine="420"/>
        <w:rPr>
          <w:rFonts w:ascii="Times New Roman" w:hAnsi="Times New Roman"/>
        </w:rPr>
      </w:pPr>
      <w:r>
        <w:rPr>
          <w:rFonts w:hint="eastAsia" w:ascii="Times New Roman" w:hAnsi="Times New Roman" w:cs="Times New Roman"/>
          <w:bCs/>
        </w:rPr>
        <w:t>（4）未按要求提交响应保证金（如有）；</w:t>
      </w:r>
    </w:p>
    <w:p>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szCs w:val="21"/>
        </w:rPr>
        <w:t>供应商须知前附表规定的</w:t>
      </w:r>
      <w:r>
        <w:rPr>
          <w:rFonts w:ascii="Times New Roman" w:hAnsi="Times New Roman" w:cs="Times New Roman"/>
          <w:szCs w:val="21"/>
        </w:rPr>
        <w:t>其他情形</w:t>
      </w:r>
      <w:r>
        <w:rPr>
          <w:rFonts w:ascii="Times New Roman" w:hAnsi="Times New Roman" w:cs="Times New Roman"/>
          <w:bCs/>
        </w:rPr>
        <w:t>。</w:t>
      </w:r>
    </w:p>
    <w:p>
      <w:pPr>
        <w:spacing w:line="440" w:lineRule="exact"/>
        <w:ind w:firstLine="420"/>
        <w:rPr>
          <w:rFonts w:ascii="Times New Roman" w:hAnsi="Times New Roman" w:cs="Times New Roman"/>
        </w:rPr>
      </w:pPr>
      <w:r>
        <w:rPr>
          <w:rFonts w:ascii="Times New Roman" w:hAnsi="Times New Roman" w:cs="Times New Roman"/>
          <w:bCs/>
        </w:rPr>
        <w:t>如果供应商认为某一合同包的评审基准价计算有误，有权在启封过程中提出，经采购人在启封过程中核实确认之后，可重新宣布评审基准价。启封标过程中公布的评审基准价除计算有误，经</w:t>
      </w:r>
      <w:r>
        <w:rPr>
          <w:rFonts w:hint="eastAsia" w:ascii="Times New Roman" w:hAnsi="Times New Roman" w:cs="Times New Roman"/>
          <w:bCs/>
        </w:rPr>
        <w:t>评审小组</w:t>
      </w:r>
      <w:r>
        <w:rPr>
          <w:rFonts w:ascii="Times New Roman" w:hAnsi="Times New Roman" w:cs="Times New Roman"/>
          <w:bCs/>
        </w:rPr>
        <w:t>修正外，在整个评审期间保持不变，不随任何因素发生变化。</w:t>
      </w:r>
    </w:p>
    <w:p>
      <w:pPr>
        <w:spacing w:line="440" w:lineRule="exact"/>
        <w:ind w:firstLine="420"/>
        <w:rPr>
          <w:rFonts w:ascii="Times New Roman" w:hAnsi="Times New Roman" w:cs="Times New Roman"/>
        </w:rPr>
      </w:pPr>
      <w:r>
        <w:rPr>
          <w:rFonts w:hint="eastAsia" w:ascii="Times New Roman" w:hAnsi="Times New Roman" w:cs="Times New Roman"/>
        </w:rPr>
        <w:t>5.2.3</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6. 评审</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6.1</w:t>
      </w:r>
      <w:r>
        <w:rPr>
          <w:rFonts w:hint="eastAsia" w:ascii="Times New Roman" w:hAnsi="Times New Roman" w:eastAsia="黑体" w:cs="Times New Roman"/>
          <w:bCs/>
          <w:sz w:val="24"/>
          <w:szCs w:val="32"/>
        </w:rPr>
        <w:t>评审小组</w:t>
      </w:r>
    </w:p>
    <w:p>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rPr>
        <w:t>评审小组人数：3~7人（单数）</w:t>
      </w:r>
      <w:r>
        <w:rPr>
          <w:rFonts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评审</w:t>
      </w:r>
    </w:p>
    <w:p>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7. 合同授予</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7.1成交候选人公示</w:t>
      </w:r>
    </w:p>
    <w:p>
      <w:pPr>
        <w:spacing w:line="440" w:lineRule="exact"/>
        <w:ind w:firstLine="420"/>
        <w:rPr>
          <w:rFonts w:ascii="Times New Roman" w:hAnsi="Times New Roman" w:cs="Times New Roman"/>
        </w:rPr>
      </w:pPr>
      <w:r>
        <w:rPr>
          <w:rFonts w:ascii="Times New Roman" w:hAnsi="Times New Roman" w:cs="Times New Roman"/>
        </w:rPr>
        <w:t>采用公开询比方式采购的项目，公示期不得少于2日。</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7.2评审结果异议</w:t>
      </w:r>
    </w:p>
    <w:p>
      <w:pPr>
        <w:spacing w:line="440" w:lineRule="exact"/>
        <w:ind w:firstLine="420"/>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7.3成交候选人履约能力审查</w:t>
      </w:r>
    </w:p>
    <w:p>
      <w:pPr>
        <w:spacing w:line="440" w:lineRule="exact"/>
        <w:ind w:firstLine="420"/>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7.4履约保证金</w:t>
      </w:r>
    </w:p>
    <w:p>
      <w:pPr>
        <w:spacing w:line="440" w:lineRule="exact"/>
        <w:ind w:firstLine="420"/>
        <w:rPr>
          <w:rFonts w:ascii="Times New Roman" w:hAnsi="Times New Roman" w:cs="Times New Roman"/>
        </w:rPr>
      </w:pPr>
      <w:r>
        <w:rPr>
          <w:rFonts w:ascii="Times New Roman" w:hAnsi="Times New Roman" w:cs="Times New Roman"/>
        </w:rPr>
        <w:t>7.4.1在签订合同前，成交人应向采购人提交履约保证金。履约保证金</w:t>
      </w:r>
      <w:r>
        <w:rPr>
          <w:rFonts w:hint="eastAsia" w:ascii="Times New Roman" w:hAnsi="Times New Roman" w:cs="Times New Roman"/>
        </w:rPr>
        <w:t>的金额及形式见供应商须知前附表</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7.4.2 成交人不能按本章第</w:t>
      </w:r>
      <w:r>
        <w:rPr>
          <w:rFonts w:hint="eastAsia" w:ascii="Times New Roman" w:hAnsi="Times New Roman" w:cs="Times New Roman"/>
        </w:rPr>
        <w:t>18</w:t>
      </w:r>
      <w:r>
        <w:rPr>
          <w:rFonts w:ascii="Times New Roman" w:hAnsi="Times New Roman" w:cs="Times New Roman"/>
        </w:rPr>
        <w:t>项要求提交履约保证金的，视为放弃成交候选人，其响应保证金不予退还，给采购人造成的损失超过响应保证金数额的，成交人还应当对超过部分予以赔偿。</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7.5签订合同</w:t>
      </w:r>
    </w:p>
    <w:p>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8. 纪律和监督</w:t>
      </w:r>
    </w:p>
    <w:p>
      <w:pPr>
        <w:spacing w:line="440" w:lineRule="exact"/>
        <w:ind w:firstLine="420"/>
        <w:rPr>
          <w:rFonts w:ascii="Times New Roman" w:hAnsi="Times New Roman" w:cs="Times New Roman"/>
        </w:rPr>
      </w:pPr>
      <w:r>
        <w:rPr>
          <w:rFonts w:ascii="Times New Roman" w:hAnsi="Times New Roman" w:cs="Times New Roman"/>
        </w:rPr>
        <w:t>供应商不得相互串通报价或与采购人串通报价，不得向采购人或</w:t>
      </w:r>
      <w:r>
        <w:rPr>
          <w:rFonts w:hint="eastAsia" w:ascii="Times New Roman" w:hAnsi="Times New Roman" w:cs="Times New Roman"/>
        </w:rPr>
        <w:t>评审小组</w:t>
      </w:r>
      <w:r>
        <w:rPr>
          <w:rFonts w:ascii="Times New Roman" w:hAnsi="Times New Roman" w:cs="Times New Roman"/>
        </w:rPr>
        <w:t>成员行贿谋取成交，不得以他人名义报价或以其他方式弄虚作假骗取成交；供应商不得以任何方式干扰、影响评审工作。</w:t>
      </w:r>
    </w:p>
    <w:p>
      <w:pPr>
        <w:keepNext/>
        <w:keepLines/>
        <w:spacing w:before="156" w:beforeLines="50" w:after="156" w:afterLines="50"/>
        <w:outlineLvl w:val="1"/>
        <w:rPr>
          <w:rFonts w:ascii="Times New Roman" w:hAnsi="Times New Roman" w:eastAsia="黑体" w:cs="Times New Roman"/>
          <w:bCs/>
          <w:sz w:val="24"/>
          <w:szCs w:val="32"/>
        </w:rPr>
      </w:pPr>
      <w:r>
        <w:rPr>
          <w:rFonts w:hint="eastAsia" w:ascii="Times New Roman" w:hAnsi="Times New Roman" w:eastAsia="黑体" w:cs="Times New Roman"/>
          <w:bCs/>
          <w:sz w:val="24"/>
          <w:szCs w:val="32"/>
        </w:rPr>
        <w:t xml:space="preserve">9. </w:t>
      </w:r>
      <w:r>
        <w:rPr>
          <w:rFonts w:ascii="Times New Roman" w:hAnsi="Times New Roman" w:eastAsia="黑体" w:cs="Times New Roman"/>
          <w:bCs/>
          <w:sz w:val="24"/>
          <w:szCs w:val="32"/>
        </w:rPr>
        <w:t>需要补充的其他内容</w:t>
      </w:r>
    </w:p>
    <w:p>
      <w:pPr>
        <w:spacing w:line="440" w:lineRule="exact"/>
        <w:ind w:firstLine="420"/>
        <w:rPr>
          <w:rFonts w:ascii="Times New Roman" w:hAnsi="Times New Roman" w:cs="Times New Roman"/>
        </w:rPr>
      </w:pPr>
      <w:r>
        <w:rPr>
          <w:rFonts w:ascii="Times New Roman" w:hAnsi="Times New Roman" w:cs="Times New Roman"/>
        </w:rPr>
        <w:t>需要补充的其他内容：</w:t>
      </w:r>
      <w:r>
        <w:rPr>
          <w:rFonts w:hint="eastAsia" w:ascii="Times New Roman" w:hAnsi="Times New Roman" w:cs="Times New Roman"/>
        </w:rPr>
        <w:t>见供应商须知前附表。</w:t>
      </w:r>
    </w:p>
    <w:bookmarkEnd w:id="48"/>
    <w:bookmarkEnd w:id="49"/>
    <w:bookmarkEnd w:id="50"/>
    <w:p/>
    <w:p/>
    <w:p/>
    <w:p/>
    <w:p/>
    <w:p/>
    <w:p/>
    <w:p/>
    <w:p/>
    <w:p/>
    <w:p/>
    <w:p/>
    <w:p/>
    <w:p/>
    <w:p/>
    <w:p/>
    <w:p/>
    <w:p/>
    <w:p/>
    <w:p/>
    <w:p/>
    <w:p/>
    <w:p/>
    <w:p/>
    <w:p/>
    <w:p/>
    <w:p>
      <w:pPr>
        <w:pStyle w:val="3"/>
        <w:spacing w:before="312" w:after="312"/>
        <w:rPr>
          <w:rFonts w:ascii="Times New Roman" w:hAnsi="Times New Roman" w:eastAsia="黑体" w:cs="Times New Roman"/>
          <w:sz w:val="28"/>
          <w:szCs w:val="28"/>
        </w:rPr>
      </w:pPr>
      <w:r>
        <w:rPr>
          <w:rFonts w:hint="eastAsia" w:ascii="Times New Roman" w:hAnsi="Times New Roman" w:eastAsia="宋体" w:cs="Times New Roman"/>
        </w:rPr>
        <w:t>评审办法</w:t>
      </w:r>
    </w:p>
    <w:p>
      <w:pPr>
        <w:spacing w:after="312" w:afterLines="100" w:line="4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评审办法前附表</w:t>
      </w:r>
      <w:r>
        <w:rPr>
          <w:rFonts w:hint="eastAsia" w:ascii="Times New Roman" w:hAnsi="Times New Roman" w:eastAsia="黑体" w:cs="Times New Roman"/>
          <w:sz w:val="28"/>
          <w:szCs w:val="28"/>
        </w:rPr>
        <w:t>（综合评分法）</w:t>
      </w:r>
    </w:p>
    <w:tbl>
      <w:tblPr>
        <w:tblStyle w:val="14"/>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vAlign w:val="center"/>
          </w:tcPr>
          <w:p>
            <w:pPr>
              <w:widowControl/>
              <w:jc w:val="center"/>
              <w:rPr>
                <w:rFonts w:ascii="Times New Roman" w:hAnsi="Times New Roman" w:cs="Times New Roman"/>
                <w:kern w:val="0"/>
                <w:szCs w:val="21"/>
              </w:rPr>
            </w:pPr>
            <w:r>
              <w:rPr>
                <w:rFonts w:ascii="Times New Roman" w:hAnsi="Times New Roman" w:cs="Times New Roman"/>
                <w:b/>
                <w:bCs/>
                <w:kern w:val="0"/>
                <w:szCs w:val="21"/>
              </w:rPr>
              <w:t>条款号</w:t>
            </w:r>
          </w:p>
        </w:tc>
        <w:tc>
          <w:tcPr>
            <w:tcW w:w="1774" w:type="dxa"/>
            <w:vAlign w:val="center"/>
          </w:tcPr>
          <w:p>
            <w:pPr>
              <w:widowControl/>
              <w:ind w:firstLine="105" w:firstLineChars="50"/>
              <w:jc w:val="center"/>
              <w:rPr>
                <w:rFonts w:ascii="Times New Roman" w:hAnsi="Times New Roman" w:cs="Times New Roman"/>
                <w:kern w:val="0"/>
                <w:szCs w:val="21"/>
              </w:rPr>
            </w:pPr>
            <w:r>
              <w:rPr>
                <w:rFonts w:ascii="Times New Roman" w:hAnsi="Times New Roman" w:cs="Times New Roman"/>
                <w:b/>
                <w:bCs/>
                <w:kern w:val="0"/>
                <w:szCs w:val="21"/>
              </w:rPr>
              <w:t>评审因素</w:t>
            </w:r>
          </w:p>
        </w:tc>
        <w:tc>
          <w:tcPr>
            <w:tcW w:w="5676" w:type="dxa"/>
            <w:vAlign w:val="center"/>
          </w:tcPr>
          <w:p>
            <w:pPr>
              <w:widowControl/>
              <w:ind w:firstLine="105" w:firstLineChars="50"/>
              <w:jc w:val="center"/>
              <w:rPr>
                <w:rFonts w:ascii="Times New Roman" w:hAnsi="Times New Roman" w:cs="Times New Roman"/>
                <w:kern w:val="0"/>
                <w:szCs w:val="21"/>
              </w:rPr>
            </w:pPr>
            <w:r>
              <w:rPr>
                <w:rFonts w:ascii="Times New Roman" w:hAnsi="Times New Roman" w:cs="Times New Roman"/>
                <w:b/>
                <w:bCs/>
                <w:kern w:val="0"/>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vAlign w:val="center"/>
          </w:tcPr>
          <w:p>
            <w:pPr>
              <w:widowControl/>
              <w:jc w:val="center"/>
              <w:rPr>
                <w:rFonts w:ascii="Times New Roman" w:hAnsi="Times New Roman" w:cs="Times New Roman"/>
                <w:bCs/>
                <w:kern w:val="0"/>
                <w:szCs w:val="21"/>
              </w:rPr>
            </w:pPr>
            <w:r>
              <w:rPr>
                <w:rFonts w:ascii="Times New Roman" w:hAnsi="Times New Roman" w:cs="Times New Roman"/>
                <w:bCs/>
                <w:kern w:val="0"/>
                <w:szCs w:val="21"/>
              </w:rPr>
              <w:t>1</w:t>
            </w:r>
          </w:p>
        </w:tc>
        <w:tc>
          <w:tcPr>
            <w:tcW w:w="1060" w:type="dxa"/>
            <w:vAlign w:val="center"/>
          </w:tcPr>
          <w:p>
            <w:pPr>
              <w:widowControl/>
              <w:jc w:val="center"/>
              <w:rPr>
                <w:rFonts w:ascii="Times New Roman" w:hAnsi="Times New Roman" w:cs="Times New Roman"/>
                <w:bCs/>
                <w:kern w:val="0"/>
                <w:szCs w:val="21"/>
              </w:rPr>
            </w:pPr>
            <w:r>
              <w:rPr>
                <w:rFonts w:ascii="Times New Roman" w:hAnsi="Times New Roman" w:cs="Times New Roman"/>
                <w:bCs/>
                <w:kern w:val="0"/>
                <w:szCs w:val="21"/>
              </w:rPr>
              <w:t>评审</w:t>
            </w:r>
            <w:r>
              <w:rPr>
                <w:rFonts w:hint="eastAsia" w:ascii="Times New Roman" w:hAnsi="Times New Roman" w:cs="Times New Roman"/>
                <w:bCs/>
                <w:kern w:val="0"/>
                <w:szCs w:val="21"/>
              </w:rPr>
              <w:t>方</w:t>
            </w:r>
            <w:r>
              <w:rPr>
                <w:rFonts w:ascii="Times New Roman" w:hAnsi="Times New Roman" w:cs="Times New Roman"/>
                <w:bCs/>
                <w:kern w:val="0"/>
                <w:szCs w:val="21"/>
              </w:rPr>
              <w:t>法</w:t>
            </w:r>
          </w:p>
        </w:tc>
        <w:tc>
          <w:tcPr>
            <w:tcW w:w="1774" w:type="dxa"/>
            <w:tcMar>
              <w:left w:w="75" w:type="dxa"/>
            </w:tcMar>
            <w:vAlign w:val="center"/>
          </w:tcPr>
          <w:p>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成交候选人</w:t>
            </w:r>
          </w:p>
          <w:p>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排序方法</w:t>
            </w:r>
          </w:p>
        </w:tc>
        <w:tc>
          <w:tcPr>
            <w:tcW w:w="5676" w:type="dxa"/>
            <w:tcMar>
              <w:left w:w="75" w:type="dxa"/>
            </w:tcMar>
            <w:vAlign w:val="center"/>
          </w:tcPr>
          <w:p>
            <w:pPr>
              <w:widowControl/>
              <w:adjustRightInd w:val="0"/>
              <w:snapToGrid w:val="0"/>
              <w:jc w:val="left"/>
            </w:pPr>
            <w:r>
              <w:rPr>
                <w:rFonts w:hint="eastAsia"/>
              </w:rPr>
              <w:t>按综合得分由高到低的顺序依次推荐成交候选人：</w:t>
            </w:r>
          </w:p>
          <w:p>
            <w:pPr>
              <w:widowControl/>
              <w:adjustRightInd w:val="0"/>
              <w:snapToGrid w:val="0"/>
              <w:jc w:val="left"/>
            </w:pPr>
            <w:r>
              <w:rPr>
                <w:rFonts w:hint="eastAsia"/>
                <w:lang w:eastAsia="zh-CN"/>
              </w:rPr>
              <w:t>☑</w:t>
            </w:r>
            <w:r>
              <w:rPr>
                <w:rFonts w:hint="eastAsia"/>
              </w:rPr>
              <w:t>当综合得分相等时，以</w:t>
            </w:r>
            <w:r>
              <w:rPr>
                <w:rFonts w:hint="eastAsia"/>
                <w:lang w:val="en-US" w:eastAsia="zh-CN"/>
              </w:rPr>
              <w:t>经工集团2021年</w:t>
            </w:r>
            <w:r>
              <w:rPr>
                <w:rFonts w:hint="eastAsia" w:ascii="Times New Roman" w:hAnsi="Times New Roman" w:cs="Times New Roman"/>
                <w:szCs w:val="21"/>
              </w:rPr>
              <w:t>度劳务考核评价中获得优秀</w:t>
            </w:r>
            <w:r>
              <w:rPr>
                <w:rFonts w:hint="eastAsia" w:ascii="Times New Roman" w:hAnsi="Times New Roman" w:cs="Times New Roman"/>
                <w:szCs w:val="21"/>
                <w:lang w:val="en-US" w:eastAsia="zh-CN"/>
              </w:rPr>
              <w:t>的优先</w:t>
            </w:r>
            <w:r>
              <w:rPr>
                <w:rFonts w:hint="eastAsia"/>
              </w:rPr>
              <w:t>；</w:t>
            </w:r>
            <w:r>
              <w:rPr>
                <w:rFonts w:hint="eastAsia"/>
                <w:lang w:val="en-US" w:eastAsia="zh-CN"/>
              </w:rPr>
              <w:t>同为优秀时</w:t>
            </w:r>
            <w:r>
              <w:rPr>
                <w:rFonts w:hint="eastAsia"/>
              </w:rPr>
              <w:t>，以评审价低的优先；评审价也相等的，以递交响应文件在前的优先。</w:t>
            </w:r>
          </w:p>
          <w:p>
            <w:pPr>
              <w:pStyle w:val="2"/>
              <w:adjustRightInd w:val="0"/>
              <w:snapToGrid w:val="0"/>
            </w:pPr>
            <w:r>
              <w:rPr>
                <w:rFonts w:hint="eastAsia"/>
                <w:lang w:eastAsia="zh-CN"/>
              </w:rPr>
              <w:t>□</w:t>
            </w:r>
            <w:r>
              <w:rPr>
                <w:rFonts w:hint="eastAsia" w:ascii="Times New Roman" w:hAnsi="Times New Roman" w:cs="Times New Roman"/>
                <w:kern w:val="0"/>
                <w:szCs w:val="21"/>
              </w:rPr>
              <w:t>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vAlign w:val="center"/>
          </w:tcPr>
          <w:p>
            <w:pPr>
              <w:widowControl/>
              <w:jc w:val="center"/>
              <w:rPr>
                <w:rFonts w:hint="default" w:ascii="Times New Roman" w:hAnsi="Times New Roman" w:cs="Times New Roman" w:eastAsiaTheme="minorEastAsia"/>
                <w:bCs/>
                <w:kern w:val="0"/>
                <w:szCs w:val="21"/>
                <w:highlight w:val="yellow"/>
                <w:lang w:val="en-US" w:eastAsia="zh-CN"/>
              </w:rPr>
            </w:pPr>
            <w:r>
              <w:rPr>
                <w:rFonts w:hint="eastAsia" w:ascii="Times New Roman" w:hAnsi="Times New Roman" w:cs="Times New Roman"/>
                <w:bCs/>
                <w:kern w:val="0"/>
                <w:szCs w:val="21"/>
                <w:highlight w:val="yellow"/>
                <w:lang w:val="en-US" w:eastAsia="zh-CN"/>
              </w:rPr>
              <w:t>1.1</w:t>
            </w:r>
          </w:p>
        </w:tc>
        <w:tc>
          <w:tcPr>
            <w:tcW w:w="2834" w:type="dxa"/>
            <w:gridSpan w:val="2"/>
            <w:vAlign w:val="center"/>
          </w:tcPr>
          <w:p>
            <w:pPr>
              <w:widowControl/>
              <w:adjustRightInd w:val="0"/>
              <w:snapToGrid w:val="0"/>
              <w:jc w:val="center"/>
              <w:rPr>
                <w:rFonts w:hint="default" w:ascii="Times New Roman" w:hAnsi="Times New Roman" w:cs="Times New Roman" w:eastAsiaTheme="minorEastAsia"/>
                <w:kern w:val="0"/>
                <w:szCs w:val="21"/>
                <w:highlight w:val="yellow"/>
                <w:lang w:val="en-US" w:eastAsia="zh-CN"/>
              </w:rPr>
            </w:pPr>
            <w:r>
              <w:rPr>
                <w:rFonts w:hint="default" w:ascii="Times New Roman" w:hAnsi="Times New Roman" w:cs="Times New Roman" w:eastAsiaTheme="minorEastAsia"/>
                <w:kern w:val="0"/>
                <w:szCs w:val="21"/>
                <w:highlight w:val="yellow"/>
                <w:lang w:val="en-US" w:eastAsia="zh-CN"/>
              </w:rPr>
              <w:t>是否执行异常低价评审</w:t>
            </w:r>
          </w:p>
        </w:tc>
        <w:tc>
          <w:tcPr>
            <w:tcW w:w="5676" w:type="dxa"/>
            <w:tcMar>
              <w:left w:w="75" w:type="dxa"/>
            </w:tcMar>
            <w:vAlign w:val="center"/>
          </w:tcPr>
          <w:p>
            <w:pPr>
              <w:pStyle w:val="2"/>
              <w:adjustRightInd w:val="0"/>
              <w:snapToGrid w:val="0"/>
              <w:jc w:val="center"/>
              <w:rPr>
                <w:rFonts w:hint="eastAsia"/>
                <w:highlight w:val="yellow"/>
                <w:lang w:eastAsia="zh-CN"/>
              </w:rPr>
            </w:pPr>
            <w:r>
              <w:rPr>
                <w:rFonts w:hint="eastAsia"/>
                <w:highlight w:val="yellow"/>
                <w:lang w:eastAsia="zh-CN"/>
              </w:rPr>
              <w:t>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vAlign w:val="center"/>
          </w:tcPr>
          <w:p>
            <w:pPr>
              <w:widowControl/>
              <w:jc w:val="center"/>
              <w:rPr>
                <w:rFonts w:hint="default" w:ascii="Times New Roman" w:hAnsi="Times New Roman" w:cs="Times New Roman" w:eastAsiaTheme="minorEastAsia"/>
                <w:bCs/>
                <w:kern w:val="0"/>
                <w:szCs w:val="21"/>
                <w:highlight w:val="yellow"/>
                <w:lang w:val="en-US" w:eastAsia="zh-CN"/>
              </w:rPr>
            </w:pPr>
            <w:r>
              <w:rPr>
                <w:rFonts w:hint="eastAsia" w:ascii="Times New Roman" w:hAnsi="Times New Roman" w:cs="Times New Roman"/>
                <w:bCs/>
                <w:kern w:val="0"/>
                <w:szCs w:val="21"/>
                <w:highlight w:val="yellow"/>
                <w:lang w:val="en-US" w:eastAsia="zh-CN"/>
              </w:rPr>
              <w:t>1.2</w:t>
            </w:r>
          </w:p>
        </w:tc>
        <w:tc>
          <w:tcPr>
            <w:tcW w:w="2834" w:type="dxa"/>
            <w:gridSpan w:val="2"/>
            <w:vAlign w:val="center"/>
          </w:tcPr>
          <w:p>
            <w:pPr>
              <w:widowControl/>
              <w:adjustRightInd w:val="0"/>
              <w:snapToGrid w:val="0"/>
              <w:jc w:val="center"/>
              <w:rPr>
                <w:rFonts w:ascii="Times New Roman" w:hAnsi="Times New Roman" w:cs="Times New Roman"/>
                <w:kern w:val="0"/>
                <w:szCs w:val="21"/>
                <w:highlight w:val="yellow"/>
              </w:rPr>
            </w:pPr>
            <w:r>
              <w:rPr>
                <w:rFonts w:hint="eastAsia" w:ascii="Times New Roman" w:hAnsi="Times New Roman" w:cs="Times New Roman"/>
                <w:kern w:val="0"/>
                <w:szCs w:val="21"/>
                <w:highlight w:val="yellow"/>
              </w:rPr>
              <w:t>异常低价规定指标</w:t>
            </w:r>
          </w:p>
        </w:tc>
        <w:tc>
          <w:tcPr>
            <w:tcW w:w="5676" w:type="dxa"/>
            <w:tcMar>
              <w:left w:w="75" w:type="dxa"/>
            </w:tcMar>
            <w:vAlign w:val="center"/>
          </w:tcPr>
          <w:p>
            <w:pPr>
              <w:pStyle w:val="2"/>
              <w:adjustRightInd w:val="0"/>
              <w:snapToGrid w:val="0"/>
              <w:jc w:val="center"/>
              <w:rPr>
                <w:rFonts w:hint="default"/>
                <w:highlight w:val="yellow"/>
                <w:lang w:val="en-US" w:eastAsia="zh-CN"/>
              </w:rPr>
            </w:pPr>
            <w:r>
              <w:rPr>
                <w:rFonts w:hint="eastAsia"/>
                <w:highlight w:val="yellow"/>
                <w:lang w:val="en-US" w:eastAsia="zh-CN"/>
              </w:rPr>
              <w:t>90%</w:t>
            </w:r>
          </w:p>
        </w:tc>
      </w:tr>
    </w:tbl>
    <w:p>
      <w:pPr>
        <w:adjustRightInd w:val="0"/>
        <w:snapToGrid w:val="0"/>
        <w:spacing w:line="360" w:lineRule="auto"/>
        <w:ind w:firstLine="420"/>
        <w:textAlignment w:val="baseline"/>
        <w:rPr>
          <w:rFonts w:ascii="Times New Roman" w:hAnsi="Times New Roman" w:cs="Times New Roman"/>
          <w:szCs w:val="21"/>
        </w:rPr>
      </w:pPr>
    </w:p>
    <w:tbl>
      <w:tblPr>
        <w:tblStyle w:val="14"/>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96"/>
        <w:gridCol w:w="1759"/>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80" w:type="dxa"/>
            <w:gridSpan w:val="2"/>
            <w:vAlign w:val="center"/>
          </w:tcPr>
          <w:p>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条款号</w:t>
            </w:r>
          </w:p>
        </w:tc>
        <w:tc>
          <w:tcPr>
            <w:tcW w:w="1759" w:type="dxa"/>
            <w:vAlign w:val="center"/>
          </w:tcPr>
          <w:p>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评审因素</w:t>
            </w:r>
          </w:p>
        </w:tc>
        <w:tc>
          <w:tcPr>
            <w:tcW w:w="5659" w:type="dxa"/>
            <w:vAlign w:val="center"/>
          </w:tcPr>
          <w:p>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vAlign w:val="center"/>
          </w:tcPr>
          <w:p>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2.1.1</w:t>
            </w:r>
          </w:p>
        </w:tc>
        <w:tc>
          <w:tcPr>
            <w:tcW w:w="1096" w:type="dxa"/>
            <w:vMerge w:val="restart"/>
            <w:vAlign w:val="center"/>
          </w:tcPr>
          <w:p>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形式评审标准</w:t>
            </w:r>
          </w:p>
        </w:tc>
        <w:tc>
          <w:tcPr>
            <w:tcW w:w="17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供应商名称</w:t>
            </w:r>
          </w:p>
        </w:tc>
        <w:tc>
          <w:tcPr>
            <w:tcW w:w="56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与营业执照、资质证书</w:t>
            </w:r>
            <w:r>
              <w:rPr>
                <w:rFonts w:hint="eastAsia" w:ascii="Times New Roman" w:hAnsi="Times New Roman" w:cs="Times New Roman"/>
                <w:kern w:val="0"/>
                <w:szCs w:val="21"/>
              </w:rPr>
              <w:t>（如有）</w:t>
            </w:r>
            <w:r>
              <w:rPr>
                <w:rFonts w:ascii="Times New Roman" w:hAnsi="Times New Roman" w:cs="Times New Roman"/>
                <w:kern w:val="0"/>
                <w:szCs w:val="21"/>
              </w:rPr>
              <w:t>、安全生产许可证</w:t>
            </w:r>
            <w:r>
              <w:rPr>
                <w:rFonts w:hint="eastAsia" w:ascii="Times New Roman" w:hAnsi="Times New Roman" w:cs="Times New Roman"/>
                <w:kern w:val="0"/>
                <w:szCs w:val="21"/>
              </w:rPr>
              <w:t>（如有）</w:t>
            </w:r>
            <w:r>
              <w:rPr>
                <w:rFonts w:ascii="Times New Roman" w:hAnsi="Times New Roman" w:cs="Times New Roman"/>
                <w:kern w:val="0"/>
                <w:szCs w:val="21"/>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096"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7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响应文件格式</w:t>
            </w:r>
          </w:p>
        </w:tc>
        <w:tc>
          <w:tcPr>
            <w:tcW w:w="56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符合第六章“响应文件格式”的规定，关键字迹清晰可辨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096"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7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签名</w:t>
            </w:r>
            <w:r>
              <w:rPr>
                <w:rFonts w:ascii="Times New Roman" w:hAnsi="Times New Roman" w:cs="Times New Roman"/>
                <w:kern w:val="0"/>
                <w:szCs w:val="21"/>
              </w:rPr>
              <w:t>盖章</w:t>
            </w:r>
          </w:p>
        </w:tc>
        <w:tc>
          <w:tcPr>
            <w:tcW w:w="56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bCs/>
                <w:kern w:val="0"/>
                <w:szCs w:val="21"/>
              </w:rPr>
              <w:t>符合第二章“供应商须知”第3.</w:t>
            </w:r>
            <w:r>
              <w:rPr>
                <w:rFonts w:hint="eastAsia" w:ascii="Times New Roman" w:hAnsi="Times New Roman" w:cs="Times New Roman"/>
                <w:bCs/>
                <w:kern w:val="0"/>
                <w:szCs w:val="21"/>
              </w:rPr>
              <w:t>6</w:t>
            </w:r>
            <w:r>
              <w:rPr>
                <w:rFonts w:ascii="Times New Roman" w:hAnsi="Times New Roman" w:cs="Times New Roman"/>
                <w:bCs/>
                <w:kern w:val="0"/>
                <w:szCs w:val="21"/>
              </w:rPr>
              <w:t>.3项的规定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Align w:val="center"/>
          </w:tcPr>
          <w:p>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2.1.2</w:t>
            </w:r>
          </w:p>
        </w:tc>
        <w:tc>
          <w:tcPr>
            <w:tcW w:w="1096" w:type="dxa"/>
            <w:vAlign w:val="center"/>
          </w:tcPr>
          <w:p>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资格评审标准</w:t>
            </w:r>
          </w:p>
        </w:tc>
        <w:tc>
          <w:tcPr>
            <w:tcW w:w="17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资质条件、能力、信誉、其他要求</w:t>
            </w:r>
          </w:p>
        </w:tc>
        <w:tc>
          <w:tcPr>
            <w:tcW w:w="5659" w:type="dxa"/>
            <w:tcMar>
              <w:left w:w="75" w:type="dxa"/>
            </w:tcMar>
            <w:vAlign w:val="center"/>
          </w:tcPr>
          <w:p>
            <w:pPr>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符合第二章“供应商须知”第1.</w:t>
            </w:r>
            <w:r>
              <w:rPr>
                <w:rFonts w:hint="eastAsia" w:ascii="Times New Roman" w:hAnsi="Times New Roman" w:cs="Times New Roman"/>
                <w:kern w:val="0"/>
                <w:szCs w:val="21"/>
              </w:rPr>
              <w:t>2</w:t>
            </w:r>
            <w:r>
              <w:rPr>
                <w:rFonts w:ascii="Times New Roman" w:hAnsi="Times New Roman" w:cs="Times New Roman"/>
                <w:kern w:val="0"/>
                <w:szCs w:val="21"/>
              </w:rPr>
              <w:t>.1项</w:t>
            </w:r>
            <w:r>
              <w:rPr>
                <w:rFonts w:hint="eastAsia" w:ascii="Times New Roman" w:hAnsi="Times New Roman" w:cs="Times New Roman"/>
                <w:kern w:val="0"/>
                <w:szCs w:val="21"/>
              </w:rPr>
              <w:t>、第1.2.2项</w:t>
            </w:r>
            <w:r>
              <w:rPr>
                <w:rFonts w:ascii="Times New Roman" w:hAnsi="Times New Roman" w:cs="Times New Roman"/>
                <w:kern w:val="0"/>
                <w:szCs w:val="21"/>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vAlign w:val="center"/>
          </w:tcPr>
          <w:p>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2.1.3</w:t>
            </w:r>
          </w:p>
        </w:tc>
        <w:tc>
          <w:tcPr>
            <w:tcW w:w="1096" w:type="dxa"/>
            <w:vMerge w:val="restart"/>
            <w:vAlign w:val="center"/>
          </w:tcPr>
          <w:p>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响应性评审标准</w:t>
            </w:r>
          </w:p>
        </w:tc>
        <w:tc>
          <w:tcPr>
            <w:tcW w:w="17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报价内容</w:t>
            </w:r>
          </w:p>
        </w:tc>
        <w:tc>
          <w:tcPr>
            <w:tcW w:w="56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rPr>
              <w:t>符合</w:t>
            </w:r>
            <w:r>
              <w:rPr>
                <w:rFonts w:ascii="Times New Roman" w:hAnsi="Times New Roman" w:cs="Times New Roman"/>
              </w:rPr>
              <w:t>第一章“</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096"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7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工期</w:t>
            </w:r>
          </w:p>
        </w:tc>
        <w:tc>
          <w:tcPr>
            <w:tcW w:w="56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rPr>
              <w:t>符合</w:t>
            </w:r>
            <w:r>
              <w:rPr>
                <w:rFonts w:ascii="Times New Roman" w:hAnsi="Times New Roman" w:cs="Times New Roman"/>
              </w:rPr>
              <w:t>第一章“</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096"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7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质量要求</w:t>
            </w:r>
          </w:p>
        </w:tc>
        <w:tc>
          <w:tcPr>
            <w:tcW w:w="56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符合第二章“供应商须知”第1.</w:t>
            </w:r>
            <w:r>
              <w:rPr>
                <w:rFonts w:hint="eastAsia" w:ascii="Times New Roman" w:hAnsi="Times New Roman" w:cs="Times New Roman"/>
                <w:kern w:val="0"/>
                <w:szCs w:val="21"/>
              </w:rPr>
              <w:t>1</w:t>
            </w:r>
            <w:r>
              <w:rPr>
                <w:rFonts w:ascii="Times New Roman" w:hAnsi="Times New Roman" w:cs="Times New Roman"/>
                <w:kern w:val="0"/>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096"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7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响应有效期</w:t>
            </w:r>
          </w:p>
        </w:tc>
        <w:tc>
          <w:tcPr>
            <w:tcW w:w="5659" w:type="dxa"/>
            <w:tcMar>
              <w:left w:w="75" w:type="dxa"/>
            </w:tcMar>
            <w:vAlign w:val="center"/>
          </w:tcPr>
          <w:p>
            <w:pPr>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096"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7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响应保证金</w:t>
            </w:r>
          </w:p>
        </w:tc>
        <w:tc>
          <w:tcPr>
            <w:tcW w:w="56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符合第二章“供应商须知”第3.4.1项规定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096"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7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权利义务</w:t>
            </w:r>
          </w:p>
        </w:tc>
        <w:tc>
          <w:tcPr>
            <w:tcW w:w="56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bCs/>
                <w:kern w:val="0"/>
                <w:szCs w:val="21"/>
              </w:rPr>
              <w:t>符合询比文件规定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096"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759" w:type="dxa"/>
            <w:tcMar>
              <w:left w:w="75" w:type="dxa"/>
            </w:tcMar>
            <w:vAlign w:val="center"/>
          </w:tcPr>
          <w:p>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bCs/>
                <w:kern w:val="0"/>
                <w:szCs w:val="21"/>
              </w:rPr>
              <w:t>询比文件的获取</w:t>
            </w:r>
          </w:p>
        </w:tc>
        <w:tc>
          <w:tcPr>
            <w:tcW w:w="5659" w:type="dxa"/>
            <w:tcMar>
              <w:left w:w="75" w:type="dxa"/>
            </w:tcMar>
            <w:vAlign w:val="center"/>
          </w:tcPr>
          <w:p>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bCs/>
                <w:kern w:val="0"/>
                <w:szCs w:val="21"/>
              </w:rPr>
              <w:t>符合</w:t>
            </w:r>
            <w:r>
              <w:rPr>
                <w:rFonts w:ascii="Times New Roman" w:hAnsi="Times New Roman" w:cs="Times New Roman"/>
              </w:rPr>
              <w:t>第一章“</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bCs/>
                <w:kern w:val="0"/>
                <w:szCs w:val="21"/>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096"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759" w:type="dxa"/>
            <w:tcBorders>
              <w:top w:val="single" w:color="auto" w:sz="4" w:space="0"/>
              <w:left w:val="single" w:color="auto" w:sz="4" w:space="0"/>
              <w:right w:val="single" w:color="auto" w:sz="4" w:space="0"/>
            </w:tcBorders>
            <w:tcMar>
              <w:left w:w="75" w:type="dxa"/>
            </w:tcMar>
            <w:vAlign w:val="center"/>
          </w:tcPr>
          <w:p>
            <w:pPr>
              <w:widowControl/>
              <w:adjustRightInd w:val="0"/>
              <w:snapToGrid w:val="0"/>
              <w:spacing w:line="360" w:lineRule="atLeast"/>
              <w:jc w:val="left"/>
              <w:rPr>
                <w:rFonts w:ascii="Times New Roman" w:hAnsi="Times New Roman" w:cs="Times New Roman"/>
                <w:bCs/>
                <w:kern w:val="0"/>
                <w:szCs w:val="21"/>
              </w:rPr>
            </w:pPr>
            <w:r>
              <w:rPr>
                <w:rFonts w:hint="eastAsia" w:ascii="Times New Roman" w:hAnsi="Times New Roman" w:cs="Times New Roman"/>
                <w:bCs/>
                <w:kern w:val="0"/>
                <w:szCs w:val="21"/>
              </w:rPr>
              <w:t>联合体</w:t>
            </w:r>
          </w:p>
        </w:tc>
        <w:tc>
          <w:tcPr>
            <w:tcW w:w="5659" w:type="dxa"/>
            <w:tcBorders>
              <w:top w:val="outset" w:color="auto" w:sz="6" w:space="0"/>
              <w:left w:val="single" w:color="auto" w:sz="4" w:space="0"/>
              <w:right w:val="outset" w:color="auto" w:sz="6" w:space="0"/>
            </w:tcBorders>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未以联合体形式报价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096"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759" w:type="dxa"/>
            <w:tcBorders>
              <w:top w:val="single" w:color="auto" w:sz="4" w:space="0"/>
              <w:left w:val="single" w:color="auto" w:sz="4" w:space="0"/>
              <w:right w:val="single" w:color="auto" w:sz="4" w:space="0"/>
            </w:tcBorders>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bCs/>
                <w:kern w:val="0"/>
                <w:szCs w:val="21"/>
              </w:rPr>
              <w:t>分包</w:t>
            </w:r>
          </w:p>
        </w:tc>
        <w:tc>
          <w:tcPr>
            <w:tcW w:w="5659" w:type="dxa"/>
            <w:tcBorders>
              <w:top w:val="outset" w:color="auto" w:sz="6" w:space="0"/>
              <w:left w:val="single" w:color="auto" w:sz="4" w:space="0"/>
              <w:right w:val="outset" w:color="auto" w:sz="6" w:space="0"/>
            </w:tcBorders>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没有分包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096"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759" w:type="dxa"/>
            <w:tcBorders>
              <w:top w:val="single" w:color="auto" w:sz="4" w:space="0"/>
              <w:left w:val="single" w:color="auto" w:sz="4" w:space="0"/>
              <w:right w:val="single" w:color="auto" w:sz="4" w:space="0"/>
            </w:tcBorders>
            <w:tcMar>
              <w:left w:w="75" w:type="dxa"/>
            </w:tcMar>
            <w:vAlign w:val="center"/>
          </w:tcPr>
          <w:p>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kern w:val="0"/>
                <w:szCs w:val="21"/>
              </w:rPr>
              <w:t>报价</w:t>
            </w:r>
          </w:p>
        </w:tc>
        <w:tc>
          <w:tcPr>
            <w:tcW w:w="5659" w:type="dxa"/>
            <w:tcBorders>
              <w:top w:val="outset" w:color="auto" w:sz="6" w:space="0"/>
              <w:left w:val="single" w:color="auto" w:sz="4" w:space="0"/>
              <w:right w:val="outset" w:color="auto" w:sz="6" w:space="0"/>
            </w:tcBorders>
            <w:tcMar>
              <w:left w:w="75" w:type="dxa"/>
            </w:tcMar>
            <w:vAlign w:val="center"/>
          </w:tcPr>
          <w:p>
            <w:pPr>
              <w:widowControl/>
              <w:numPr>
                <w:ilvl w:val="0"/>
                <w:numId w:val="4"/>
              </w:numPr>
              <w:adjustRightInd w:val="0"/>
              <w:snapToGrid w:val="0"/>
              <w:spacing w:line="360" w:lineRule="atLeast"/>
              <w:jc w:val="left"/>
              <w:rPr>
                <w:rFonts w:ascii="Times New Roman" w:hAnsi="Times New Roman" w:cs="Times New Roman"/>
              </w:rPr>
            </w:pPr>
            <w:r>
              <w:rPr>
                <w:rFonts w:ascii="Times New Roman" w:hAnsi="Times New Roman" w:cs="Times New Roman"/>
              </w:rPr>
              <w:t>报价未超过询比文件设定的最高限价</w:t>
            </w:r>
          </w:p>
          <w:p>
            <w:pPr>
              <w:widowControl/>
              <w:adjustRightInd w:val="0"/>
              <w:snapToGrid w:val="0"/>
              <w:spacing w:line="360" w:lineRule="atLeast"/>
              <w:jc w:val="left"/>
              <w:rPr>
                <w:rFonts w:ascii="Times New Roman" w:hAnsi="Times New Roman"/>
              </w:rPr>
            </w:pPr>
            <w:r>
              <w:rPr>
                <w:rFonts w:hint="eastAsia" w:ascii="Times New Roman" w:hAnsi="Times New Roman" w:cs="Times New Roman"/>
              </w:rPr>
              <w:t>（2）已标价的工程量清单总报价和报价函的报价一致（四舍五入除外）。</w:t>
            </w:r>
          </w:p>
          <w:p>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3</w:t>
            </w:r>
            <w:r>
              <w:rPr>
                <w:rFonts w:ascii="Times New Roman" w:hAnsi="Times New Roman" w:cs="Times New Roman"/>
              </w:rPr>
              <w:t>）报价的大写数值能确定具体数值，未出现数量级错误、报价金额单位错误。</w:t>
            </w:r>
          </w:p>
          <w:p>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）同一供应商未递交两个以上不同的报价。</w:t>
            </w:r>
          </w:p>
          <w:p>
            <w:pPr>
              <w:widowControl/>
              <w:adjustRightInd w:val="0"/>
              <w:snapToGrid w:val="0"/>
              <w:spacing w:line="360" w:lineRule="atLeast"/>
              <w:jc w:val="left"/>
              <w:rPr>
                <w:rFonts w:ascii="Times New Roman" w:hAnsi="Times New Roman"/>
              </w:rPr>
            </w:pPr>
            <w:r>
              <w:rPr>
                <w:rFonts w:ascii="Times New Roman" w:hAnsi="Times New Roman" w:cs="Times New Roman"/>
              </w:rPr>
              <w:t>（</w:t>
            </w:r>
            <w:r>
              <w:rPr>
                <w:rFonts w:hint="eastAsia" w:ascii="Times New Roman" w:hAnsi="Times New Roman" w:cs="Times New Roman"/>
              </w:rPr>
              <w:t>5</w:t>
            </w:r>
            <w:r>
              <w:rPr>
                <w:rFonts w:ascii="Times New Roman" w:hAnsi="Times New Roman" w:cs="Times New Roman"/>
              </w:rPr>
              <w:t>）供应商</w:t>
            </w:r>
            <w:r>
              <w:rPr>
                <w:rFonts w:hint="eastAsia" w:ascii="Times New Roman" w:hAnsi="Times New Roman" w:cs="Times New Roman"/>
              </w:rPr>
              <w:t>按</w:t>
            </w:r>
            <w:r>
              <w:rPr>
                <w:rFonts w:ascii="Times New Roman" w:hAnsi="Times New Roman" w:cs="Times New Roman"/>
              </w:rPr>
              <w:t>采购人提供的书面工程量清单</w:t>
            </w:r>
            <w:r>
              <w:rPr>
                <w:rFonts w:hint="eastAsia" w:ascii="Times New Roman" w:hAnsi="Times New Roman" w:cs="Times New Roman"/>
              </w:rPr>
              <w:t>填写了报价，且未修改工程量清单说明、工程数量等实质性内容</w:t>
            </w:r>
            <w:r>
              <w:rPr>
                <w:rFonts w:ascii="Times New Roman" w:hAnsi="Times New Roman" w:cs="Times New Roman"/>
              </w:rPr>
              <w:t>。</w:t>
            </w:r>
          </w:p>
          <w:p>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6</w:t>
            </w:r>
            <w:r>
              <w:rPr>
                <w:rFonts w:ascii="Times New Roman" w:hAnsi="Times New Roman" w:cs="Times New Roman"/>
              </w:rPr>
              <w:t>）</w:t>
            </w:r>
            <w:r>
              <w:rPr>
                <w:rFonts w:hint="eastAsia" w:ascii="Times New Roman" w:hAnsi="Times New Roman" w:cs="Times New Roman"/>
              </w:rPr>
              <w:t>安全文明施工费、规费和税金等不可竞争费用，按照规定的标准计取</w:t>
            </w:r>
            <w:r>
              <w:rPr>
                <w:rFonts w:ascii="Times New Roman" w:hAnsi="Times New Roman" w:cs="Times New Roman"/>
              </w:rPr>
              <w:t>。</w:t>
            </w:r>
          </w:p>
          <w:p>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7</w:t>
            </w:r>
            <w:r>
              <w:rPr>
                <w:rFonts w:ascii="Times New Roman" w:hAnsi="Times New Roman" w:cs="Times New Roman"/>
              </w:rPr>
              <w:t>）已标价</w:t>
            </w:r>
            <w:r>
              <w:rPr>
                <w:rFonts w:ascii="Times New Roman" w:hAnsi="Times New Roman" w:cs="Times New Roman"/>
                <w:kern w:val="0"/>
                <w:szCs w:val="21"/>
              </w:rPr>
              <w:t>工程量清单中未更改询比文件确定的暂列金额。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096"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7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其他实质性要求</w:t>
            </w:r>
          </w:p>
        </w:tc>
        <w:tc>
          <w:tcPr>
            <w:tcW w:w="56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符合询比文件的其他实质性要求和条件</w:t>
            </w:r>
          </w:p>
        </w:tc>
      </w:tr>
    </w:tbl>
    <w:p>
      <w:pPr>
        <w:widowControl/>
        <w:spacing w:line="360" w:lineRule="atLeast"/>
        <w:jc w:val="center"/>
        <w:rPr>
          <w:rFonts w:ascii="Times New Roman" w:hAnsi="Times New Roman" w:cs="Times New Roman"/>
        </w:rPr>
      </w:pPr>
    </w:p>
    <w:tbl>
      <w:tblPr>
        <w:tblStyle w:val="14"/>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6"/>
        <w:gridCol w:w="1276"/>
        <w:gridCol w:w="6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1696" w:type="dxa"/>
            <w:vAlign w:val="center"/>
          </w:tcPr>
          <w:p>
            <w:pPr>
              <w:snapToGrid w:val="0"/>
              <w:jc w:val="center"/>
              <w:rPr>
                <w:rFonts w:ascii="Times New Roman" w:hAnsi="Times New Roman" w:cs="Times New Roman"/>
                <w:b/>
                <w:bCs/>
                <w:kern w:val="0"/>
                <w:szCs w:val="21"/>
              </w:rPr>
            </w:pPr>
            <w:r>
              <w:rPr>
                <w:rFonts w:ascii="Times New Roman" w:hAnsi="Times New Roman" w:cs="Times New Roman"/>
                <w:b/>
                <w:bCs/>
                <w:kern w:val="0"/>
                <w:szCs w:val="21"/>
              </w:rPr>
              <w:t>条款号</w:t>
            </w:r>
          </w:p>
        </w:tc>
        <w:tc>
          <w:tcPr>
            <w:tcW w:w="1276" w:type="dxa"/>
            <w:tcMar>
              <w:left w:w="75" w:type="dxa"/>
            </w:tcMar>
            <w:vAlign w:val="center"/>
          </w:tcPr>
          <w:p>
            <w:pPr>
              <w:snapToGrid w:val="0"/>
              <w:jc w:val="center"/>
              <w:rPr>
                <w:rFonts w:ascii="Times New Roman" w:hAnsi="Times New Roman" w:cs="Times New Roman"/>
                <w:b/>
                <w:bCs/>
                <w:kern w:val="0"/>
                <w:szCs w:val="21"/>
              </w:rPr>
            </w:pPr>
            <w:r>
              <w:rPr>
                <w:rFonts w:ascii="Times New Roman" w:hAnsi="Times New Roman" w:cs="Times New Roman"/>
                <w:b/>
                <w:bCs/>
                <w:kern w:val="0"/>
                <w:szCs w:val="21"/>
              </w:rPr>
              <w:t>条款内容</w:t>
            </w:r>
          </w:p>
        </w:tc>
        <w:tc>
          <w:tcPr>
            <w:tcW w:w="6232" w:type="dxa"/>
            <w:vAlign w:val="center"/>
          </w:tcPr>
          <w:p>
            <w:pPr>
              <w:widowControl/>
              <w:snapToGrid w:val="0"/>
              <w:jc w:val="center"/>
              <w:rPr>
                <w:rFonts w:ascii="Times New Roman" w:hAnsi="Times New Roman" w:cs="Times New Roman"/>
                <w:b/>
                <w:bCs/>
                <w:kern w:val="0"/>
                <w:szCs w:val="21"/>
              </w:rPr>
            </w:pPr>
            <w:r>
              <w:rPr>
                <w:rFonts w:ascii="Times New Roman" w:hAnsi="Times New Roman" w:cs="Times New Roman"/>
                <w:b/>
                <w:bCs/>
                <w:kern w:val="0"/>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1696" w:type="dxa"/>
            <w:vAlign w:val="center"/>
          </w:tcPr>
          <w:p>
            <w:pPr>
              <w:snapToGrid w:val="0"/>
              <w:jc w:val="center"/>
              <w:rPr>
                <w:rFonts w:ascii="Times New Roman" w:hAnsi="Times New Roman" w:cs="Times New Roman"/>
                <w:bCs/>
                <w:kern w:val="0"/>
                <w:szCs w:val="21"/>
              </w:rPr>
            </w:pPr>
            <w:r>
              <w:rPr>
                <w:rFonts w:ascii="Times New Roman" w:hAnsi="Times New Roman" w:cs="Times New Roman"/>
                <w:bCs/>
                <w:kern w:val="0"/>
                <w:szCs w:val="21"/>
              </w:rPr>
              <w:t>2.2.1</w:t>
            </w:r>
          </w:p>
        </w:tc>
        <w:tc>
          <w:tcPr>
            <w:tcW w:w="1276" w:type="dxa"/>
            <w:tcMar>
              <w:left w:w="75" w:type="dxa"/>
            </w:tcMar>
            <w:vAlign w:val="center"/>
          </w:tcPr>
          <w:p>
            <w:pPr>
              <w:snapToGrid w:val="0"/>
              <w:jc w:val="left"/>
              <w:rPr>
                <w:rFonts w:ascii="Times New Roman" w:hAnsi="Times New Roman" w:cs="Times New Roman"/>
                <w:bCs/>
                <w:kern w:val="0"/>
                <w:szCs w:val="21"/>
              </w:rPr>
            </w:pPr>
            <w:r>
              <w:rPr>
                <w:rFonts w:ascii="Times New Roman" w:hAnsi="Times New Roman" w:cs="Times New Roman"/>
                <w:szCs w:val="21"/>
              </w:rPr>
              <w:t>分值构成（100分）</w:t>
            </w:r>
          </w:p>
        </w:tc>
        <w:tc>
          <w:tcPr>
            <w:tcW w:w="6232" w:type="dxa"/>
            <w:vAlign w:val="center"/>
          </w:tcPr>
          <w:p>
            <w:pPr>
              <w:spacing w:line="360" w:lineRule="atLeast"/>
              <w:ind w:firstLine="420"/>
              <w:rPr>
                <w:rFonts w:ascii="Times New Roman" w:hAnsi="Times New Roman" w:cs="Times New Roman"/>
                <w:szCs w:val="21"/>
              </w:rPr>
            </w:pPr>
            <w:r>
              <w:rPr>
                <w:rFonts w:hint="eastAsia" w:ascii="Times New Roman" w:hAnsi="Times New Roman" w:cs="Times New Roman"/>
                <w:szCs w:val="21"/>
              </w:rPr>
              <w:t>项目管理机构</w:t>
            </w:r>
            <w:r>
              <w:rPr>
                <w:rFonts w:ascii="Times New Roman" w:hAnsi="Times New Roman" w:cs="Times New Roman"/>
                <w:szCs w:val="21"/>
              </w:rPr>
              <w:t>：</w:t>
            </w:r>
            <w:r>
              <w:rPr>
                <w:rFonts w:hint="eastAsia" w:ascii="Times New Roman" w:hAnsi="Times New Roman" w:cs="Times New Roman"/>
                <w:szCs w:val="21"/>
                <w:u w:val="single"/>
              </w:rPr>
              <w:t>10</w:t>
            </w:r>
            <w:r>
              <w:rPr>
                <w:rFonts w:ascii="Times New Roman" w:hAnsi="Times New Roman" w:cs="Times New Roman"/>
                <w:szCs w:val="21"/>
              </w:rPr>
              <w:t>_分</w:t>
            </w:r>
          </w:p>
          <w:p>
            <w:pPr>
              <w:spacing w:line="360" w:lineRule="atLeast"/>
              <w:ind w:firstLine="420"/>
              <w:rPr>
                <w:rFonts w:ascii="Times New Roman" w:hAnsi="Times New Roman" w:cs="Times New Roman"/>
                <w:szCs w:val="21"/>
              </w:rPr>
            </w:pPr>
            <w:r>
              <w:rPr>
                <w:rFonts w:ascii="Times New Roman" w:hAnsi="Times New Roman" w:cs="Times New Roman"/>
                <w:szCs w:val="21"/>
              </w:rPr>
              <w:t>施工组织设计：</w:t>
            </w:r>
            <w:r>
              <w:rPr>
                <w:rFonts w:hint="eastAsia" w:ascii="Times New Roman" w:hAnsi="Times New Roman" w:cs="Times New Roman"/>
                <w:szCs w:val="21"/>
                <w:u w:val="single"/>
                <w:lang w:val="en-US" w:eastAsia="zh-CN"/>
              </w:rPr>
              <w:t>20</w:t>
            </w:r>
            <w:r>
              <w:rPr>
                <w:rFonts w:ascii="Times New Roman" w:hAnsi="Times New Roman" w:cs="Times New Roman"/>
                <w:szCs w:val="21"/>
              </w:rPr>
              <w:t>分</w:t>
            </w:r>
          </w:p>
          <w:p>
            <w:pPr>
              <w:spacing w:line="360" w:lineRule="atLeast"/>
              <w:ind w:firstLine="420"/>
              <w:rPr>
                <w:rFonts w:ascii="Times New Roman" w:hAnsi="Times New Roman" w:cs="Times New Roman"/>
                <w:kern w:val="0"/>
                <w:szCs w:val="21"/>
              </w:rPr>
            </w:pPr>
            <w:r>
              <w:rPr>
                <w:rFonts w:ascii="Times New Roman" w:hAnsi="Times New Roman" w:cs="Times New Roman"/>
                <w:szCs w:val="21"/>
              </w:rPr>
              <w:t>评审价：</w:t>
            </w:r>
            <w:r>
              <w:rPr>
                <w:rFonts w:hint="eastAsia" w:ascii="Times New Roman" w:hAnsi="Times New Roman" w:cs="Times New Roman"/>
                <w:szCs w:val="21"/>
                <w:u w:val="single"/>
              </w:rPr>
              <w:t>70</w:t>
            </w:r>
            <w:r>
              <w:rPr>
                <w:rFonts w:ascii="Times New Roman" w:hAnsi="Times New Roman" w:cs="Times New Roman"/>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1696" w:type="dxa"/>
            <w:tcBorders>
              <w:top w:val="single" w:color="auto" w:sz="4" w:space="0"/>
              <w:bottom w:val="single" w:color="auto" w:sz="4" w:space="0"/>
              <w:right w:val="single" w:color="auto" w:sz="4" w:space="0"/>
            </w:tcBorders>
            <w:vAlign w:val="center"/>
          </w:tcPr>
          <w:p>
            <w:pPr>
              <w:snapToGrid w:val="0"/>
              <w:jc w:val="center"/>
              <w:rPr>
                <w:rFonts w:ascii="Times New Roman" w:hAnsi="Times New Roman" w:cs="Times New Roman"/>
                <w:bCs/>
                <w:kern w:val="0"/>
                <w:szCs w:val="21"/>
              </w:rPr>
            </w:pPr>
            <w:r>
              <w:rPr>
                <w:rFonts w:ascii="Times New Roman" w:hAnsi="Times New Roman" w:cs="Times New Roman"/>
                <w:szCs w:val="21"/>
              </w:rPr>
              <w:t>2.2.2</w:t>
            </w:r>
          </w:p>
        </w:tc>
        <w:tc>
          <w:tcPr>
            <w:tcW w:w="1276" w:type="dxa"/>
            <w:tcBorders>
              <w:top w:val="single" w:color="auto" w:sz="4" w:space="0"/>
              <w:bottom w:val="single" w:color="auto" w:sz="4" w:space="0"/>
              <w:right w:val="single" w:color="auto" w:sz="4" w:space="0"/>
            </w:tcBorders>
            <w:tcMar>
              <w:left w:w="75" w:type="dxa"/>
            </w:tcMar>
            <w:vAlign w:val="center"/>
          </w:tcPr>
          <w:p>
            <w:pPr>
              <w:snapToGrid w:val="0"/>
              <w:jc w:val="left"/>
              <w:rPr>
                <w:rFonts w:ascii="Times New Roman" w:hAnsi="Times New Roman" w:cs="Times New Roman"/>
                <w:szCs w:val="21"/>
              </w:rPr>
            </w:pPr>
            <w:r>
              <w:rPr>
                <w:rFonts w:ascii="Times New Roman" w:hAnsi="Times New Roman" w:cs="Times New Roman"/>
                <w:szCs w:val="21"/>
              </w:rPr>
              <w:t>评审基准价计算方法</w:t>
            </w:r>
          </w:p>
        </w:tc>
        <w:tc>
          <w:tcPr>
            <w:tcW w:w="6232"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360" w:lineRule="atLeast"/>
              <w:ind w:firstLine="420" w:firstLineChars="200"/>
              <w:rPr>
                <w:rFonts w:hint="eastAsia" w:ascii="Times New Roman" w:hAnsi="Times New Roman" w:cs="Times New Roman"/>
                <w:szCs w:val="21"/>
              </w:rPr>
            </w:pPr>
            <w:r>
              <w:rPr>
                <w:rFonts w:hint="eastAsia" w:ascii="Times New Roman" w:hAnsi="Times New Roman" w:cs="Times New Roman"/>
                <w:szCs w:val="21"/>
                <w:lang w:val="en-US" w:eastAsia="zh-CN"/>
              </w:rPr>
              <w:t>a.</w:t>
            </w:r>
            <w:r>
              <w:rPr>
                <w:rFonts w:hint="eastAsia" w:ascii="Times New Roman" w:hAnsi="Times New Roman" w:cs="Times New Roman"/>
                <w:szCs w:val="21"/>
              </w:rPr>
              <w:t xml:space="preserve">确定评标价 评标价=投标函文字报价； </w:t>
            </w:r>
          </w:p>
          <w:p>
            <w:pPr>
              <w:numPr>
                <w:ilvl w:val="0"/>
                <w:numId w:val="0"/>
              </w:numPr>
              <w:spacing w:line="360" w:lineRule="atLeast"/>
              <w:ind w:firstLine="420" w:firstLineChars="200"/>
              <w:rPr>
                <w:rFonts w:hint="eastAsia" w:ascii="Times New Roman" w:hAnsi="Times New Roman" w:cs="Times New Roman"/>
                <w:szCs w:val="21"/>
              </w:rPr>
            </w:pPr>
            <w:r>
              <w:rPr>
                <w:rFonts w:hint="eastAsia" w:ascii="Times New Roman" w:hAnsi="Times New Roman" w:cs="Times New Roman"/>
                <w:szCs w:val="21"/>
              </w:rPr>
              <w:t xml:space="preserve">b.纳入评标价平均值计算均须满足的情形 </w:t>
            </w:r>
          </w:p>
          <w:p>
            <w:pPr>
              <w:numPr>
                <w:ilvl w:val="0"/>
                <w:numId w:val="0"/>
              </w:numPr>
              <w:spacing w:line="360" w:lineRule="atLeast"/>
              <w:ind w:firstLine="420" w:firstLineChars="200"/>
              <w:rPr>
                <w:rFonts w:hint="eastAsia" w:ascii="Times New Roman" w:hAnsi="Times New Roman" w:cs="Times New Roman"/>
                <w:szCs w:val="21"/>
              </w:rPr>
            </w:pPr>
            <w:r>
              <w:rPr>
                <w:rFonts w:hint="eastAsia" w:ascii="Times New Roman" w:hAnsi="Times New Roman" w:cs="Times New Roman"/>
                <w:szCs w:val="21"/>
              </w:rPr>
              <w:t>（a）通过报价文件初步评审的投标文件的评标价；</w:t>
            </w:r>
          </w:p>
          <w:p>
            <w:pPr>
              <w:pStyle w:val="2"/>
              <w:ind w:firstLine="420" w:firstLineChars="200"/>
              <w:rPr>
                <w:rFonts w:hint="eastAsia"/>
                <w:highlight w:val="yellow"/>
              </w:rPr>
            </w:pPr>
            <w:r>
              <w:rPr>
                <w:rFonts w:hint="eastAsia"/>
                <w:highlight w:val="yellow"/>
              </w:rPr>
              <w:t>（b）评标价降幅≥</w:t>
            </w:r>
            <w:r>
              <w:rPr>
                <w:rFonts w:hint="eastAsia"/>
                <w:highlight w:val="yellow"/>
                <w:lang w:val="en-US" w:eastAsia="zh-CN"/>
              </w:rPr>
              <w:t>8</w:t>
            </w:r>
            <w:r>
              <w:rPr>
                <w:rFonts w:hint="eastAsia"/>
                <w:highlight w:val="yellow"/>
              </w:rPr>
              <w:t xml:space="preserve"> %； [评标价降幅=（1-评标价/最高投标限价）*100%]</w:t>
            </w:r>
          </w:p>
          <w:p>
            <w:pPr>
              <w:pStyle w:val="2"/>
              <w:ind w:firstLine="420" w:firstLineChars="200"/>
              <w:rPr>
                <w:rFonts w:hint="eastAsia" w:ascii="Times New Roman" w:hAnsi="Times New Roman" w:cs="Times New Roman"/>
                <w:szCs w:val="21"/>
              </w:rPr>
            </w:pPr>
            <w:r>
              <w:rPr>
                <w:rFonts w:hint="eastAsia" w:ascii="Times New Roman" w:hAnsi="Times New Roman" w:cs="Times New Roman"/>
                <w:szCs w:val="21"/>
              </w:rPr>
              <w:t xml:space="preserve">c.计算评标价平均值 </w:t>
            </w:r>
          </w:p>
          <w:p>
            <w:pPr>
              <w:numPr>
                <w:ilvl w:val="0"/>
                <w:numId w:val="0"/>
              </w:numPr>
              <w:spacing w:line="360" w:lineRule="atLeast"/>
              <w:ind w:firstLine="420" w:firstLineChars="200"/>
              <w:rPr>
                <w:rFonts w:hint="eastAsia" w:ascii="Times New Roman" w:hAnsi="Times New Roman" w:cs="Times New Roman"/>
                <w:szCs w:val="21"/>
              </w:rPr>
            </w:pPr>
            <w:r>
              <w:rPr>
                <w:rFonts w:hint="eastAsia" w:ascii="Times New Roman" w:hAnsi="Times New Roman" w:cs="Times New Roman"/>
                <w:szCs w:val="21"/>
              </w:rPr>
              <w:t xml:space="preserve">以通过上述“b.纳入评标价平均值计算均须满足的情形”评审 的投标文件的评标价作为有效评标价;如出现无法计算评标价平均值的情况，评标委员会将否决所有投标。 </w:t>
            </w:r>
          </w:p>
          <w:p>
            <w:pPr>
              <w:numPr>
                <w:ilvl w:val="0"/>
                <w:numId w:val="0"/>
              </w:numPr>
              <w:spacing w:line="360" w:lineRule="atLeast"/>
              <w:ind w:firstLine="420" w:firstLineChars="200"/>
              <w:rPr>
                <w:rFonts w:hint="eastAsia" w:ascii="Times New Roman" w:hAnsi="Times New Roman" w:cs="Times New Roman"/>
                <w:szCs w:val="21"/>
              </w:rPr>
            </w:pPr>
            <w:r>
              <w:rPr>
                <w:rFonts w:hint="eastAsia" w:ascii="Times New Roman" w:hAnsi="Times New Roman" w:cs="Times New Roman"/>
                <w:szCs w:val="21"/>
              </w:rPr>
              <w:t xml:space="preserve">对所有有效评标价按照由低到高进行排序，去除 n 个较高有效 评标价和 n 个较低有效评标价，取其他有效评标价进行算术平均得 出评标价平均值。设有效评标价对应的投标人数量为 X，n 按照以 下规定取值： </w:t>
            </w:r>
          </w:p>
          <w:p>
            <w:pPr>
              <w:numPr>
                <w:ilvl w:val="0"/>
                <w:numId w:val="0"/>
              </w:numPr>
              <w:spacing w:line="360" w:lineRule="atLeast"/>
              <w:rPr>
                <w:rFonts w:hint="eastAsia" w:ascii="Times New Roman" w:hAnsi="Times New Roman" w:cs="Times New Roman"/>
                <w:szCs w:val="21"/>
              </w:rPr>
            </w:pPr>
            <w:r>
              <w:rPr>
                <w:rFonts w:hint="eastAsia" w:ascii="Times New Roman" w:hAnsi="Times New Roman" w:cs="Times New Roman"/>
                <w:szCs w:val="21"/>
              </w:rPr>
              <w:t>①当 X≤5，n=0；</w:t>
            </w:r>
          </w:p>
          <w:p>
            <w:pPr>
              <w:spacing w:line="360" w:lineRule="atLeast"/>
              <w:rPr>
                <w:rFonts w:hint="eastAsia" w:ascii="Times New Roman" w:hAnsi="Times New Roman" w:cs="Times New Roman"/>
                <w:szCs w:val="21"/>
              </w:rPr>
            </w:pPr>
            <w:r>
              <w:rPr>
                <w:rFonts w:hint="eastAsia" w:ascii="Times New Roman" w:hAnsi="Times New Roman" w:cs="Times New Roman"/>
                <w:szCs w:val="21"/>
              </w:rPr>
              <w:t xml:space="preserve">②当 5＜X≤10，n=1； </w:t>
            </w:r>
          </w:p>
          <w:p>
            <w:pPr>
              <w:spacing w:line="360" w:lineRule="atLeast"/>
              <w:rPr>
                <w:rFonts w:hint="eastAsia" w:ascii="Times New Roman" w:hAnsi="Times New Roman" w:cs="Times New Roman"/>
                <w:szCs w:val="21"/>
              </w:rPr>
            </w:pPr>
            <w:r>
              <w:rPr>
                <w:rFonts w:hint="eastAsia" w:ascii="Times New Roman" w:hAnsi="Times New Roman" w:cs="Times New Roman"/>
                <w:szCs w:val="21"/>
              </w:rPr>
              <w:t xml:space="preserve">③当 10＜X≤20，n=2； </w:t>
            </w:r>
          </w:p>
          <w:p>
            <w:pPr>
              <w:spacing w:line="360" w:lineRule="atLeast"/>
              <w:rPr>
                <w:rFonts w:hint="eastAsia" w:ascii="Times New Roman" w:hAnsi="Times New Roman" w:cs="Times New Roman"/>
                <w:szCs w:val="21"/>
              </w:rPr>
            </w:pPr>
            <w:r>
              <w:rPr>
                <w:rFonts w:hint="eastAsia" w:ascii="Times New Roman" w:hAnsi="Times New Roman" w:cs="Times New Roman"/>
                <w:szCs w:val="21"/>
              </w:rPr>
              <w:t xml:space="preserve">④当 20＜X≤30，n=3；以此类推。 </w:t>
            </w:r>
          </w:p>
          <w:p>
            <w:pPr>
              <w:spacing w:line="360" w:lineRule="atLeast"/>
              <w:ind w:firstLine="420" w:firstLineChars="200"/>
              <w:rPr>
                <w:rFonts w:hint="eastAsia" w:ascii="Times New Roman" w:hAnsi="Times New Roman" w:cs="Times New Roman" w:eastAsiaTheme="minorEastAsia"/>
                <w:szCs w:val="21"/>
                <w:lang w:eastAsia="zh-CN"/>
              </w:rPr>
            </w:pPr>
            <w:r>
              <w:rPr>
                <w:rFonts w:hint="eastAsia" w:ascii="Times New Roman" w:hAnsi="Times New Roman" w:cs="Times New Roman"/>
                <w:szCs w:val="21"/>
              </w:rPr>
              <w:t>d.确定评标基准价 评标基准价=评标价平均值 评标基准价除存在计算错误之外，不随任何因素发生变化</w:t>
            </w:r>
            <w:r>
              <w:rPr>
                <w:rFonts w:hint="eastAsia" w:ascii="Times New Roman" w:hAnsi="Times New Roman" w:cs="Times New Roman"/>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1696" w:type="dxa"/>
            <w:tcBorders>
              <w:top w:val="single" w:color="auto" w:sz="4" w:space="0"/>
              <w:right w:val="single" w:color="auto" w:sz="4" w:space="0"/>
            </w:tcBorders>
            <w:vAlign w:val="center"/>
          </w:tcPr>
          <w:p>
            <w:pPr>
              <w:snapToGrid w:val="0"/>
              <w:jc w:val="center"/>
              <w:rPr>
                <w:rFonts w:ascii="Times New Roman" w:hAnsi="Times New Roman" w:cs="Times New Roman"/>
                <w:szCs w:val="21"/>
              </w:rPr>
            </w:pPr>
            <w:r>
              <w:rPr>
                <w:rFonts w:ascii="Times New Roman" w:hAnsi="Times New Roman" w:cs="Times New Roman"/>
                <w:szCs w:val="21"/>
              </w:rPr>
              <w:t>2.2.3</w:t>
            </w:r>
          </w:p>
        </w:tc>
        <w:tc>
          <w:tcPr>
            <w:tcW w:w="1276" w:type="dxa"/>
            <w:tcBorders>
              <w:top w:val="single" w:color="auto" w:sz="4" w:space="0"/>
              <w:right w:val="single" w:color="auto" w:sz="4" w:space="0"/>
            </w:tcBorders>
            <w:tcMar>
              <w:left w:w="75" w:type="dxa"/>
            </w:tcMar>
            <w:vAlign w:val="center"/>
          </w:tcPr>
          <w:p>
            <w:pPr>
              <w:snapToGrid w:val="0"/>
              <w:jc w:val="left"/>
              <w:rPr>
                <w:rFonts w:ascii="Times New Roman" w:hAnsi="Times New Roman" w:cs="Times New Roman"/>
                <w:szCs w:val="21"/>
              </w:rPr>
            </w:pPr>
            <w:r>
              <w:rPr>
                <w:rFonts w:ascii="Times New Roman" w:hAnsi="Times New Roman" w:cs="Times New Roman"/>
                <w:szCs w:val="21"/>
              </w:rPr>
              <w:t>评审价的偏差率计算公式</w:t>
            </w:r>
          </w:p>
        </w:tc>
        <w:tc>
          <w:tcPr>
            <w:tcW w:w="6232" w:type="dxa"/>
            <w:tcBorders>
              <w:top w:val="single" w:color="auto" w:sz="4" w:space="0"/>
              <w:left w:val="single" w:color="auto" w:sz="4" w:space="0"/>
              <w:right w:val="single" w:color="auto" w:sz="4" w:space="0"/>
            </w:tcBorders>
            <w:vAlign w:val="center"/>
          </w:tcPr>
          <w:p>
            <w:pPr>
              <w:spacing w:line="360" w:lineRule="atLeast"/>
              <w:ind w:firstLine="420"/>
              <w:rPr>
                <w:rFonts w:ascii="Times New Roman" w:hAnsi="Times New Roman" w:cs="Times New Roman"/>
                <w:szCs w:val="21"/>
              </w:rPr>
            </w:pPr>
            <w:r>
              <w:rPr>
                <w:rFonts w:ascii="Times New Roman" w:hAnsi="Times New Roman" w:cs="Times New Roman"/>
                <w:szCs w:val="21"/>
              </w:rPr>
              <w:t>偏差率=100% ×（供应商评审价－评审基准价）/评审基准价</w:t>
            </w:r>
          </w:p>
          <w:p>
            <w:pPr>
              <w:spacing w:line="360" w:lineRule="atLeast"/>
              <w:ind w:firstLine="420"/>
              <w:rPr>
                <w:rFonts w:ascii="Times New Roman" w:hAnsi="Times New Roman" w:cs="Times New Roman"/>
                <w:szCs w:val="21"/>
              </w:rPr>
            </w:pPr>
            <w:r>
              <w:rPr>
                <w:rFonts w:ascii="Times New Roman" w:hAnsi="Times New Roman" w:cs="Times New Roman"/>
                <w:szCs w:val="21"/>
              </w:rPr>
              <w:t>偏差率保留</w:t>
            </w:r>
            <w:r>
              <w:rPr>
                <w:rFonts w:ascii="Times New Roman" w:hAnsi="Times New Roman" w:cs="Times New Roman"/>
                <w:szCs w:val="21"/>
                <w:u w:val="single"/>
              </w:rPr>
              <w:t xml:space="preserve">  </w:t>
            </w:r>
            <w:r>
              <w:rPr>
                <w:rFonts w:hint="eastAsia" w:ascii="Times New Roman" w:hAnsi="Times New Roman" w:cs="Times New Roman"/>
                <w:szCs w:val="21"/>
                <w:u w:val="single"/>
              </w:rPr>
              <w:t>2</w:t>
            </w:r>
            <w:r>
              <w:rPr>
                <w:rFonts w:ascii="Times New Roman" w:hAnsi="Times New Roman" w:cs="Times New Roman"/>
                <w:szCs w:val="21"/>
                <w:u w:val="single"/>
              </w:rPr>
              <w:t xml:space="preserve">  </w:t>
            </w:r>
            <w:r>
              <w:rPr>
                <w:rFonts w:ascii="Times New Roman" w:hAnsi="Times New Roman" w:cs="Times New Roman"/>
                <w:szCs w:val="21"/>
              </w:rPr>
              <w:t>位小数</w:t>
            </w:r>
          </w:p>
        </w:tc>
      </w:tr>
    </w:tbl>
    <w:p>
      <w:pPr>
        <w:jc w:val="right"/>
        <w:rPr>
          <w:rFonts w:ascii="Times New Roman" w:hAnsi="Times New Roman" w:cs="Times New Roman"/>
          <w:spacing w:val="4"/>
          <w:szCs w:val="21"/>
        </w:rPr>
      </w:pPr>
    </w:p>
    <w:p>
      <w:pPr>
        <w:jc w:val="right"/>
        <w:rPr>
          <w:rFonts w:ascii="Times New Roman" w:hAnsi="Times New Roman" w:cs="Times New Roman"/>
        </w:rPr>
      </w:pPr>
      <w:r>
        <w:rPr>
          <w:rFonts w:ascii="Times New Roman" w:hAnsi="Times New Roman" w:cs="Times New Roman"/>
          <w:spacing w:val="4"/>
          <w:szCs w:val="21"/>
        </w:rPr>
        <w:t>续上表</w:t>
      </w:r>
    </w:p>
    <w:tbl>
      <w:tblPr>
        <w:tblStyle w:val="14"/>
        <w:tblW w:w="92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1635"/>
        <w:gridCol w:w="1005"/>
        <w:gridCol w:w="1453"/>
        <w:gridCol w:w="1133"/>
        <w:gridCol w:w="2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386" w:type="dxa"/>
            <w:gridSpan w:val="5"/>
            <w:tcBorders>
              <w:top w:val="single" w:color="auto" w:sz="4" w:space="0"/>
            </w:tcBorders>
          </w:tcPr>
          <w:p>
            <w:pPr>
              <w:spacing w:line="380" w:lineRule="atLeast"/>
              <w:jc w:val="center"/>
              <w:rPr>
                <w:rFonts w:ascii="Times New Roman" w:hAnsi="Times New Roman" w:cs="Times New Roman"/>
                <w:b/>
                <w:szCs w:val="21"/>
              </w:rPr>
            </w:pPr>
            <w:r>
              <w:rPr>
                <w:rFonts w:ascii="Times New Roman" w:hAnsi="Times New Roman" w:cs="Times New Roman"/>
                <w:b/>
                <w:szCs w:val="21"/>
              </w:rPr>
              <w:t>评分因素与权重分值</w:t>
            </w:r>
          </w:p>
        </w:tc>
        <w:tc>
          <w:tcPr>
            <w:tcW w:w="2818" w:type="dxa"/>
            <w:vMerge w:val="restart"/>
            <w:tcBorders>
              <w:top w:val="single" w:color="auto" w:sz="4" w:space="0"/>
            </w:tcBorders>
            <w:vAlign w:val="center"/>
          </w:tcPr>
          <w:p>
            <w:pPr>
              <w:spacing w:line="380" w:lineRule="atLeast"/>
              <w:jc w:val="center"/>
              <w:rPr>
                <w:rFonts w:ascii="Times New Roman" w:hAnsi="Times New Roman" w:cs="Times New Roman"/>
                <w:b/>
                <w:szCs w:val="21"/>
              </w:rPr>
            </w:pPr>
            <w:r>
              <w:rPr>
                <w:rFonts w:ascii="Times New Roman" w:hAnsi="Times New Roman" w:cs="Times New Roman"/>
                <w:b/>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60" w:type="dxa"/>
            <w:vAlign w:val="center"/>
          </w:tcPr>
          <w:p>
            <w:pPr>
              <w:spacing w:line="380" w:lineRule="atLeast"/>
              <w:jc w:val="center"/>
              <w:rPr>
                <w:rFonts w:ascii="Times New Roman" w:hAnsi="Times New Roman" w:cs="Times New Roman"/>
                <w:b/>
                <w:szCs w:val="21"/>
              </w:rPr>
            </w:pPr>
            <w:r>
              <w:rPr>
                <w:rFonts w:ascii="Times New Roman" w:hAnsi="Times New Roman" w:cs="Times New Roman"/>
                <w:b/>
                <w:szCs w:val="21"/>
              </w:rPr>
              <w:t>条款号</w:t>
            </w:r>
          </w:p>
        </w:tc>
        <w:tc>
          <w:tcPr>
            <w:tcW w:w="1635" w:type="dxa"/>
            <w:vAlign w:val="center"/>
          </w:tcPr>
          <w:p>
            <w:pPr>
              <w:spacing w:line="380" w:lineRule="atLeast"/>
              <w:jc w:val="center"/>
              <w:rPr>
                <w:rFonts w:ascii="Times New Roman" w:hAnsi="Times New Roman" w:cs="Times New Roman"/>
                <w:b/>
                <w:szCs w:val="21"/>
              </w:rPr>
            </w:pPr>
            <w:r>
              <w:rPr>
                <w:rFonts w:ascii="Times New Roman" w:hAnsi="Times New Roman" w:cs="Times New Roman"/>
                <w:b/>
                <w:szCs w:val="21"/>
              </w:rPr>
              <w:t>评分因素</w:t>
            </w:r>
          </w:p>
        </w:tc>
        <w:tc>
          <w:tcPr>
            <w:tcW w:w="1005" w:type="dxa"/>
            <w:vAlign w:val="center"/>
          </w:tcPr>
          <w:p>
            <w:pPr>
              <w:spacing w:line="380" w:lineRule="atLeast"/>
              <w:ind w:left="-105" w:leftChars="-50" w:right="-105" w:rightChars="-50"/>
              <w:jc w:val="center"/>
              <w:rPr>
                <w:rFonts w:ascii="Times New Roman" w:hAnsi="Times New Roman" w:cs="Times New Roman"/>
                <w:b/>
                <w:szCs w:val="21"/>
              </w:rPr>
            </w:pPr>
            <w:r>
              <w:rPr>
                <w:rFonts w:ascii="Times New Roman" w:hAnsi="Times New Roman" w:cs="Times New Roman"/>
                <w:b/>
                <w:szCs w:val="21"/>
              </w:rPr>
              <w:t>评分因素权重分值</w:t>
            </w:r>
          </w:p>
        </w:tc>
        <w:tc>
          <w:tcPr>
            <w:tcW w:w="1453" w:type="dxa"/>
            <w:vAlign w:val="center"/>
          </w:tcPr>
          <w:p>
            <w:pPr>
              <w:spacing w:line="380" w:lineRule="atLeast"/>
              <w:jc w:val="center"/>
              <w:rPr>
                <w:rFonts w:ascii="Times New Roman" w:hAnsi="Times New Roman" w:cs="Times New Roman"/>
                <w:b/>
                <w:szCs w:val="21"/>
              </w:rPr>
            </w:pPr>
            <w:r>
              <w:rPr>
                <w:rFonts w:ascii="Times New Roman" w:hAnsi="Times New Roman" w:cs="Times New Roman"/>
                <w:b/>
                <w:szCs w:val="21"/>
              </w:rPr>
              <w:t>各评分因素细分项</w:t>
            </w:r>
          </w:p>
        </w:tc>
        <w:tc>
          <w:tcPr>
            <w:tcW w:w="1133" w:type="dxa"/>
            <w:vAlign w:val="center"/>
          </w:tcPr>
          <w:p>
            <w:pPr>
              <w:spacing w:line="380" w:lineRule="atLeast"/>
              <w:jc w:val="right"/>
              <w:rPr>
                <w:rFonts w:ascii="Times New Roman" w:hAnsi="Times New Roman" w:cs="Times New Roman"/>
                <w:b/>
                <w:szCs w:val="21"/>
              </w:rPr>
            </w:pPr>
            <w:r>
              <w:rPr>
                <w:rFonts w:ascii="Times New Roman" w:hAnsi="Times New Roman" w:cs="Times New Roman"/>
                <w:b/>
                <w:szCs w:val="21"/>
              </w:rPr>
              <w:t>分值</w:t>
            </w:r>
          </w:p>
        </w:tc>
        <w:tc>
          <w:tcPr>
            <w:tcW w:w="2818" w:type="dxa"/>
            <w:vMerge w:val="continue"/>
          </w:tcPr>
          <w:p>
            <w:pPr>
              <w:spacing w:line="380" w:lineRule="atLeast"/>
              <w:jc w:val="center"/>
              <w:rPr>
                <w:rFonts w:ascii="Times New Roman" w:hAnsi="Times New Roman"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restart"/>
            <w:vAlign w:val="center"/>
          </w:tcPr>
          <w:p>
            <w:pPr>
              <w:spacing w:line="380" w:lineRule="atLeast"/>
              <w:jc w:val="center"/>
              <w:rPr>
                <w:rFonts w:ascii="Times New Roman" w:hAnsi="Times New Roman" w:cs="Times New Roman"/>
                <w:szCs w:val="21"/>
              </w:rPr>
            </w:pPr>
            <w:r>
              <w:rPr>
                <w:rFonts w:ascii="Times New Roman" w:hAnsi="Times New Roman" w:cs="Times New Roman"/>
                <w:szCs w:val="21"/>
              </w:rPr>
              <w:t>2.2.4</w:t>
            </w:r>
            <w:r>
              <w:rPr>
                <w:rFonts w:hint="eastAsia" w:ascii="Times New Roman" w:hAnsi="Times New Roman" w:cs="Times New Roman"/>
                <w:szCs w:val="21"/>
              </w:rPr>
              <w:t>（</w:t>
            </w:r>
            <w:r>
              <w:rPr>
                <w:rFonts w:hint="eastAsia" w:ascii="Times New Roman" w:hAnsi="Times New Roman" w:cs="Times New Roman"/>
                <w:szCs w:val="21"/>
                <w:lang w:val="en-US" w:eastAsia="zh-CN"/>
              </w:rPr>
              <w:t>1</w:t>
            </w:r>
            <w:r>
              <w:rPr>
                <w:rFonts w:hint="eastAsia" w:ascii="Times New Roman" w:hAnsi="Times New Roman" w:cs="Times New Roman"/>
                <w:szCs w:val="21"/>
              </w:rPr>
              <w:t>）</w:t>
            </w:r>
          </w:p>
        </w:tc>
        <w:tc>
          <w:tcPr>
            <w:tcW w:w="1635" w:type="dxa"/>
            <w:vMerge w:val="restart"/>
            <w:vAlign w:val="center"/>
          </w:tcPr>
          <w:p>
            <w:pPr>
              <w:spacing w:line="380" w:lineRule="atLeast"/>
              <w:jc w:val="center"/>
              <w:rPr>
                <w:rFonts w:ascii="Times New Roman" w:hAnsi="Times New Roman" w:cs="Times New Roman"/>
                <w:szCs w:val="21"/>
              </w:rPr>
            </w:pPr>
            <w:r>
              <w:rPr>
                <w:rFonts w:hint="eastAsia" w:ascii="Times New Roman" w:hAnsi="Times New Roman" w:cs="Times New Roman"/>
                <w:szCs w:val="21"/>
              </w:rPr>
              <w:t>项目管理机构</w:t>
            </w:r>
          </w:p>
        </w:tc>
        <w:tc>
          <w:tcPr>
            <w:tcW w:w="1005" w:type="dxa"/>
            <w:vMerge w:val="restart"/>
            <w:vAlign w:val="center"/>
          </w:tcPr>
          <w:p>
            <w:pPr>
              <w:spacing w:line="380" w:lineRule="atLeast"/>
              <w:jc w:val="center"/>
              <w:rPr>
                <w:rFonts w:ascii="Times New Roman" w:hAnsi="Times New Roman" w:cs="Times New Roman"/>
                <w:szCs w:val="21"/>
                <w:u w:val="single"/>
              </w:rPr>
            </w:pPr>
            <w:r>
              <w:rPr>
                <w:rFonts w:hint="eastAsia" w:ascii="Times New Roman" w:hAnsi="Times New Roman" w:cs="Times New Roman"/>
                <w:szCs w:val="21"/>
                <w:u w:val="single"/>
              </w:rPr>
              <w:t>10</w:t>
            </w:r>
            <w:r>
              <w:rPr>
                <w:rFonts w:ascii="Times New Roman" w:hAnsi="Times New Roman" w:cs="Times New Roman"/>
                <w:szCs w:val="21"/>
                <w:u w:val="single"/>
              </w:rPr>
              <w:t xml:space="preserve">  </w:t>
            </w:r>
            <w:r>
              <w:rPr>
                <w:rFonts w:ascii="Times New Roman" w:hAnsi="Times New Roman" w:cs="Times New Roman"/>
                <w:szCs w:val="21"/>
              </w:rPr>
              <w:t>分</w:t>
            </w:r>
          </w:p>
        </w:tc>
        <w:tc>
          <w:tcPr>
            <w:tcW w:w="1453" w:type="dxa"/>
            <w:vAlign w:val="center"/>
          </w:tcPr>
          <w:p>
            <w:pPr>
              <w:spacing w:line="380" w:lineRule="atLeast"/>
              <w:jc w:val="center"/>
              <w:rPr>
                <w:rFonts w:ascii="Times New Roman" w:hAnsi="Times New Roman" w:cs="Times New Roman"/>
                <w:szCs w:val="21"/>
              </w:rPr>
            </w:pPr>
            <w:r>
              <w:rPr>
                <w:rFonts w:ascii="Times New Roman" w:hAnsi="Times New Roman" w:cs="Times New Roman"/>
                <w:szCs w:val="21"/>
              </w:rPr>
              <w:t>拟任项目经理资质</w:t>
            </w:r>
          </w:p>
        </w:tc>
        <w:tc>
          <w:tcPr>
            <w:tcW w:w="1133" w:type="dxa"/>
            <w:vAlign w:val="center"/>
          </w:tcPr>
          <w:p>
            <w:pPr>
              <w:spacing w:line="380" w:lineRule="atLeast"/>
              <w:jc w:val="center"/>
              <w:rPr>
                <w:rFonts w:ascii="Times New Roman" w:hAnsi="Times New Roman" w:cs="Times New Roman"/>
                <w:szCs w:val="21"/>
              </w:rPr>
            </w:pPr>
            <w:r>
              <w:rPr>
                <w:rFonts w:hint="eastAsia" w:ascii="Times New Roman" w:hAnsi="Times New Roman" w:cs="Times New Roman"/>
                <w:szCs w:val="21"/>
              </w:rPr>
              <w:t>5分</w:t>
            </w:r>
          </w:p>
        </w:tc>
        <w:tc>
          <w:tcPr>
            <w:tcW w:w="2818" w:type="dxa"/>
            <w:vAlign w:val="center"/>
          </w:tcPr>
          <w:p>
            <w:pPr>
              <w:spacing w:line="380" w:lineRule="atLeast"/>
              <w:jc w:val="center"/>
              <w:rPr>
                <w:rFonts w:hint="eastAsia" w:ascii="Times New Roman" w:hAnsi="Times New Roman" w:cs="Times New Roman" w:eastAsiaTheme="minorEastAsia"/>
                <w:szCs w:val="21"/>
                <w:lang w:val="en-US" w:eastAsia="zh-CN"/>
              </w:rPr>
            </w:pPr>
            <w:r>
              <w:rPr>
                <w:rFonts w:hint="eastAsia" w:ascii="宋体" w:hAnsi="宋体" w:cs="宋体"/>
                <w:szCs w:val="22"/>
              </w:rPr>
              <w:t>拟任项目经理具有建筑工程二级及以上建造师证书且常驻现场的得5分，</w:t>
            </w:r>
            <w:r>
              <w:rPr>
                <w:rFonts w:hint="eastAsia" w:ascii="宋体" w:hAnsi="宋体" w:cs="仿宋"/>
                <w:szCs w:val="22"/>
              </w:rPr>
              <w:t>满分5分</w:t>
            </w:r>
            <w:r>
              <w:rPr>
                <w:rFonts w:hint="eastAsia" w:ascii="宋体" w:hAnsi="宋体"/>
                <w:kern w:val="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0" w:type="dxa"/>
            <w:vMerge w:val="continue"/>
            <w:vAlign w:val="center"/>
          </w:tcPr>
          <w:p>
            <w:pPr>
              <w:spacing w:line="380" w:lineRule="atLeast"/>
              <w:jc w:val="center"/>
              <w:rPr>
                <w:rFonts w:ascii="Times New Roman" w:hAnsi="Times New Roman" w:cs="Times New Roman"/>
                <w:szCs w:val="21"/>
              </w:rPr>
            </w:pPr>
          </w:p>
        </w:tc>
        <w:tc>
          <w:tcPr>
            <w:tcW w:w="1635" w:type="dxa"/>
            <w:vMerge w:val="continue"/>
            <w:vAlign w:val="center"/>
          </w:tcPr>
          <w:p>
            <w:pPr>
              <w:spacing w:line="380" w:lineRule="atLeast"/>
              <w:jc w:val="center"/>
              <w:rPr>
                <w:rFonts w:ascii="Times New Roman" w:hAnsi="Times New Roman" w:cs="Times New Roman"/>
                <w:szCs w:val="21"/>
              </w:rPr>
            </w:pPr>
          </w:p>
        </w:tc>
        <w:tc>
          <w:tcPr>
            <w:tcW w:w="1005" w:type="dxa"/>
            <w:vMerge w:val="continue"/>
            <w:vAlign w:val="center"/>
          </w:tcPr>
          <w:p>
            <w:pPr>
              <w:spacing w:line="380" w:lineRule="atLeast"/>
              <w:jc w:val="center"/>
              <w:rPr>
                <w:rFonts w:ascii="Times New Roman" w:hAnsi="Times New Roman" w:cs="Times New Roman"/>
                <w:szCs w:val="21"/>
                <w:u w:val="single"/>
              </w:rPr>
            </w:pPr>
          </w:p>
        </w:tc>
        <w:tc>
          <w:tcPr>
            <w:tcW w:w="1453" w:type="dxa"/>
            <w:vAlign w:val="center"/>
          </w:tcPr>
          <w:p>
            <w:pPr>
              <w:spacing w:line="380" w:lineRule="atLeast"/>
              <w:jc w:val="center"/>
              <w:rPr>
                <w:rFonts w:ascii="Times New Roman" w:hAnsi="Times New Roman" w:cs="Times New Roman"/>
                <w:szCs w:val="21"/>
              </w:rPr>
            </w:pPr>
            <w:r>
              <w:rPr>
                <w:rFonts w:hint="eastAsia" w:ascii="Times New Roman" w:hAnsi="Times New Roman" w:cs="Times New Roman"/>
                <w:szCs w:val="21"/>
              </w:rPr>
              <w:t>拟派项目管理人员情况</w:t>
            </w:r>
          </w:p>
        </w:tc>
        <w:tc>
          <w:tcPr>
            <w:tcW w:w="1133" w:type="dxa"/>
            <w:vAlign w:val="center"/>
          </w:tcPr>
          <w:p>
            <w:pPr>
              <w:spacing w:line="380" w:lineRule="atLeast"/>
              <w:jc w:val="center"/>
              <w:rPr>
                <w:rFonts w:ascii="Times New Roman" w:hAnsi="Times New Roman" w:cs="Times New Roman"/>
                <w:szCs w:val="21"/>
              </w:rPr>
            </w:pPr>
            <w:r>
              <w:rPr>
                <w:rFonts w:hint="eastAsia" w:ascii="Times New Roman" w:hAnsi="Times New Roman" w:cs="Times New Roman"/>
                <w:szCs w:val="21"/>
                <w:lang w:val="en-US" w:eastAsia="zh-CN"/>
              </w:rPr>
              <w:t>5</w:t>
            </w:r>
            <w:r>
              <w:rPr>
                <w:rFonts w:hint="eastAsia" w:ascii="Times New Roman" w:hAnsi="Times New Roman" w:cs="Times New Roman"/>
                <w:szCs w:val="21"/>
              </w:rPr>
              <w:t>分</w:t>
            </w:r>
          </w:p>
        </w:tc>
        <w:tc>
          <w:tcPr>
            <w:tcW w:w="2818" w:type="dxa"/>
            <w:vAlign w:val="center"/>
          </w:tcPr>
          <w:p>
            <w:pPr>
              <w:spacing w:line="380" w:lineRule="atLeast"/>
              <w:jc w:val="center"/>
              <w:rPr>
                <w:rFonts w:hint="eastAsia" w:ascii="宋体" w:hAnsi="宋体" w:cs="宋体" w:eastAsiaTheme="minorEastAsia"/>
                <w:szCs w:val="22"/>
                <w:lang w:eastAsia="zh-CN"/>
              </w:rPr>
            </w:pPr>
            <w:r>
              <w:rPr>
                <w:rFonts w:hint="eastAsia" w:ascii="宋体" w:hAnsi="宋体"/>
                <w:kern w:val="0"/>
              </w:rPr>
              <w:t>拟派项目管理人员满足基本要求（项目经理、技术负责人、安全员、施工员各1人）的得基本分3分，根据工程实际需要，</w:t>
            </w:r>
            <w:r>
              <w:rPr>
                <w:rFonts w:hint="eastAsia" w:ascii="宋体" w:hAnsi="宋体"/>
                <w:kern w:val="0"/>
                <w:highlight w:val="yellow"/>
              </w:rPr>
              <w:t>视管理人员调配情况（经验丰富责任心强）或增加的项目管理人员酌情增加0-2分</w:t>
            </w:r>
            <w:r>
              <w:rPr>
                <w:rFonts w:hint="eastAsia" w:ascii="宋体" w:hAnsi="宋体"/>
                <w:kern w:val="0"/>
              </w:rPr>
              <w:t>，满分5分</w:t>
            </w:r>
            <w:r>
              <w:rPr>
                <w:rFonts w:hint="eastAsia" w:ascii="宋体" w:hAnsi="宋体"/>
                <w:kern w:val="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restart"/>
            <w:vAlign w:val="center"/>
          </w:tcPr>
          <w:p>
            <w:pPr>
              <w:spacing w:line="380" w:lineRule="atLeast"/>
              <w:jc w:val="center"/>
              <w:rPr>
                <w:rFonts w:ascii="Times New Roman" w:hAnsi="Times New Roman" w:cs="Times New Roman"/>
                <w:szCs w:val="21"/>
              </w:rPr>
            </w:pPr>
            <w:r>
              <w:rPr>
                <w:rFonts w:ascii="Times New Roman" w:hAnsi="Times New Roman" w:cs="Times New Roman"/>
                <w:szCs w:val="21"/>
              </w:rPr>
              <w:t>2.2.4</w:t>
            </w:r>
            <w:r>
              <w:rPr>
                <w:rFonts w:hint="eastAsia" w:ascii="Times New Roman" w:hAnsi="Times New Roman" w:cs="Times New Roman"/>
                <w:szCs w:val="21"/>
              </w:rPr>
              <w:t>（</w:t>
            </w:r>
            <w:r>
              <w:rPr>
                <w:rFonts w:hint="eastAsia" w:ascii="Times New Roman" w:hAnsi="Times New Roman" w:cs="Times New Roman"/>
                <w:szCs w:val="21"/>
                <w:lang w:val="en-US" w:eastAsia="zh-CN"/>
              </w:rPr>
              <w:t>2</w:t>
            </w:r>
            <w:r>
              <w:rPr>
                <w:rFonts w:hint="eastAsia" w:ascii="Times New Roman" w:hAnsi="Times New Roman" w:cs="Times New Roman"/>
                <w:szCs w:val="21"/>
              </w:rPr>
              <w:t>）</w:t>
            </w:r>
          </w:p>
        </w:tc>
        <w:tc>
          <w:tcPr>
            <w:tcW w:w="1635" w:type="dxa"/>
            <w:vMerge w:val="restart"/>
            <w:vAlign w:val="center"/>
          </w:tcPr>
          <w:p>
            <w:pPr>
              <w:spacing w:line="380" w:lineRule="atLeast"/>
              <w:jc w:val="center"/>
              <w:rPr>
                <w:rFonts w:ascii="Times New Roman" w:hAnsi="Times New Roman" w:cs="Times New Roman"/>
                <w:szCs w:val="21"/>
              </w:rPr>
            </w:pPr>
            <w:r>
              <w:rPr>
                <w:rFonts w:hint="eastAsia" w:ascii="Times New Roman" w:hAnsi="Times New Roman" w:cs="Times New Roman"/>
                <w:szCs w:val="21"/>
              </w:rPr>
              <w:t>施工组织设计</w:t>
            </w:r>
          </w:p>
        </w:tc>
        <w:tc>
          <w:tcPr>
            <w:tcW w:w="1005" w:type="dxa"/>
            <w:vMerge w:val="restart"/>
            <w:vAlign w:val="center"/>
          </w:tcPr>
          <w:p>
            <w:pPr>
              <w:spacing w:line="380" w:lineRule="atLeast"/>
              <w:jc w:val="right"/>
              <w:rPr>
                <w:rFonts w:ascii="Times New Roman" w:hAnsi="Times New Roman" w:cs="Times New Roman"/>
                <w:szCs w:val="21"/>
                <w:u w:val="single"/>
              </w:rPr>
            </w:pPr>
            <w:r>
              <w:rPr>
                <w:rFonts w:ascii="Times New Roman" w:hAnsi="Times New Roman" w:cs="Times New Roman"/>
                <w:szCs w:val="21"/>
                <w:u w:val="single"/>
              </w:rPr>
              <w:t xml:space="preserve"> </w:t>
            </w:r>
            <w:r>
              <w:rPr>
                <w:rFonts w:hint="eastAsia" w:ascii="Times New Roman" w:hAnsi="Times New Roman" w:cs="Times New Roman"/>
                <w:szCs w:val="21"/>
                <w:u w:val="single"/>
                <w:lang w:val="en-US" w:eastAsia="zh-CN"/>
              </w:rPr>
              <w:t>20</w:t>
            </w:r>
            <w:r>
              <w:rPr>
                <w:rFonts w:ascii="Times New Roman" w:hAnsi="Times New Roman" w:cs="Times New Roman"/>
                <w:szCs w:val="21"/>
                <w:u w:val="single"/>
              </w:rPr>
              <w:t xml:space="preserve"> </w:t>
            </w:r>
            <w:r>
              <w:rPr>
                <w:rFonts w:ascii="Times New Roman" w:hAnsi="Times New Roman" w:cs="Times New Roman"/>
                <w:szCs w:val="21"/>
              </w:rPr>
              <w:t>分</w:t>
            </w:r>
          </w:p>
        </w:tc>
        <w:tc>
          <w:tcPr>
            <w:tcW w:w="1453" w:type="dxa"/>
            <w:vAlign w:val="center"/>
          </w:tcPr>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 xml:space="preserve">施工总平面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 xml:space="preserve">图、资源配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 xml:space="preserve">备计划、施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 xml:space="preserve">工方案与技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 xml:space="preserve">术措施 </w:t>
            </w:r>
          </w:p>
          <w:p>
            <w:pPr>
              <w:spacing w:line="380" w:lineRule="atLeast"/>
              <w:jc w:val="center"/>
              <w:rPr>
                <w:rFonts w:ascii="Times New Roman" w:hAnsi="Times New Roman" w:cs="Times New Roman"/>
                <w:szCs w:val="21"/>
              </w:rPr>
            </w:pPr>
          </w:p>
        </w:tc>
        <w:tc>
          <w:tcPr>
            <w:tcW w:w="1133" w:type="dxa"/>
            <w:vAlign w:val="center"/>
          </w:tcPr>
          <w:p>
            <w:pPr>
              <w:spacing w:line="380" w:lineRule="atLeast"/>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val="en-US" w:eastAsia="zh-CN"/>
              </w:rPr>
              <w:t>6</w:t>
            </w:r>
          </w:p>
        </w:tc>
        <w:tc>
          <w:tcPr>
            <w:tcW w:w="2818" w:type="dxa"/>
            <w:vAlign w:val="top"/>
          </w:tcPr>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 xml:space="preserve">投标人应按以下要点编制工程施工方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 xml:space="preserve">案（文字宜精炼、内容具有针对性）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1</w:t>
            </w:r>
            <w:r>
              <w:rPr>
                <w:rFonts w:hint="eastAsia" w:ascii="宋体" w:hAnsi="宋体" w:eastAsia="宋体" w:cs="宋体"/>
                <w:color w:val="000000"/>
                <w:kern w:val="0"/>
                <w:sz w:val="22"/>
                <w:szCs w:val="22"/>
                <w:lang w:val="en-US" w:eastAsia="zh-CN" w:bidi="ar"/>
              </w:rPr>
              <w:t xml:space="preserve">）施工总平面图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2</w:t>
            </w:r>
            <w:r>
              <w:rPr>
                <w:rFonts w:hint="eastAsia" w:ascii="宋体" w:hAnsi="宋体" w:eastAsia="宋体" w:cs="宋体"/>
                <w:color w:val="000000"/>
                <w:kern w:val="0"/>
                <w:sz w:val="22"/>
                <w:szCs w:val="22"/>
                <w:lang w:val="en-US" w:eastAsia="zh-CN" w:bidi="ar"/>
              </w:rPr>
              <w:t xml:space="preserve">）资源配备计划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3</w:t>
            </w:r>
            <w:r>
              <w:rPr>
                <w:rFonts w:hint="eastAsia" w:ascii="宋体" w:hAnsi="宋体" w:eastAsia="宋体" w:cs="宋体"/>
                <w:color w:val="000000"/>
                <w:kern w:val="0"/>
                <w:sz w:val="22"/>
                <w:szCs w:val="22"/>
                <w:lang w:val="en-US" w:eastAsia="zh-CN" w:bidi="ar"/>
              </w:rPr>
              <w:t xml:space="preserve">）施工方案与技术措施 </w:t>
            </w:r>
          </w:p>
          <w:p>
            <w:pPr>
              <w:keepNext w:val="0"/>
              <w:keepLines w:val="0"/>
              <w:widowControl/>
              <w:suppressLineNumbers w:val="0"/>
              <w:jc w:val="left"/>
              <w:rPr>
                <w:rFonts w:ascii="Times New Roman" w:hAnsi="Times New Roman" w:cs="Times New Roman"/>
                <w:szCs w:val="21"/>
              </w:rPr>
            </w:pPr>
            <w:r>
              <w:rPr>
                <w:rFonts w:hint="eastAsia" w:ascii="宋体" w:hAnsi="宋体" w:eastAsia="宋体" w:cs="宋体"/>
                <w:color w:val="000000"/>
                <w:kern w:val="0"/>
                <w:sz w:val="22"/>
                <w:szCs w:val="22"/>
                <w:lang w:val="en-US" w:eastAsia="zh-CN" w:bidi="ar"/>
              </w:rPr>
              <w:t xml:space="preserve">满足招标文件要求得3.6分，根据本工程实际情况提出合理性、针对性举措的加 </w:t>
            </w:r>
            <w:r>
              <w:rPr>
                <w:rFonts w:hint="default" w:ascii="Times New Roman" w:hAnsi="Times New Roman" w:eastAsia="宋体" w:cs="Times New Roman"/>
                <w:color w:val="000000"/>
                <w:kern w:val="0"/>
                <w:sz w:val="22"/>
                <w:szCs w:val="22"/>
                <w:lang w:val="en-US" w:eastAsia="zh-CN" w:bidi="ar"/>
              </w:rPr>
              <w:t>0-</w:t>
            </w:r>
            <w:r>
              <w:rPr>
                <w:rFonts w:hint="eastAsia" w:ascii="Times New Roman" w:hAnsi="Times New Roman" w:eastAsia="宋体" w:cs="Times New Roman"/>
                <w:color w:val="000000"/>
                <w:kern w:val="0"/>
                <w:sz w:val="22"/>
                <w:szCs w:val="22"/>
                <w:lang w:val="en-US" w:eastAsia="zh-CN" w:bidi="ar"/>
              </w:rPr>
              <w:t>2.4</w:t>
            </w:r>
            <w:r>
              <w:rPr>
                <w:rFonts w:hint="eastAsia" w:ascii="宋体" w:hAnsi="宋体" w:eastAsia="宋体" w:cs="宋体"/>
                <w:color w:val="000000"/>
                <w:kern w:val="0"/>
                <w:sz w:val="22"/>
                <w:szCs w:val="22"/>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0" w:type="dxa"/>
            <w:vMerge w:val="continue"/>
            <w:vAlign w:val="center"/>
          </w:tcPr>
          <w:p>
            <w:pPr>
              <w:spacing w:line="380" w:lineRule="atLeast"/>
              <w:jc w:val="center"/>
              <w:rPr>
                <w:rFonts w:ascii="Times New Roman" w:hAnsi="Times New Roman" w:cs="Times New Roman"/>
                <w:szCs w:val="21"/>
              </w:rPr>
            </w:pPr>
          </w:p>
        </w:tc>
        <w:tc>
          <w:tcPr>
            <w:tcW w:w="1635" w:type="dxa"/>
            <w:vMerge w:val="continue"/>
            <w:vAlign w:val="center"/>
          </w:tcPr>
          <w:p>
            <w:pPr>
              <w:spacing w:line="380" w:lineRule="atLeast"/>
              <w:jc w:val="center"/>
              <w:rPr>
                <w:rFonts w:ascii="Times New Roman" w:hAnsi="Times New Roman" w:cs="Times New Roman"/>
                <w:szCs w:val="21"/>
              </w:rPr>
            </w:pPr>
          </w:p>
        </w:tc>
        <w:tc>
          <w:tcPr>
            <w:tcW w:w="1005" w:type="dxa"/>
            <w:vMerge w:val="continue"/>
            <w:vAlign w:val="center"/>
          </w:tcPr>
          <w:p>
            <w:pPr>
              <w:spacing w:line="380" w:lineRule="atLeast"/>
              <w:jc w:val="right"/>
              <w:rPr>
                <w:rFonts w:ascii="Times New Roman" w:hAnsi="Times New Roman" w:cs="Times New Roman"/>
                <w:szCs w:val="21"/>
                <w:u w:val="single"/>
              </w:rPr>
            </w:pPr>
          </w:p>
        </w:tc>
        <w:tc>
          <w:tcPr>
            <w:tcW w:w="1453" w:type="dxa"/>
            <w:vAlign w:val="center"/>
          </w:tcPr>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 xml:space="preserve">质量、进度、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 xml:space="preserve">安全、环境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 xml:space="preserve">保护、文明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 xml:space="preserve">施工管理体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系与措施</w:t>
            </w:r>
          </w:p>
          <w:p>
            <w:pPr>
              <w:spacing w:line="380" w:lineRule="atLeast"/>
              <w:jc w:val="center"/>
              <w:rPr>
                <w:rFonts w:ascii="Times New Roman" w:hAnsi="Times New Roman" w:cs="Times New Roman"/>
                <w:szCs w:val="21"/>
              </w:rPr>
            </w:pPr>
          </w:p>
        </w:tc>
        <w:tc>
          <w:tcPr>
            <w:tcW w:w="1133" w:type="dxa"/>
            <w:vAlign w:val="center"/>
          </w:tcPr>
          <w:p>
            <w:pPr>
              <w:spacing w:line="380" w:lineRule="atLeast"/>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val="en-US" w:eastAsia="zh-CN"/>
              </w:rPr>
              <w:t>6</w:t>
            </w:r>
          </w:p>
        </w:tc>
        <w:tc>
          <w:tcPr>
            <w:tcW w:w="2818" w:type="dxa"/>
            <w:vAlign w:val="top"/>
          </w:tcPr>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 xml:space="preserve">投标人应按以下要点编制管理体系与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 xml:space="preserve">措施（文字宜精炼、内容具有针对性）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1</w:t>
            </w:r>
            <w:r>
              <w:rPr>
                <w:rFonts w:hint="eastAsia" w:ascii="宋体" w:hAnsi="宋体" w:eastAsia="宋体" w:cs="宋体"/>
                <w:color w:val="000000"/>
                <w:kern w:val="0"/>
                <w:sz w:val="22"/>
                <w:szCs w:val="22"/>
                <w:lang w:val="en-US" w:eastAsia="zh-CN" w:bidi="ar"/>
              </w:rPr>
              <w:t xml:space="preserve">）质量管理体系与措施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2</w:t>
            </w:r>
            <w:r>
              <w:rPr>
                <w:rFonts w:hint="eastAsia" w:ascii="宋体" w:hAnsi="宋体" w:eastAsia="宋体" w:cs="宋体"/>
                <w:color w:val="000000"/>
                <w:kern w:val="0"/>
                <w:sz w:val="22"/>
                <w:szCs w:val="22"/>
                <w:lang w:val="en-US" w:eastAsia="zh-CN" w:bidi="ar"/>
              </w:rPr>
              <w:t xml:space="preserve">）工程进度计划与措施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3</w:t>
            </w:r>
            <w:r>
              <w:rPr>
                <w:rFonts w:hint="eastAsia" w:ascii="宋体" w:hAnsi="宋体" w:eastAsia="宋体" w:cs="宋体"/>
                <w:color w:val="000000"/>
                <w:kern w:val="0"/>
                <w:sz w:val="22"/>
                <w:szCs w:val="22"/>
                <w:lang w:val="en-US" w:eastAsia="zh-CN" w:bidi="ar"/>
              </w:rPr>
              <w:t xml:space="preserve">）安全管理体系与措施 </w:t>
            </w:r>
          </w:p>
          <w:p>
            <w:pPr>
              <w:keepNext w:val="0"/>
              <w:keepLines w:val="0"/>
              <w:widowControl/>
              <w:suppressLineNumbers w:val="0"/>
              <w:jc w:val="left"/>
              <w:rPr>
                <w:rFonts w:hint="eastAsia" w:ascii="宋体" w:hAnsi="宋体" w:eastAsia="宋体" w:cs="宋体"/>
                <w:b/>
                <w:bCs/>
                <w:color w:val="000000"/>
                <w:kern w:val="0"/>
                <w:sz w:val="22"/>
                <w:szCs w:val="22"/>
                <w:lang w:bidi="ar"/>
              </w:rPr>
            </w:pPr>
            <w:r>
              <w:rPr>
                <w:rFonts w:hint="default" w:ascii="Times New Roman" w:hAnsi="Times New Roman" w:eastAsia="宋体" w:cs="Times New Roman"/>
                <w:color w:val="000000"/>
                <w:kern w:val="0"/>
                <w:sz w:val="22"/>
                <w:szCs w:val="22"/>
                <w:lang w:val="en-US" w:eastAsia="zh-CN" w:bidi="ar"/>
              </w:rPr>
              <w:t>4</w:t>
            </w:r>
            <w:r>
              <w:rPr>
                <w:rFonts w:hint="eastAsia" w:ascii="宋体" w:hAnsi="宋体" w:eastAsia="宋体" w:cs="宋体"/>
                <w:color w:val="000000"/>
                <w:kern w:val="0"/>
                <w:sz w:val="22"/>
                <w:szCs w:val="22"/>
                <w:lang w:val="en-US" w:eastAsia="zh-CN" w:bidi="ar"/>
              </w:rPr>
              <w:t>）环境保护管理、文明施工的体系与措施满足招标文件要求得</w:t>
            </w:r>
            <w:r>
              <w:rPr>
                <w:rFonts w:hint="eastAsia" w:ascii="Times New Roman" w:hAnsi="Times New Roman" w:eastAsia="宋体" w:cs="Times New Roman"/>
                <w:color w:val="000000"/>
                <w:kern w:val="0"/>
                <w:sz w:val="22"/>
                <w:szCs w:val="22"/>
                <w:lang w:val="en-US" w:eastAsia="zh-CN" w:bidi="ar"/>
              </w:rPr>
              <w:t>3.6</w:t>
            </w:r>
            <w:r>
              <w:rPr>
                <w:rFonts w:hint="eastAsia" w:ascii="宋体" w:hAnsi="宋体" w:eastAsia="宋体" w:cs="宋体"/>
                <w:color w:val="000000"/>
                <w:kern w:val="0"/>
                <w:sz w:val="22"/>
                <w:szCs w:val="22"/>
                <w:lang w:val="en-US" w:eastAsia="zh-CN" w:bidi="ar"/>
              </w:rPr>
              <w:t xml:space="preserve">分，根据本工程实际情况提出合理性、针对性举措的加 </w:t>
            </w:r>
            <w:r>
              <w:rPr>
                <w:rFonts w:hint="default" w:ascii="Times New Roman" w:hAnsi="Times New Roman" w:eastAsia="宋体" w:cs="Times New Roman"/>
                <w:color w:val="000000"/>
                <w:kern w:val="0"/>
                <w:sz w:val="22"/>
                <w:szCs w:val="22"/>
                <w:lang w:val="en-US" w:eastAsia="zh-CN" w:bidi="ar"/>
              </w:rPr>
              <w:t>0-</w:t>
            </w:r>
            <w:r>
              <w:rPr>
                <w:rFonts w:hint="eastAsia" w:ascii="Times New Roman" w:hAnsi="Times New Roman" w:eastAsia="宋体" w:cs="Times New Roman"/>
                <w:color w:val="000000"/>
                <w:kern w:val="0"/>
                <w:sz w:val="22"/>
                <w:szCs w:val="22"/>
                <w:lang w:val="en-US" w:eastAsia="zh-CN" w:bidi="ar"/>
              </w:rPr>
              <w:t>2.4</w:t>
            </w:r>
            <w:r>
              <w:rPr>
                <w:rFonts w:hint="default" w:ascii="Times New Roman" w:hAnsi="Times New Roman" w:eastAsia="宋体" w:cs="Times New Roman"/>
                <w:color w:val="000000"/>
                <w:kern w:val="0"/>
                <w:sz w:val="22"/>
                <w:szCs w:val="22"/>
                <w:lang w:val="en-US" w:eastAsia="zh-CN" w:bidi="ar"/>
              </w:rPr>
              <w:t xml:space="preserve"> </w:t>
            </w:r>
            <w:r>
              <w:rPr>
                <w:rFonts w:hint="eastAsia" w:ascii="宋体" w:hAnsi="宋体" w:eastAsia="宋体" w:cs="宋体"/>
                <w:color w:val="000000"/>
                <w:kern w:val="0"/>
                <w:sz w:val="22"/>
                <w:szCs w:val="22"/>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continue"/>
            <w:vAlign w:val="center"/>
          </w:tcPr>
          <w:p>
            <w:pPr>
              <w:spacing w:line="380" w:lineRule="atLeast"/>
              <w:jc w:val="center"/>
              <w:rPr>
                <w:rFonts w:ascii="Times New Roman" w:hAnsi="Times New Roman" w:cs="Times New Roman"/>
                <w:szCs w:val="21"/>
              </w:rPr>
            </w:pPr>
          </w:p>
        </w:tc>
        <w:tc>
          <w:tcPr>
            <w:tcW w:w="1635" w:type="dxa"/>
            <w:vMerge w:val="continue"/>
            <w:vAlign w:val="center"/>
          </w:tcPr>
          <w:p>
            <w:pPr>
              <w:spacing w:line="380" w:lineRule="atLeast"/>
              <w:jc w:val="center"/>
              <w:rPr>
                <w:rFonts w:ascii="Times New Roman" w:hAnsi="Times New Roman" w:cs="Times New Roman"/>
                <w:szCs w:val="21"/>
              </w:rPr>
            </w:pPr>
          </w:p>
        </w:tc>
        <w:tc>
          <w:tcPr>
            <w:tcW w:w="1005" w:type="dxa"/>
            <w:vMerge w:val="continue"/>
            <w:vAlign w:val="center"/>
          </w:tcPr>
          <w:p>
            <w:pPr>
              <w:spacing w:line="380" w:lineRule="atLeast"/>
              <w:jc w:val="right"/>
              <w:rPr>
                <w:rFonts w:ascii="Times New Roman" w:hAnsi="Times New Roman" w:cs="Times New Roman"/>
                <w:szCs w:val="21"/>
                <w:u w:val="single"/>
              </w:rPr>
            </w:pPr>
          </w:p>
        </w:tc>
        <w:tc>
          <w:tcPr>
            <w:tcW w:w="1453" w:type="dxa"/>
            <w:vAlign w:val="center"/>
          </w:tcPr>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 xml:space="preserve">对本工程重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 xml:space="preserve">点和难点的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 xml:space="preserve">分析及保证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措施</w:t>
            </w:r>
          </w:p>
          <w:p>
            <w:pPr>
              <w:spacing w:line="380" w:lineRule="atLeast"/>
              <w:jc w:val="center"/>
              <w:rPr>
                <w:rFonts w:ascii="Times New Roman" w:hAnsi="Times New Roman" w:cs="Times New Roman"/>
                <w:szCs w:val="21"/>
              </w:rPr>
            </w:pPr>
          </w:p>
        </w:tc>
        <w:tc>
          <w:tcPr>
            <w:tcW w:w="1133" w:type="dxa"/>
            <w:vAlign w:val="center"/>
          </w:tcPr>
          <w:p>
            <w:pPr>
              <w:spacing w:line="380" w:lineRule="atLeast"/>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val="en-US" w:eastAsia="zh-CN"/>
              </w:rPr>
              <w:t>8</w:t>
            </w:r>
          </w:p>
        </w:tc>
        <w:tc>
          <w:tcPr>
            <w:tcW w:w="2818" w:type="dxa"/>
            <w:vAlign w:val="top"/>
          </w:tcPr>
          <w:p>
            <w:pPr>
              <w:keepNext w:val="0"/>
              <w:keepLines w:val="0"/>
              <w:widowControl/>
              <w:suppressLineNumbers w:val="0"/>
              <w:jc w:val="left"/>
              <w:rPr>
                <w:rFonts w:ascii="Times New Roman" w:hAnsi="Times New Roman" w:cs="Times New Roman"/>
                <w:szCs w:val="21"/>
              </w:rPr>
            </w:pPr>
            <w:r>
              <w:rPr>
                <w:rFonts w:hint="eastAsia" w:ascii="宋体" w:hAnsi="宋体" w:eastAsia="宋体" w:cs="宋体"/>
                <w:color w:val="000000"/>
                <w:kern w:val="0"/>
                <w:sz w:val="22"/>
                <w:szCs w:val="22"/>
                <w:lang w:val="en-US" w:eastAsia="zh-CN" w:bidi="ar"/>
              </w:rPr>
              <w:t>满足招标文件要求得4.8</w:t>
            </w:r>
            <w:r>
              <w:rPr>
                <w:rFonts w:hint="default" w:ascii="Times New Roman" w:hAnsi="Times New Roman" w:eastAsia="宋体" w:cs="Times New Roman"/>
                <w:color w:val="000000"/>
                <w:kern w:val="0"/>
                <w:sz w:val="22"/>
                <w:szCs w:val="22"/>
                <w:lang w:val="en-US" w:eastAsia="zh-CN" w:bidi="ar"/>
              </w:rPr>
              <w:t xml:space="preserve"> </w:t>
            </w:r>
            <w:r>
              <w:rPr>
                <w:rFonts w:hint="eastAsia" w:ascii="宋体" w:hAnsi="宋体" w:eastAsia="宋体" w:cs="宋体"/>
                <w:color w:val="000000"/>
                <w:kern w:val="0"/>
                <w:sz w:val="22"/>
                <w:szCs w:val="22"/>
                <w:lang w:val="en-US" w:eastAsia="zh-CN" w:bidi="ar"/>
              </w:rPr>
              <w:t xml:space="preserve">分，根据本工程实际情况提出合理性、针对性举措的加 </w:t>
            </w:r>
            <w:r>
              <w:rPr>
                <w:rFonts w:hint="default" w:ascii="Times New Roman" w:hAnsi="Times New Roman" w:eastAsia="宋体" w:cs="Times New Roman"/>
                <w:color w:val="000000"/>
                <w:kern w:val="0"/>
                <w:sz w:val="22"/>
                <w:szCs w:val="22"/>
                <w:lang w:val="en-US" w:eastAsia="zh-CN" w:bidi="ar"/>
              </w:rPr>
              <w:t>0-</w:t>
            </w:r>
            <w:r>
              <w:rPr>
                <w:rFonts w:hint="eastAsia" w:ascii="Times New Roman" w:hAnsi="Times New Roman" w:eastAsia="宋体" w:cs="Times New Roman"/>
                <w:color w:val="000000"/>
                <w:kern w:val="0"/>
                <w:sz w:val="22"/>
                <w:szCs w:val="22"/>
                <w:lang w:val="en-US" w:eastAsia="zh-CN" w:bidi="ar"/>
              </w:rPr>
              <w:t>3.2</w:t>
            </w:r>
            <w:r>
              <w:rPr>
                <w:rFonts w:hint="eastAsia" w:ascii="宋体" w:hAnsi="宋体" w:eastAsia="宋体" w:cs="宋体"/>
                <w:color w:val="000000"/>
                <w:kern w:val="0"/>
                <w:sz w:val="22"/>
                <w:szCs w:val="22"/>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Align w:val="center"/>
          </w:tcPr>
          <w:p>
            <w:pPr>
              <w:spacing w:line="380" w:lineRule="atLeast"/>
              <w:jc w:val="center"/>
              <w:rPr>
                <w:rFonts w:ascii="Times New Roman" w:hAnsi="Times New Roman" w:cs="Times New Roman"/>
                <w:szCs w:val="21"/>
              </w:rPr>
            </w:pPr>
            <w:r>
              <w:rPr>
                <w:rFonts w:ascii="Times New Roman" w:hAnsi="Times New Roman" w:cs="Times New Roman"/>
                <w:szCs w:val="21"/>
              </w:rPr>
              <w:t>2.2.4</w:t>
            </w:r>
            <w:r>
              <w:rPr>
                <w:rFonts w:hint="eastAsia" w:ascii="Times New Roman" w:hAnsi="Times New Roman" w:cs="Times New Roman"/>
                <w:szCs w:val="21"/>
              </w:rPr>
              <w:t>（</w:t>
            </w:r>
            <w:r>
              <w:rPr>
                <w:rFonts w:hint="eastAsia" w:ascii="Times New Roman" w:hAnsi="Times New Roman" w:cs="Times New Roman"/>
                <w:szCs w:val="21"/>
                <w:lang w:val="en-US" w:eastAsia="zh-CN"/>
              </w:rPr>
              <w:t>3</w:t>
            </w:r>
            <w:r>
              <w:rPr>
                <w:rFonts w:hint="eastAsia" w:ascii="Times New Roman" w:hAnsi="Times New Roman" w:cs="Times New Roman"/>
                <w:szCs w:val="21"/>
              </w:rPr>
              <w:t>）</w:t>
            </w:r>
          </w:p>
        </w:tc>
        <w:tc>
          <w:tcPr>
            <w:tcW w:w="1635" w:type="dxa"/>
            <w:vAlign w:val="center"/>
          </w:tcPr>
          <w:p>
            <w:pPr>
              <w:spacing w:line="380" w:lineRule="atLeast"/>
              <w:jc w:val="center"/>
              <w:rPr>
                <w:rFonts w:ascii="Times New Roman" w:hAnsi="Times New Roman" w:cs="Times New Roman"/>
                <w:szCs w:val="21"/>
              </w:rPr>
            </w:pPr>
            <w:r>
              <w:rPr>
                <w:rFonts w:ascii="Times New Roman" w:hAnsi="Times New Roman" w:cs="Times New Roman"/>
                <w:szCs w:val="21"/>
              </w:rPr>
              <w:t>评审价</w:t>
            </w:r>
          </w:p>
          <w:p>
            <w:pPr>
              <w:spacing w:line="380" w:lineRule="atLeast"/>
              <w:jc w:val="center"/>
              <w:rPr>
                <w:rFonts w:ascii="Times New Roman" w:hAnsi="Times New Roman" w:cs="Times New Roman"/>
                <w:szCs w:val="21"/>
              </w:rPr>
            </w:pPr>
          </w:p>
        </w:tc>
        <w:tc>
          <w:tcPr>
            <w:tcW w:w="1005" w:type="dxa"/>
            <w:vAlign w:val="center"/>
          </w:tcPr>
          <w:p>
            <w:pPr>
              <w:spacing w:line="380" w:lineRule="atLeast"/>
              <w:jc w:val="right"/>
              <w:rPr>
                <w:rFonts w:ascii="Times New Roman" w:hAnsi="Times New Roman" w:cs="Times New Roman"/>
                <w:szCs w:val="21"/>
              </w:rPr>
            </w:pPr>
            <w:r>
              <w:rPr>
                <w:rFonts w:hint="eastAsia" w:ascii="Times New Roman" w:hAnsi="Times New Roman" w:cs="Times New Roman"/>
                <w:szCs w:val="21"/>
                <w:u w:val="single"/>
              </w:rPr>
              <w:t>70</w:t>
            </w:r>
            <w:r>
              <w:rPr>
                <w:rFonts w:ascii="Times New Roman" w:hAnsi="Times New Roman" w:cs="Times New Roman"/>
                <w:szCs w:val="21"/>
              </w:rPr>
              <w:t>分</w:t>
            </w:r>
          </w:p>
        </w:tc>
        <w:tc>
          <w:tcPr>
            <w:tcW w:w="5404" w:type="dxa"/>
            <w:gridSpan w:val="3"/>
            <w:shd w:val="clear" w:color="auto" w:fill="auto"/>
          </w:tcPr>
          <w:p>
            <w:pPr>
              <w:spacing w:line="380" w:lineRule="atLeast"/>
              <w:rPr>
                <w:rFonts w:ascii="Times New Roman" w:hAnsi="Times New Roman" w:cs="Times New Roman"/>
                <w:szCs w:val="21"/>
              </w:rPr>
            </w:pPr>
            <w:r>
              <w:rPr>
                <w:rFonts w:ascii="Times New Roman" w:hAnsi="Times New Roman" w:cs="Times New Roman"/>
                <w:szCs w:val="21"/>
              </w:rPr>
              <w:t>评审价得分计算公式示例：</w:t>
            </w:r>
          </w:p>
          <w:p>
            <w:pPr>
              <w:spacing w:line="380" w:lineRule="atLeast"/>
              <w:rPr>
                <w:rFonts w:ascii="Times New Roman" w:hAnsi="Times New Roman" w:cs="Times New Roman"/>
                <w:szCs w:val="21"/>
              </w:rPr>
            </w:pPr>
            <w:r>
              <w:rPr>
                <w:rFonts w:ascii="Times New Roman" w:hAnsi="Times New Roman" w:cs="Times New Roman"/>
                <w:szCs w:val="21"/>
              </w:rPr>
              <w:t>（1）如果供应商的评审价&gt;评审基准价，则评审价得分＝F－偏差率×100× E</w:t>
            </w:r>
            <w:r>
              <w:rPr>
                <w:rFonts w:ascii="Times New Roman" w:hAnsi="Times New Roman" w:cs="Times New Roman"/>
                <w:szCs w:val="21"/>
                <w:vertAlign w:val="subscript"/>
              </w:rPr>
              <w:t>1</w:t>
            </w:r>
            <w:r>
              <w:rPr>
                <w:rFonts w:ascii="Times New Roman" w:hAnsi="Times New Roman" w:cs="Times New Roman"/>
                <w:szCs w:val="21"/>
              </w:rPr>
              <w:t>；</w:t>
            </w:r>
          </w:p>
          <w:p>
            <w:pPr>
              <w:spacing w:line="380" w:lineRule="atLeast"/>
              <w:rPr>
                <w:rFonts w:ascii="Times New Roman" w:hAnsi="Times New Roman" w:cs="Times New Roman"/>
                <w:szCs w:val="21"/>
              </w:rPr>
            </w:pPr>
            <w:r>
              <w:rPr>
                <w:rFonts w:ascii="Times New Roman" w:hAnsi="Times New Roman" w:cs="Times New Roman"/>
                <w:szCs w:val="21"/>
              </w:rPr>
              <w:t>（2）如果供应商的评审价≤评审基准价，则评审价得分＝F＋偏差率× 100× E</w:t>
            </w:r>
            <w:r>
              <w:rPr>
                <w:rFonts w:ascii="Times New Roman" w:hAnsi="Times New Roman" w:cs="Times New Roman"/>
                <w:szCs w:val="21"/>
                <w:vertAlign w:val="subscript"/>
              </w:rPr>
              <w:t>2</w:t>
            </w:r>
            <w:r>
              <w:rPr>
                <w:rFonts w:ascii="Times New Roman" w:hAnsi="Times New Roman" w:cs="Times New Roman"/>
                <w:szCs w:val="21"/>
              </w:rPr>
              <w:t>。</w:t>
            </w:r>
          </w:p>
          <w:p>
            <w:pPr>
              <w:spacing w:line="380" w:lineRule="atLeast"/>
              <w:rPr>
                <w:rFonts w:ascii="Times New Roman" w:hAnsi="Times New Roman" w:cs="Times New Roman"/>
                <w:szCs w:val="21"/>
              </w:rPr>
            </w:pPr>
            <w:r>
              <w:rPr>
                <w:rFonts w:ascii="Times New Roman" w:hAnsi="Times New Roman" w:cs="Times New Roman"/>
                <w:szCs w:val="21"/>
              </w:rPr>
              <w:t>其中：F是评审价所占的权重分值，E</w:t>
            </w:r>
            <w:r>
              <w:rPr>
                <w:rFonts w:ascii="Times New Roman" w:hAnsi="Times New Roman" w:cs="Times New Roman"/>
                <w:szCs w:val="21"/>
                <w:vertAlign w:val="subscript"/>
              </w:rPr>
              <w:t>1</w:t>
            </w:r>
            <w:r>
              <w:rPr>
                <w:rFonts w:ascii="Times New Roman" w:hAnsi="Times New Roman" w:cs="Times New Roman"/>
                <w:szCs w:val="21"/>
              </w:rPr>
              <w:t>是评审价每高于评审基准价一个百分点的扣分值，E</w:t>
            </w:r>
            <w:r>
              <w:rPr>
                <w:rFonts w:ascii="Times New Roman" w:hAnsi="Times New Roman" w:cs="Times New Roman"/>
                <w:szCs w:val="21"/>
                <w:vertAlign w:val="subscript"/>
              </w:rPr>
              <w:t>2</w:t>
            </w:r>
            <w:r>
              <w:rPr>
                <w:rFonts w:ascii="Times New Roman" w:hAnsi="Times New Roman" w:cs="Times New Roman"/>
                <w:szCs w:val="21"/>
              </w:rPr>
              <w:t>是评审价每低于评审基准价一个百分点的扣分值；E1</w:t>
            </w:r>
            <w:r>
              <w:rPr>
                <w:rFonts w:hint="eastAsia" w:ascii="Times New Roman" w:hAnsi="Times New Roman" w:cs="Times New Roman"/>
                <w:szCs w:val="21"/>
              </w:rPr>
              <w:t>=2</w:t>
            </w:r>
            <w:r>
              <w:rPr>
                <w:rFonts w:ascii="Times New Roman" w:hAnsi="Times New Roman" w:cs="Times New Roman"/>
                <w:szCs w:val="21"/>
              </w:rPr>
              <w:t>、E2</w:t>
            </w:r>
            <w:r>
              <w:rPr>
                <w:rFonts w:hint="eastAsia" w:ascii="Times New Roman" w:hAnsi="Times New Roman" w:cs="Times New Roman"/>
                <w:szCs w:val="21"/>
              </w:rPr>
              <w:t>=1。评审价得分最低为0分。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4" w:type="dxa"/>
            <w:gridSpan w:val="6"/>
            <w:vAlign w:val="center"/>
          </w:tcPr>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评标委员会在推荐中标候选人前，对拟推荐中标候选人的投标报价进行异常低价评审，具体评审要求如下：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（1）评审要求：投标人投标总报价低于最高投标限价（招标控制价）的异常低价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规定指标的，评标委员会将进行异常低价评审。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（2）证明材料要求：投标人填报的单位工程投标报价金额低于该招标项目最高投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标限价（控制价）中对应单位工程最高投标限价金额规定比例的，对该单位工程投标报价进行异常低价评审；投标人须在投标文件报价文件中作出澄清或者说明，并提供降低工程造价的相关证明资料（不限于在人工、材料、机械消耗量、价格、施工措施、方案及其他方面）；同时提供关于合同履行能力及工程质量安全控制的承诺。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（3）以下情形不得作为异常低价投标说明的依据：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a.机械、材料自有或闲置；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b.自有弃土场土源或与临近项目签订的土方倒运协议；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c.人员闲置；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d.亏本让利；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e.企业市场拓展或品牌宣传；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f.降低或改变原设计方案、技术工艺、施工标准的；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g.类似项目业绩；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h.评标委员会认为不得作为降低投标报价依据的情形。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（4）评审标准：评标委员会对通过评审的异常低价中标候选人合同履行能力及工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程质量安全等风险进行全面评估，并作为评标结果的附件提交给招标人。投标人在投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标文件中不能作出有效澄清、说明或评标委员会认定（按少数服从多数的原则）其存 </w:t>
            </w:r>
          </w:p>
          <w:p>
            <w:pPr>
              <w:keepNext w:val="0"/>
              <w:keepLines w:val="0"/>
              <w:widowControl/>
              <w:suppressLineNumbers w:val="0"/>
              <w:jc w:val="left"/>
              <w:rPr>
                <w:rFonts w:ascii="Times New Roman" w:hAnsi="Times New Roman" w:cs="Times New Roman"/>
                <w:szCs w:val="21"/>
              </w:rPr>
            </w:pPr>
            <w:r>
              <w:rPr>
                <w:rFonts w:hint="eastAsia" w:ascii="宋体" w:hAnsi="宋体" w:eastAsia="宋体" w:cs="宋体"/>
                <w:color w:val="000000"/>
                <w:kern w:val="0"/>
                <w:sz w:val="24"/>
                <w:szCs w:val="24"/>
                <w:lang w:val="en-US" w:eastAsia="zh-CN" w:bidi="ar"/>
              </w:rPr>
              <w:t>在履约及质量安全风险的，评标委员会应否决其投标</w:t>
            </w:r>
          </w:p>
        </w:tc>
      </w:tr>
    </w:tbl>
    <w:p>
      <w:pPr>
        <w:adjustRightInd w:val="0"/>
        <w:snapToGrid w:val="0"/>
        <w:spacing w:line="360" w:lineRule="auto"/>
        <w:ind w:firstLine="640" w:firstLineChars="200"/>
        <w:rPr>
          <w:rFonts w:hint="eastAsia" w:ascii="仿宋" w:hAnsi="仿宋" w:eastAsia="仿宋" w:cs="仿宋_GB2312"/>
          <w:b/>
          <w:bCs/>
          <w:kern w:val="0"/>
          <w:sz w:val="32"/>
          <w:szCs w:val="32"/>
        </w:rPr>
      </w:pPr>
    </w:p>
    <w:p>
      <w:pPr>
        <w:widowControl/>
        <w:jc w:val="left"/>
        <w:rPr>
          <w:rFonts w:ascii="Times New Roman" w:hAnsi="Times New Roman" w:cs="Times New Roman"/>
          <w:szCs w:val="21"/>
        </w:rPr>
      </w:pPr>
    </w:p>
    <w:p>
      <w:pPr>
        <w:spacing w:line="440" w:lineRule="exact"/>
        <w:rPr>
          <w:rFonts w:ascii="Times New Roman" w:hAnsi="Times New Roman" w:eastAsia="黑体" w:cs="Times New Roman"/>
          <w:bCs/>
          <w:sz w:val="24"/>
          <w:szCs w:val="32"/>
        </w:rPr>
      </w:pPr>
      <w:r>
        <w:rPr>
          <w:rFonts w:ascii="Times New Roman" w:hAnsi="Times New Roman" w:eastAsia="黑体" w:cs="Times New Roman"/>
          <w:bCs/>
          <w:sz w:val="24"/>
          <w:szCs w:val="32"/>
        </w:rPr>
        <w:t>1. 评审方法</w:t>
      </w:r>
    </w:p>
    <w:p>
      <w:pPr>
        <w:spacing w:line="440" w:lineRule="exact"/>
        <w:ind w:firstLine="420"/>
        <w:rPr>
          <w:rFonts w:hint="eastAsia" w:ascii="Times New Roman" w:hAnsi="Times New Roman" w:eastAsia="黑体" w:cs="Times New Roman"/>
          <w:bCs/>
          <w:sz w:val="24"/>
          <w:szCs w:val="32"/>
        </w:rPr>
      </w:pPr>
      <w:r>
        <w:rPr>
          <w:rFonts w:hint="eastAsia" w:ascii="Times New Roman" w:hAnsi="Times New Roman" w:cs="Times New Roman"/>
        </w:rPr>
        <w:t xml:space="preserve">本次评标采用综合评估法。评标委员会对满足招标文件实质性要求的投标文件， 按照本章第 2.2 款规定的评分标准进行打分，并按得分由高到低顺序推荐中标候选人， 或根据招标人授权直接确定中标人，但投标报价低于其成本或经评审被认定为异常低 价的除外。综合评分相等时，以投标报价低的优先；投标报价也相等的，以技术文件 得分高的优先；如果技术文件得分也相等，按照评标办法前附表中的规定确定中标候 选人顺序。 </w:t>
      </w:r>
    </w:p>
    <w:p>
      <w:pPr>
        <w:spacing w:line="440" w:lineRule="exact"/>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pPr>
        <w:spacing w:line="440" w:lineRule="exact"/>
        <w:ind w:firstLine="420"/>
        <w:rPr>
          <w:rFonts w:ascii="Times New Roman" w:hAnsi="Times New Roman" w:cs="Times New Roman"/>
        </w:rPr>
      </w:pPr>
      <w:r>
        <w:rPr>
          <w:rFonts w:ascii="Times New Roman" w:hAnsi="Times New Roman" w:cs="Times New Roman"/>
        </w:rPr>
        <w:t>2.1.1 形式评审标准：见评审办法前附表。</w:t>
      </w:r>
    </w:p>
    <w:p>
      <w:pPr>
        <w:spacing w:line="440" w:lineRule="exact"/>
        <w:ind w:firstLine="420"/>
        <w:rPr>
          <w:rFonts w:ascii="Times New Roman" w:hAnsi="Times New Roman" w:cs="Times New Roman"/>
        </w:rPr>
      </w:pPr>
      <w:r>
        <w:rPr>
          <w:rFonts w:ascii="Times New Roman" w:hAnsi="Times New Roman" w:cs="Times New Roman"/>
        </w:rPr>
        <w:t>2.1.2 资格评审标准：见评审办法前附表。</w:t>
      </w:r>
    </w:p>
    <w:p>
      <w:pPr>
        <w:spacing w:line="440" w:lineRule="exact"/>
        <w:ind w:firstLine="420"/>
        <w:rPr>
          <w:rFonts w:ascii="Times New Roman" w:hAnsi="Times New Roman" w:cs="Times New Roman"/>
        </w:rPr>
      </w:pPr>
      <w:r>
        <w:rPr>
          <w:rFonts w:ascii="Times New Roman" w:hAnsi="Times New Roman" w:cs="Times New Roman"/>
        </w:rPr>
        <w:t>2.1.3 响应性评审标准：见评审办法前附表。</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分值构成与评审标准</w:t>
      </w:r>
    </w:p>
    <w:p>
      <w:pPr>
        <w:spacing w:line="440" w:lineRule="exact"/>
        <w:ind w:firstLine="420"/>
        <w:rPr>
          <w:rFonts w:ascii="Times New Roman" w:hAnsi="Times New Roman" w:cs="Times New Roman"/>
        </w:rPr>
      </w:pPr>
      <w:r>
        <w:rPr>
          <w:rFonts w:ascii="Times New Roman" w:hAnsi="Times New Roman" w:cs="Times New Roman"/>
        </w:rPr>
        <w:t>2.2.1分值构成：</w:t>
      </w:r>
    </w:p>
    <w:p>
      <w:pPr>
        <w:spacing w:line="440" w:lineRule="exact"/>
        <w:ind w:firstLine="420"/>
        <w:rPr>
          <w:rFonts w:ascii="Times New Roman" w:hAnsi="Times New Roman" w:cs="Times New Roman"/>
        </w:rPr>
      </w:pPr>
      <w:r>
        <w:rPr>
          <w:rFonts w:ascii="Times New Roman" w:hAnsi="Times New Roman" w:cs="Times New Roman"/>
        </w:rPr>
        <w:t>（1）项目管理机构：见评审办法前附表；</w:t>
      </w:r>
    </w:p>
    <w:p>
      <w:pPr>
        <w:spacing w:line="440" w:lineRule="exact"/>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其他</w:t>
      </w:r>
      <w:r>
        <w:rPr>
          <w:rFonts w:ascii="Times New Roman" w:hAnsi="Times New Roman" w:cs="Times New Roman"/>
        </w:rPr>
        <w:t>：见评审办法前附表；</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施工组织设计</w:t>
      </w:r>
      <w:r>
        <w:rPr>
          <w:rFonts w:ascii="Times New Roman" w:hAnsi="Times New Roman" w:cs="Times New Roman"/>
        </w:rPr>
        <w:t>：见评审办法前附表；</w:t>
      </w:r>
    </w:p>
    <w:p>
      <w:pPr>
        <w:spacing w:line="440" w:lineRule="exact"/>
        <w:ind w:firstLine="420"/>
        <w:rPr>
          <w:rFonts w:ascii="Times New Roman" w:hAnsi="Times New Roman" w:cs="Times New Roman"/>
        </w:rPr>
      </w:pPr>
      <w:r>
        <w:rPr>
          <w:rFonts w:ascii="Times New Roman" w:hAnsi="Times New Roman" w:cs="Times New Roman"/>
        </w:rPr>
        <w:t>（4）</w:t>
      </w:r>
      <w:r>
        <w:rPr>
          <w:rFonts w:hint="eastAsia" w:ascii="Times New Roman" w:hAnsi="Times New Roman" w:cs="Times New Roman"/>
        </w:rPr>
        <w:t>评审价</w:t>
      </w:r>
      <w:r>
        <w:rPr>
          <w:rFonts w:ascii="Times New Roman" w:hAnsi="Times New Roman" w:cs="Times New Roman"/>
        </w:rPr>
        <w:t>：见评审办法前附表。</w:t>
      </w:r>
    </w:p>
    <w:p>
      <w:pPr>
        <w:spacing w:line="440" w:lineRule="exact"/>
        <w:ind w:firstLine="420"/>
        <w:rPr>
          <w:rFonts w:ascii="Times New Roman" w:hAnsi="Times New Roman" w:cs="Times New Roman"/>
        </w:rPr>
      </w:pPr>
      <w:r>
        <w:rPr>
          <w:rFonts w:ascii="Times New Roman" w:hAnsi="Times New Roman" w:cs="Times New Roman"/>
        </w:rPr>
        <w:t>2.2.2 评审基准价计算</w:t>
      </w:r>
    </w:p>
    <w:p>
      <w:pPr>
        <w:spacing w:line="440" w:lineRule="exact"/>
        <w:ind w:firstLine="420"/>
        <w:rPr>
          <w:rFonts w:ascii="Times New Roman" w:hAnsi="Times New Roman" w:cs="Times New Roman"/>
        </w:rPr>
      </w:pPr>
      <w:r>
        <w:rPr>
          <w:rFonts w:ascii="Times New Roman" w:hAnsi="Times New Roman" w:cs="Times New Roman"/>
        </w:rPr>
        <w:t>评审基准价计算方法：见评审办法前附表。</w:t>
      </w:r>
    </w:p>
    <w:p>
      <w:pPr>
        <w:spacing w:line="440" w:lineRule="exact"/>
        <w:ind w:firstLine="420"/>
        <w:rPr>
          <w:rFonts w:ascii="Times New Roman" w:hAnsi="Times New Roman" w:cs="Times New Roman"/>
        </w:rPr>
      </w:pPr>
      <w:r>
        <w:rPr>
          <w:rFonts w:ascii="Times New Roman" w:hAnsi="Times New Roman" w:cs="Times New Roman"/>
        </w:rPr>
        <w:t>2.2.3 评审价的偏差率计算</w:t>
      </w:r>
    </w:p>
    <w:p>
      <w:pPr>
        <w:spacing w:line="440" w:lineRule="exact"/>
        <w:ind w:firstLine="420"/>
        <w:rPr>
          <w:rFonts w:ascii="Times New Roman" w:hAnsi="Times New Roman" w:cs="Times New Roman"/>
        </w:rPr>
      </w:pPr>
      <w:r>
        <w:rPr>
          <w:rFonts w:ascii="Times New Roman" w:hAnsi="Times New Roman" w:cs="Times New Roman"/>
        </w:rPr>
        <w:t>评审价的偏差率计算公式：见评审办法前附表。</w:t>
      </w:r>
    </w:p>
    <w:p>
      <w:pPr>
        <w:spacing w:line="440" w:lineRule="exact"/>
        <w:ind w:firstLine="420"/>
        <w:rPr>
          <w:rFonts w:ascii="Times New Roman" w:hAnsi="Times New Roman" w:cs="Times New Roman"/>
        </w:rPr>
      </w:pPr>
      <w:r>
        <w:rPr>
          <w:rFonts w:ascii="Times New Roman" w:hAnsi="Times New Roman" w:cs="Times New Roman"/>
        </w:rPr>
        <w:t>2.2.4评分标准：</w:t>
      </w:r>
    </w:p>
    <w:p>
      <w:pPr>
        <w:spacing w:line="440" w:lineRule="exact"/>
        <w:ind w:firstLine="420"/>
        <w:rPr>
          <w:rFonts w:ascii="Times New Roman" w:hAnsi="Times New Roman" w:cs="Times New Roman"/>
        </w:rPr>
      </w:pPr>
      <w:r>
        <w:rPr>
          <w:rFonts w:ascii="Times New Roman" w:hAnsi="Times New Roman" w:cs="Times New Roman"/>
        </w:rPr>
        <w:t>（1）项目管理机构评分标准：见评审办法前附表；</w:t>
      </w:r>
    </w:p>
    <w:p>
      <w:pPr>
        <w:spacing w:line="440" w:lineRule="exact"/>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其他</w:t>
      </w:r>
      <w:r>
        <w:rPr>
          <w:rFonts w:ascii="Times New Roman" w:hAnsi="Times New Roman" w:cs="Times New Roman"/>
        </w:rPr>
        <w:t>评分标准：见评审办法前附表；</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施工组织设计</w:t>
      </w:r>
      <w:r>
        <w:rPr>
          <w:rFonts w:ascii="Times New Roman" w:hAnsi="Times New Roman" w:cs="Times New Roman"/>
        </w:rPr>
        <w:t>评分标准：见评审办法前附表；</w:t>
      </w:r>
    </w:p>
    <w:p>
      <w:pPr>
        <w:spacing w:line="440" w:lineRule="exact"/>
        <w:ind w:firstLine="420"/>
        <w:rPr>
          <w:rFonts w:ascii="Times New Roman" w:hAnsi="Times New Roman" w:cs="Times New Roman"/>
        </w:rPr>
      </w:pPr>
      <w:r>
        <w:rPr>
          <w:rFonts w:ascii="Times New Roman" w:hAnsi="Times New Roman" w:cs="Times New Roman"/>
        </w:rPr>
        <w:t>（4）</w:t>
      </w:r>
      <w:r>
        <w:rPr>
          <w:rFonts w:hint="eastAsia" w:ascii="Times New Roman" w:hAnsi="Times New Roman" w:cs="Times New Roman"/>
        </w:rPr>
        <w:t>评审价</w:t>
      </w:r>
      <w:r>
        <w:rPr>
          <w:rFonts w:ascii="Times New Roman" w:hAnsi="Times New Roman" w:cs="Times New Roman"/>
        </w:rPr>
        <w:t>评分标准：见评审办法前附表。</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pPr>
        <w:spacing w:line="440" w:lineRule="exact"/>
        <w:ind w:firstLine="420"/>
        <w:rPr>
          <w:rFonts w:ascii="Times New Roman" w:hAnsi="Times New Roman" w:cs="Times New Roman"/>
        </w:rPr>
      </w:pPr>
      <w:r>
        <w:rPr>
          <w:rFonts w:ascii="Times New Roman" w:hAnsi="Times New Roman" w:cs="Times New Roman"/>
        </w:rPr>
        <w:t>3.1.1</w:t>
      </w:r>
      <w:r>
        <w:rPr>
          <w:rFonts w:hint="eastAsia" w:ascii="Times New Roman" w:hAnsi="Times New Roman" w:cs="Times New Roman"/>
        </w:rPr>
        <w:t>评审小组</w:t>
      </w:r>
      <w:r>
        <w:rPr>
          <w:rFonts w:ascii="Times New Roman" w:hAnsi="Times New Roman" w:cs="Times New Roman"/>
        </w:rPr>
        <w:t>依据本章第2.1.1项、第2.1.2项、第2.1.3项规定的标准对响应文件进行评审。有一项不符合评审标准的，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3.1.</w:t>
      </w:r>
      <w:r>
        <w:rPr>
          <w:rFonts w:hint="eastAsia" w:ascii="Times New Roman" w:hAnsi="Times New Roman" w:cs="Times New Roman"/>
        </w:rPr>
        <w:t xml:space="preserve">2 </w:t>
      </w:r>
      <w:r>
        <w:rPr>
          <w:rFonts w:ascii="Times New Roman" w:hAnsi="Times New Roman" w:cs="Times New Roman"/>
        </w:rPr>
        <w:t>响应文件中填报的报价、工期、工程质量标准前后不一致时，</w:t>
      </w:r>
      <w:r>
        <w:rPr>
          <w:rFonts w:hint="eastAsia" w:ascii="Times New Roman" w:hAnsi="Times New Roman" w:cs="Times New Roman"/>
        </w:rPr>
        <w:t>按细微偏差处理，并</w:t>
      </w:r>
      <w:r>
        <w:rPr>
          <w:rFonts w:ascii="Times New Roman" w:hAnsi="Times New Roman" w:cs="Times New Roman"/>
        </w:rPr>
        <w:t>以报价函填报的为准</w:t>
      </w:r>
      <w:r>
        <w:rPr>
          <w:rFonts w:hint="eastAsia" w:ascii="Times New Roman" w:hAnsi="Times New Roman" w:cs="Times New Roman"/>
        </w:rPr>
        <w:t>。</w:t>
      </w:r>
    </w:p>
    <w:p>
      <w:pPr>
        <w:keepNext/>
        <w:keepLines/>
        <w:spacing w:before="120" w:after="120"/>
        <w:outlineLvl w:val="2"/>
        <w:rPr>
          <w:rFonts w:ascii="Times New Roman" w:hAnsi="Times New Roman" w:cs="Times New Roman"/>
          <w:color w:val="000000"/>
        </w:rPr>
      </w:pPr>
      <w:r>
        <w:rPr>
          <w:rFonts w:ascii="Times New Roman" w:hAnsi="Times New Roman" w:eastAsia="黑体" w:cs="Times New Roman"/>
          <w:bCs/>
          <w:sz w:val="24"/>
          <w:szCs w:val="32"/>
        </w:rPr>
        <w:t>3.2 详细评审</w:t>
      </w:r>
    </w:p>
    <w:p>
      <w:pPr>
        <w:spacing w:line="440" w:lineRule="exact"/>
        <w:ind w:firstLine="420"/>
        <w:rPr>
          <w:rFonts w:ascii="Times New Roman" w:hAnsi="Times New Roman" w:cs="Times New Roman"/>
          <w:color w:val="000000"/>
        </w:rPr>
      </w:pPr>
      <w:r>
        <w:rPr>
          <w:rFonts w:ascii="Times New Roman" w:hAnsi="Times New Roman" w:cs="Times New Roman"/>
          <w:color w:val="000000"/>
        </w:rPr>
        <w:t xml:space="preserve">3.2.1 </w:t>
      </w:r>
      <w:r>
        <w:rPr>
          <w:rFonts w:hint="eastAsia" w:ascii="Times New Roman" w:hAnsi="Times New Roman" w:cs="Times New Roman"/>
          <w:color w:val="000000"/>
        </w:rPr>
        <w:t>评审小组</w:t>
      </w:r>
      <w:r>
        <w:rPr>
          <w:rFonts w:ascii="Times New Roman" w:hAnsi="Times New Roman" w:cs="Times New Roman"/>
          <w:color w:val="000000"/>
        </w:rPr>
        <w:t>按本章第2.2款规定的量化因素和分值进行打分，并计算出综合评估得分。</w:t>
      </w:r>
    </w:p>
    <w:p>
      <w:pPr>
        <w:spacing w:line="440" w:lineRule="exact"/>
        <w:ind w:firstLine="420"/>
        <w:rPr>
          <w:rFonts w:ascii="Times New Roman" w:hAnsi="Times New Roman" w:cs="Times New Roman"/>
        </w:rPr>
      </w:pPr>
      <w:r>
        <w:rPr>
          <w:rFonts w:ascii="Times New Roman" w:hAnsi="Times New Roman" w:cs="Times New Roman"/>
        </w:rPr>
        <w:t>（1）按本章第2.2.4(1)目规定的评审因素和分值对</w:t>
      </w:r>
      <w:r>
        <w:rPr>
          <w:rFonts w:hint="eastAsia" w:ascii="Times New Roman" w:hAnsi="Times New Roman" w:cs="Times New Roman"/>
        </w:rPr>
        <w:t>项目管理机构</w:t>
      </w:r>
      <w:r>
        <w:rPr>
          <w:rFonts w:ascii="Times New Roman" w:hAnsi="Times New Roman" w:cs="Times New Roman"/>
        </w:rPr>
        <w:t>计算出得分</w:t>
      </w:r>
      <w:r>
        <w:rPr>
          <w:rFonts w:hint="eastAsia" w:ascii="Times New Roman" w:hAnsi="Times New Roman" w:cs="Times New Roman"/>
        </w:rPr>
        <w:t>I</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（2）按本章第2.2.4(2)目规定的评审因素和分值对</w:t>
      </w:r>
      <w:r>
        <w:rPr>
          <w:rFonts w:hint="eastAsia" w:ascii="Times New Roman" w:hAnsi="Times New Roman" w:cs="Times New Roman"/>
        </w:rPr>
        <w:t>其他</w:t>
      </w:r>
      <w:r>
        <w:rPr>
          <w:rFonts w:ascii="Times New Roman" w:hAnsi="Times New Roman" w:cs="Times New Roman"/>
        </w:rPr>
        <w:t>计算出得分</w:t>
      </w:r>
      <w:r>
        <w:rPr>
          <w:rFonts w:hint="eastAsia" w:ascii="Times New Roman" w:hAnsi="Times New Roman" w:cs="Times New Roman"/>
        </w:rPr>
        <w:t>II</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（3）按本章第2.2.4(3)目规定的评审因素和分值对</w:t>
      </w:r>
      <w:r>
        <w:rPr>
          <w:rFonts w:hint="eastAsia" w:ascii="Times New Roman" w:hAnsi="Times New Roman" w:cs="Times New Roman"/>
        </w:rPr>
        <w:t>施工组织设计</w:t>
      </w:r>
      <w:r>
        <w:rPr>
          <w:rFonts w:ascii="Times New Roman" w:hAnsi="Times New Roman" w:cs="Times New Roman"/>
        </w:rPr>
        <w:t>计算出得分</w:t>
      </w:r>
      <w:r>
        <w:rPr>
          <w:rFonts w:hint="eastAsia" w:ascii="Times New Roman" w:hAnsi="Times New Roman" w:cs="Times New Roman"/>
        </w:rPr>
        <w:t>III</w:t>
      </w:r>
      <w:r>
        <w:rPr>
          <w:rFonts w:ascii="Times New Roman" w:hAnsi="Times New Roman" w:cs="Times New Roman"/>
        </w:rPr>
        <w:t>；</w:t>
      </w:r>
    </w:p>
    <w:p>
      <w:pPr>
        <w:spacing w:line="440" w:lineRule="exact"/>
        <w:ind w:firstLine="420"/>
        <w:rPr>
          <w:rFonts w:ascii="Times New Roman" w:hAnsi="Times New Roman" w:cs="Times New Roman"/>
          <w:color w:val="000000"/>
        </w:rPr>
      </w:pPr>
      <w:r>
        <w:rPr>
          <w:rFonts w:ascii="Times New Roman" w:hAnsi="Times New Roman" w:cs="Times New Roman"/>
        </w:rPr>
        <w:t>（4）按本章第2.2.4(4)目规定的评审因素和分值对</w:t>
      </w:r>
      <w:r>
        <w:rPr>
          <w:rFonts w:hint="eastAsia" w:ascii="Times New Roman" w:hAnsi="Times New Roman" w:cs="Times New Roman"/>
        </w:rPr>
        <w:t>评审价</w:t>
      </w:r>
      <w:r>
        <w:rPr>
          <w:rFonts w:ascii="Times New Roman" w:hAnsi="Times New Roman" w:cs="Times New Roman"/>
        </w:rPr>
        <w:t>计算出得分</w:t>
      </w:r>
      <w:r>
        <w:rPr>
          <w:rFonts w:hint="eastAsia" w:ascii="Times New Roman" w:hAnsi="Times New Roman" w:cs="Times New Roman"/>
        </w:rPr>
        <w:t>IV</w:t>
      </w:r>
      <w:r>
        <w:rPr>
          <w:rFonts w:ascii="Times New Roman" w:hAnsi="Times New Roman" w:cs="Times New Roman"/>
        </w:rPr>
        <w:t>。</w:t>
      </w:r>
    </w:p>
    <w:p>
      <w:pPr>
        <w:spacing w:line="400" w:lineRule="exact"/>
        <w:ind w:firstLine="420" w:firstLineChars="200"/>
        <w:rPr>
          <w:rFonts w:ascii="Times New Roman" w:hAnsi="Times New Roman" w:cs="Times New Roman"/>
          <w:color w:val="000000"/>
        </w:rPr>
      </w:pPr>
      <w:r>
        <w:rPr>
          <w:rFonts w:ascii="Times New Roman" w:hAnsi="Times New Roman" w:cs="Times New Roman"/>
          <w:color w:val="000000"/>
        </w:rPr>
        <w:t>3.2.2 评分分值计算保留小数点后两位，小数点后第三位“四舍五入”。</w:t>
      </w:r>
    </w:p>
    <w:p>
      <w:pPr>
        <w:spacing w:line="400" w:lineRule="exact"/>
        <w:ind w:firstLine="420" w:firstLineChars="200"/>
        <w:rPr>
          <w:rFonts w:ascii="Times New Roman" w:hAnsi="Times New Roman" w:cs="Times New Roman"/>
          <w:color w:val="000000"/>
        </w:rPr>
      </w:pPr>
      <w:r>
        <w:rPr>
          <w:rFonts w:ascii="Times New Roman" w:hAnsi="Times New Roman" w:cs="Times New Roman"/>
          <w:color w:val="000000"/>
        </w:rPr>
        <w:t xml:space="preserve">3.2.3 </w:t>
      </w:r>
      <w:r>
        <w:rPr>
          <w:rFonts w:hint="eastAsia" w:ascii="Times New Roman" w:hAnsi="Times New Roman" w:cs="Times New Roman"/>
          <w:color w:val="000000"/>
        </w:rPr>
        <w:t>评审小组成员对</w:t>
      </w:r>
      <w:r>
        <w:rPr>
          <w:rFonts w:ascii="Times New Roman" w:hAnsi="Times New Roman" w:cs="Times New Roman"/>
          <w:color w:val="000000"/>
        </w:rPr>
        <w:t>供应商</w:t>
      </w:r>
      <w:r>
        <w:rPr>
          <w:rFonts w:hint="eastAsia" w:ascii="Times New Roman" w:hAnsi="Times New Roman" w:cs="Times New Roman"/>
          <w:color w:val="000000"/>
        </w:rPr>
        <w:t>综合评分=I</w:t>
      </w:r>
      <w:r>
        <w:rPr>
          <w:rFonts w:ascii="Times New Roman" w:hAnsi="Times New Roman" w:cs="Times New Roman"/>
          <w:color w:val="000000"/>
        </w:rPr>
        <w:t>+</w:t>
      </w:r>
      <w:r>
        <w:rPr>
          <w:rFonts w:hint="eastAsia" w:ascii="Times New Roman" w:hAnsi="Times New Roman" w:cs="Times New Roman"/>
          <w:color w:val="000000"/>
        </w:rPr>
        <w:t>II</w:t>
      </w:r>
      <w:r>
        <w:rPr>
          <w:rFonts w:ascii="Times New Roman" w:hAnsi="Times New Roman" w:cs="Times New Roman"/>
          <w:color w:val="000000"/>
        </w:rPr>
        <w:t>+</w:t>
      </w:r>
      <w:r>
        <w:rPr>
          <w:rFonts w:hint="eastAsia" w:ascii="Times New Roman" w:hAnsi="Times New Roman" w:cs="Times New Roman"/>
          <w:color w:val="000000"/>
        </w:rPr>
        <w:t>III</w:t>
      </w:r>
      <w:r>
        <w:rPr>
          <w:rFonts w:ascii="Times New Roman" w:hAnsi="Times New Roman" w:cs="Times New Roman"/>
          <w:color w:val="000000"/>
        </w:rPr>
        <w:t>+</w:t>
      </w:r>
      <w:r>
        <w:rPr>
          <w:rFonts w:hint="eastAsia" w:ascii="Times New Roman" w:hAnsi="Times New Roman" w:cs="Times New Roman"/>
          <w:color w:val="000000"/>
        </w:rPr>
        <w:t>IV，供应商最终得分为各评审小组成员评分的算数平均值</w:t>
      </w:r>
      <w:r>
        <w:rPr>
          <w:rFonts w:ascii="Times New Roman" w:hAnsi="Times New Roman" w:cs="Times New Roman"/>
          <w:color w:val="000000"/>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pPr>
        <w:spacing w:line="440" w:lineRule="exact"/>
        <w:ind w:firstLine="420"/>
        <w:rPr>
          <w:rFonts w:ascii="Times New Roman" w:hAnsi="Times New Roman" w:cs="Times New Roman"/>
        </w:rPr>
      </w:pPr>
      <w:r>
        <w:rPr>
          <w:rFonts w:hint="eastAsia" w:ascii="Times New Roman" w:hAnsi="Times New Roman" w:cs="Times New Roman"/>
        </w:rPr>
        <w:t>对在评审过程中发现供应商存在串通报价、弄虚作假、行贿等违法行为的，评审小组应否决其响应文件。</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w:t>
      </w:r>
    </w:p>
    <w:p>
      <w:pPr>
        <w:spacing w:line="440" w:lineRule="exact"/>
        <w:ind w:firstLine="420"/>
        <w:rPr>
          <w:rFonts w:ascii="Times New Roman" w:hAnsi="Times New Roman" w:cs="Times New Roman"/>
        </w:rPr>
      </w:pPr>
      <w:r>
        <w:rPr>
          <w:rFonts w:ascii="Times New Roman" w:hAnsi="Times New Roman" w:cs="Times New Roman"/>
        </w:rPr>
        <w:t>3.4.1 在评审过程中，</w:t>
      </w:r>
      <w:r>
        <w:rPr>
          <w:rFonts w:hint="eastAsia" w:ascii="Times New Roman" w:hAnsi="Times New Roman" w:cs="Times New Roman"/>
        </w:rPr>
        <w:t>评审小组</w:t>
      </w:r>
      <w:r>
        <w:rPr>
          <w:rFonts w:ascii="Times New Roman" w:hAnsi="Times New Roman" w:cs="Times New Roman"/>
        </w:rPr>
        <w:t>可以书面形式要求供应商对响应文件中含义不明确、对同类问题表述不一致或者有明显文字</w:t>
      </w:r>
      <w:r>
        <w:rPr>
          <w:rFonts w:hint="eastAsia" w:ascii="Times New Roman" w:hAnsi="Times New Roman" w:cs="Times New Roman"/>
        </w:rPr>
        <w:t>错误</w:t>
      </w:r>
      <w:r>
        <w:rPr>
          <w:rFonts w:ascii="Times New Roman" w:hAnsi="Times New Roman" w:cs="Times New Roman"/>
        </w:rPr>
        <w:t>的内容做必要的澄清。</w:t>
      </w:r>
      <w:r>
        <w:rPr>
          <w:rFonts w:hint="eastAsia" w:ascii="Times New Roman" w:hAnsi="Times New Roman" w:cs="Times New Roman"/>
        </w:rPr>
        <w:t>评审小组</w:t>
      </w:r>
      <w:r>
        <w:rPr>
          <w:rFonts w:ascii="Times New Roman" w:hAnsi="Times New Roman" w:cs="Times New Roman"/>
        </w:rPr>
        <w:t>不接受供应商主动提出的澄清。</w:t>
      </w:r>
    </w:p>
    <w:p>
      <w:pPr>
        <w:spacing w:line="440" w:lineRule="exact"/>
        <w:ind w:firstLine="420"/>
        <w:rPr>
          <w:rFonts w:ascii="Times New Roman" w:hAnsi="Times New Roman" w:cs="Times New Roman"/>
        </w:rPr>
      </w:pPr>
      <w:r>
        <w:rPr>
          <w:rFonts w:ascii="Times New Roman" w:hAnsi="Times New Roman" w:cs="Times New Roman"/>
        </w:rPr>
        <w:t>3.4.2 澄清不得超出响应文件的范围且不得改变响应文件的实质性内容，并构成响应文件的组成部分。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lang w:val="en-US" w:eastAsia="zh-CN"/>
        </w:rPr>
        <w:t>6</w:t>
      </w:r>
      <w:r>
        <w:rPr>
          <w:rFonts w:ascii="Times New Roman" w:hAnsi="Times New Roman" w:eastAsia="黑体" w:cs="Times New Roman"/>
          <w:bCs/>
          <w:sz w:val="24"/>
          <w:szCs w:val="32"/>
        </w:rPr>
        <w:t xml:space="preserve"> 评审结果</w:t>
      </w:r>
    </w:p>
    <w:p>
      <w:pPr>
        <w:spacing w:line="440" w:lineRule="exact"/>
        <w:ind w:firstLine="42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完成评审后，应当向采购人提交评审报告。评审报告应当如实记载以下内容：</w:t>
      </w:r>
    </w:p>
    <w:p>
      <w:pPr>
        <w:spacing w:line="440" w:lineRule="exact"/>
        <w:ind w:firstLine="420"/>
        <w:rPr>
          <w:rFonts w:ascii="Times New Roman" w:hAnsi="Times New Roman" w:cs="Times New Roman"/>
        </w:rPr>
      </w:pPr>
      <w:r>
        <w:rPr>
          <w:rFonts w:ascii="Times New Roman" w:hAnsi="Times New Roman" w:cs="Times New Roman"/>
        </w:rPr>
        <w:t>（一）采购项目基本情况</w:t>
      </w:r>
    </w:p>
    <w:p>
      <w:pPr>
        <w:spacing w:line="440" w:lineRule="exact"/>
        <w:ind w:firstLine="420"/>
        <w:rPr>
          <w:rFonts w:ascii="Times New Roman" w:hAnsi="Times New Roman" w:cs="Times New Roman"/>
        </w:rPr>
      </w:pPr>
      <w:r>
        <w:rPr>
          <w:rFonts w:ascii="Times New Roman" w:hAnsi="Times New Roman" w:cs="Times New Roman"/>
        </w:rPr>
        <w:t>（二）采购过程回顾</w:t>
      </w:r>
    </w:p>
    <w:p>
      <w:pPr>
        <w:spacing w:line="440" w:lineRule="exact"/>
        <w:ind w:firstLine="420"/>
        <w:rPr>
          <w:rFonts w:ascii="Times New Roman" w:hAnsi="Times New Roman" w:cs="Times New Roman"/>
        </w:rPr>
      </w:pPr>
      <w:r>
        <w:rPr>
          <w:rFonts w:ascii="Times New Roman" w:hAnsi="Times New Roman" w:cs="Times New Roman"/>
        </w:rPr>
        <w:t>（三）评审小组成员名单</w:t>
      </w:r>
    </w:p>
    <w:p>
      <w:pPr>
        <w:spacing w:line="440" w:lineRule="exact"/>
        <w:ind w:firstLine="420"/>
        <w:rPr>
          <w:rFonts w:ascii="Times New Roman" w:hAnsi="Times New Roman" w:cs="Times New Roman"/>
        </w:rPr>
      </w:pPr>
      <w:r>
        <w:rPr>
          <w:rFonts w:ascii="Times New Roman" w:hAnsi="Times New Roman" w:cs="Times New Roman"/>
        </w:rPr>
        <w:t>（四）询比评审工作</w:t>
      </w:r>
    </w:p>
    <w:p>
      <w:pPr>
        <w:spacing w:line="440" w:lineRule="exact"/>
        <w:ind w:firstLine="420"/>
        <w:rPr>
          <w:rFonts w:ascii="Times New Roman" w:hAnsi="Times New Roman" w:cs="Times New Roman"/>
        </w:rPr>
      </w:pPr>
      <w:r>
        <w:rPr>
          <w:rFonts w:ascii="Times New Roman" w:hAnsi="Times New Roman" w:cs="Times New Roman"/>
        </w:rPr>
        <w:t>1、评审办法</w:t>
      </w:r>
    </w:p>
    <w:p>
      <w:pPr>
        <w:spacing w:line="440" w:lineRule="exact"/>
        <w:ind w:firstLine="420"/>
        <w:rPr>
          <w:rFonts w:ascii="Times New Roman" w:hAnsi="Times New Roman" w:cs="Times New Roman"/>
        </w:rPr>
      </w:pPr>
      <w:r>
        <w:rPr>
          <w:rFonts w:ascii="Times New Roman" w:hAnsi="Times New Roman" w:cs="Times New Roman"/>
        </w:rPr>
        <w:t>2、初步评审情况（资格审查、形式性审查、响应性审查）</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详细评审情况（</w:t>
      </w:r>
      <w:r>
        <w:rPr>
          <w:rFonts w:ascii="Times New Roman" w:hAnsi="Times New Roman" w:cs="Times New Roman"/>
        </w:rPr>
        <w:t>供应商的</w:t>
      </w:r>
      <w:r>
        <w:rPr>
          <w:rFonts w:hint="eastAsia" w:ascii="Times New Roman" w:hAnsi="Times New Roman" w:cs="Times New Roman"/>
          <w:color w:val="FF0000"/>
        </w:rPr>
        <w:t>综合</w:t>
      </w:r>
      <w:r>
        <w:rPr>
          <w:rFonts w:ascii="Times New Roman" w:hAnsi="Times New Roman" w:cs="Times New Roman"/>
        </w:rPr>
        <w:t>评分情况</w:t>
      </w:r>
      <w:r>
        <w:rPr>
          <w:rFonts w:hint="eastAsia"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4、否决的供应商名单以及否决理由（如有）</w:t>
      </w:r>
    </w:p>
    <w:p>
      <w:pPr>
        <w:spacing w:line="440" w:lineRule="exact"/>
        <w:ind w:firstLine="420"/>
        <w:rPr>
          <w:rFonts w:ascii="Times New Roman" w:hAnsi="Times New Roman" w:cs="Times New Roman"/>
        </w:rPr>
      </w:pPr>
      <w:r>
        <w:rPr>
          <w:rFonts w:ascii="Times New Roman" w:hAnsi="Times New Roman" w:cs="Times New Roman"/>
        </w:rPr>
        <w:t>5、推荐候选供应商排序</w:t>
      </w:r>
    </w:p>
    <w:p>
      <w:pPr>
        <w:spacing w:line="440" w:lineRule="exact"/>
        <w:ind w:firstLine="420"/>
        <w:rPr>
          <w:rFonts w:ascii="Times New Roman" w:hAnsi="Times New Roman" w:cs="Times New Roman"/>
        </w:rPr>
      </w:pPr>
      <w:r>
        <w:rPr>
          <w:rFonts w:ascii="Times New Roman" w:hAnsi="Times New Roman" w:cs="Times New Roman"/>
        </w:rPr>
        <w:t>（五）需要说明的其他事项</w:t>
      </w:r>
    </w:p>
    <w:p>
      <w:pPr>
        <w:spacing w:line="440" w:lineRule="exact"/>
        <w:ind w:firstLine="420"/>
        <w:rPr>
          <w:rFonts w:ascii="Times New Roman" w:hAnsi="Times New Roman" w:cs="Times New Roman"/>
        </w:rPr>
      </w:pPr>
      <w:r>
        <w:rPr>
          <w:rFonts w:ascii="Times New Roman" w:hAnsi="Times New Roman" w:cs="Times New Roman"/>
        </w:rPr>
        <w:t>（六）评审附表</w:t>
      </w:r>
    </w:p>
    <w:p>
      <w:pPr>
        <w:spacing w:line="440" w:lineRule="exact"/>
        <w:ind w:firstLine="420"/>
        <w:rPr>
          <w:rFonts w:ascii="Times New Roman" w:hAnsi="Times New Roman" w:cs="Times New Roman"/>
        </w:rPr>
      </w:pPr>
      <w:r>
        <w:rPr>
          <w:rFonts w:ascii="Times New Roman" w:hAnsi="Times New Roman" w:cs="Times New Roman"/>
        </w:rPr>
        <w:t>1、响应文件开启记录表</w:t>
      </w:r>
    </w:p>
    <w:p>
      <w:pPr>
        <w:spacing w:line="440" w:lineRule="exact"/>
        <w:ind w:firstLine="420"/>
        <w:rPr>
          <w:rFonts w:ascii="Times New Roman" w:hAnsi="Times New Roman" w:cs="Times New Roman"/>
        </w:rPr>
      </w:pPr>
      <w:r>
        <w:rPr>
          <w:rFonts w:ascii="Times New Roman" w:hAnsi="Times New Roman" w:cs="Times New Roman"/>
        </w:rPr>
        <w:t>2、评审表格</w:t>
      </w:r>
    </w:p>
    <w:p>
      <w:pPr>
        <w:pStyle w:val="2"/>
        <w:sectPr>
          <w:footerReference r:id="rId3"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pPr>
        <w:pStyle w:val="3"/>
        <w:spacing w:before="312" w:after="312"/>
        <w:rPr>
          <w:rFonts w:ascii="Times New Roman" w:hAnsi="Times New Roman" w:eastAsia="黑体" w:cs="Times New Roman"/>
          <w:sz w:val="28"/>
          <w:szCs w:val="28"/>
        </w:rPr>
      </w:pPr>
      <w:r>
        <w:rPr>
          <w:rFonts w:hint="eastAsia" w:ascii="Times New Roman" w:hAnsi="Times New Roman" w:eastAsia="宋体" w:cs="Times New Roman"/>
        </w:rPr>
        <w:t>合同内容</w:t>
      </w:r>
    </w:p>
    <w:p>
      <w:pPr>
        <w:widowControl/>
        <w:ind w:firstLine="210" w:firstLineChars="100"/>
        <w:rPr>
          <w:rFonts w:ascii="黑体" w:eastAsia="黑体"/>
          <w:szCs w:val="21"/>
          <w:u w:val="single"/>
        </w:rPr>
      </w:pPr>
      <w:r>
        <w:rPr>
          <w:rFonts w:hint="eastAsia" w:ascii="黑体" w:eastAsia="黑体"/>
          <w:szCs w:val="21"/>
        </w:rPr>
        <w:t>项目名称：</w:t>
      </w:r>
      <w:r>
        <w:rPr>
          <w:rFonts w:hint="eastAsia" w:ascii="黑体" w:eastAsia="黑体"/>
          <w:szCs w:val="21"/>
          <w:u w:val="single"/>
        </w:rPr>
        <w:t xml:space="preserve">                     </w:t>
      </w:r>
    </w:p>
    <w:p>
      <w:pPr>
        <w:pStyle w:val="2"/>
        <w:rPr>
          <w:rFonts w:ascii="黑体" w:eastAsia="黑体"/>
          <w:szCs w:val="21"/>
        </w:rPr>
      </w:pPr>
    </w:p>
    <w:p>
      <w:pPr>
        <w:pStyle w:val="2"/>
        <w:rPr>
          <w:rFonts w:ascii="黑体" w:eastAsia="黑体"/>
          <w:szCs w:val="21"/>
        </w:rPr>
      </w:pPr>
    </w:p>
    <w:p>
      <w:pPr>
        <w:pStyle w:val="2"/>
        <w:rPr>
          <w:rFonts w:ascii="黑体" w:eastAsia="黑体"/>
          <w:szCs w:val="21"/>
        </w:rPr>
      </w:pPr>
      <w:r>
        <w:rPr>
          <w:rFonts w:hint="eastAsia" w:ascii="黑体" w:eastAsia="黑体"/>
          <w:szCs w:val="21"/>
        </w:rPr>
        <w:t>、</w:t>
      </w:r>
    </w:p>
    <w:p>
      <w:pPr>
        <w:rPr>
          <w:rFonts w:ascii="黑体" w:eastAsia="黑体"/>
          <w:szCs w:val="21"/>
        </w:rPr>
      </w:pPr>
    </w:p>
    <w:p>
      <w:pPr>
        <w:rPr>
          <w:rFonts w:ascii="黑体" w:eastAsia="黑体"/>
          <w:szCs w:val="21"/>
        </w:rPr>
      </w:pPr>
    </w:p>
    <w:p>
      <w:pPr>
        <w:rPr>
          <w:rFonts w:ascii="黑体" w:eastAsia="黑体"/>
          <w:szCs w:val="21"/>
        </w:rPr>
      </w:pPr>
    </w:p>
    <w:p>
      <w:pPr>
        <w:rPr>
          <w:rFonts w:ascii="黑体" w:eastAsia="黑体"/>
          <w:szCs w:val="21"/>
        </w:rPr>
      </w:pPr>
    </w:p>
    <w:p>
      <w:pPr>
        <w:rPr>
          <w:rFonts w:ascii="黑体" w:eastAsia="黑体"/>
          <w:szCs w:val="21"/>
        </w:rPr>
      </w:pPr>
    </w:p>
    <w:p>
      <w:pPr>
        <w:pStyle w:val="2"/>
        <w:jc w:val="center"/>
        <w:rPr>
          <w:rFonts w:ascii="黑体" w:eastAsia="黑体"/>
          <w:szCs w:val="21"/>
        </w:rPr>
      </w:pPr>
      <w:r>
        <w:rPr>
          <w:rFonts w:hint="eastAsia" w:ascii="黑体" w:eastAsia="黑体"/>
          <w:szCs w:val="21"/>
        </w:rPr>
        <w:t>劳</w:t>
      </w:r>
    </w:p>
    <w:p>
      <w:pPr>
        <w:pStyle w:val="2"/>
        <w:jc w:val="center"/>
        <w:rPr>
          <w:rFonts w:ascii="黑体" w:eastAsia="黑体"/>
          <w:szCs w:val="21"/>
        </w:rPr>
      </w:pPr>
      <w:r>
        <w:rPr>
          <w:rFonts w:hint="eastAsia" w:ascii="黑体" w:eastAsia="黑体"/>
          <w:szCs w:val="21"/>
        </w:rPr>
        <w:t>务</w:t>
      </w:r>
    </w:p>
    <w:p>
      <w:pPr>
        <w:spacing w:line="360" w:lineRule="auto"/>
        <w:jc w:val="center"/>
        <w:rPr>
          <w:rFonts w:ascii="黑体" w:eastAsia="黑体"/>
          <w:szCs w:val="21"/>
        </w:rPr>
      </w:pPr>
      <w:r>
        <w:rPr>
          <w:rFonts w:hint="eastAsia" w:ascii="黑体" w:eastAsia="黑体"/>
          <w:szCs w:val="21"/>
        </w:rPr>
        <w:t>合</w:t>
      </w:r>
    </w:p>
    <w:p>
      <w:pPr>
        <w:spacing w:line="360" w:lineRule="auto"/>
        <w:jc w:val="center"/>
        <w:rPr>
          <w:rFonts w:ascii="黑体" w:eastAsia="黑体"/>
          <w:szCs w:val="21"/>
        </w:rPr>
      </w:pPr>
      <w:r>
        <w:rPr>
          <w:rFonts w:hint="eastAsia" w:ascii="黑体" w:eastAsia="黑体"/>
          <w:szCs w:val="21"/>
        </w:rPr>
        <w:t>同</w:t>
      </w:r>
    </w:p>
    <w:p>
      <w:pPr>
        <w:spacing w:line="360" w:lineRule="auto"/>
        <w:jc w:val="center"/>
        <w:rPr>
          <w:rFonts w:ascii="黑体" w:eastAsia="黑体"/>
          <w:szCs w:val="21"/>
        </w:rPr>
      </w:pPr>
      <w:r>
        <w:rPr>
          <w:rFonts w:hint="eastAsia" w:ascii="黑体" w:eastAsia="黑体"/>
          <w:szCs w:val="21"/>
        </w:rPr>
        <w:t>协</w:t>
      </w:r>
    </w:p>
    <w:p>
      <w:pPr>
        <w:spacing w:line="360" w:lineRule="auto"/>
        <w:jc w:val="center"/>
        <w:rPr>
          <w:rFonts w:ascii="黑体" w:eastAsia="黑体"/>
          <w:szCs w:val="21"/>
        </w:rPr>
      </w:pPr>
      <w:r>
        <w:rPr>
          <w:rFonts w:hint="eastAsia" w:ascii="黑体" w:eastAsia="黑体"/>
          <w:szCs w:val="21"/>
        </w:rPr>
        <w:t>议</w:t>
      </w:r>
    </w:p>
    <w:p>
      <w:pPr>
        <w:spacing w:line="360" w:lineRule="auto"/>
        <w:jc w:val="center"/>
        <w:rPr>
          <w:rFonts w:ascii="黑体" w:eastAsia="黑体"/>
          <w:szCs w:val="21"/>
        </w:rPr>
      </w:pPr>
      <w:r>
        <w:rPr>
          <w:rFonts w:hint="eastAsia" w:ascii="黑体" w:eastAsia="黑体"/>
          <w:szCs w:val="21"/>
        </w:rPr>
        <w:t>书</w:t>
      </w:r>
    </w:p>
    <w:p>
      <w:pPr>
        <w:pStyle w:val="2"/>
        <w:rPr>
          <w:rFonts w:ascii="黑体" w:eastAsia="黑体"/>
          <w:szCs w:val="21"/>
        </w:rPr>
      </w:pPr>
    </w:p>
    <w:p>
      <w:pPr>
        <w:pStyle w:val="2"/>
        <w:rPr>
          <w:rFonts w:ascii="黑体" w:eastAsia="黑体"/>
          <w:szCs w:val="21"/>
        </w:rPr>
      </w:pPr>
    </w:p>
    <w:p>
      <w:pPr>
        <w:rPr>
          <w:rFonts w:ascii="黑体" w:eastAsia="黑体"/>
          <w:szCs w:val="21"/>
        </w:rPr>
      </w:pPr>
    </w:p>
    <w:p>
      <w:pPr>
        <w:rPr>
          <w:rFonts w:ascii="黑体" w:eastAsia="黑体"/>
          <w:szCs w:val="21"/>
        </w:rPr>
      </w:pPr>
    </w:p>
    <w:p>
      <w:pPr>
        <w:rPr>
          <w:rFonts w:ascii="黑体" w:eastAsia="黑体"/>
          <w:szCs w:val="21"/>
        </w:rPr>
      </w:pPr>
    </w:p>
    <w:p>
      <w:pPr>
        <w:rPr>
          <w:rFonts w:ascii="黑体" w:eastAsia="黑体"/>
          <w:szCs w:val="21"/>
        </w:rPr>
      </w:pPr>
    </w:p>
    <w:p>
      <w:pPr>
        <w:rPr>
          <w:rFonts w:ascii="黑体" w:eastAsia="黑体"/>
          <w:szCs w:val="21"/>
        </w:rPr>
      </w:pPr>
    </w:p>
    <w:p>
      <w:pPr>
        <w:rPr>
          <w:rFonts w:ascii="黑体" w:eastAsia="黑体"/>
          <w:szCs w:val="21"/>
        </w:rPr>
      </w:pPr>
    </w:p>
    <w:p>
      <w:pPr>
        <w:rPr>
          <w:rFonts w:ascii="黑体" w:eastAsia="黑体"/>
          <w:szCs w:val="21"/>
        </w:rPr>
      </w:pPr>
    </w:p>
    <w:p>
      <w:pPr>
        <w:rPr>
          <w:rFonts w:ascii="黑体" w:eastAsia="黑体"/>
          <w:szCs w:val="21"/>
        </w:rPr>
      </w:pPr>
    </w:p>
    <w:p>
      <w:pPr>
        <w:rPr>
          <w:rFonts w:ascii="黑体" w:eastAsia="黑体"/>
          <w:szCs w:val="21"/>
        </w:rPr>
      </w:pPr>
    </w:p>
    <w:p>
      <w:pPr>
        <w:rPr>
          <w:rFonts w:ascii="黑体" w:eastAsia="黑体"/>
          <w:szCs w:val="21"/>
        </w:rPr>
      </w:pPr>
    </w:p>
    <w:p>
      <w:pPr>
        <w:rPr>
          <w:rFonts w:ascii="黑体" w:eastAsia="黑体"/>
          <w:szCs w:val="21"/>
        </w:rPr>
      </w:pPr>
    </w:p>
    <w:p>
      <w:pPr>
        <w:pStyle w:val="2"/>
        <w:rPr>
          <w:rFonts w:ascii="黑体" w:eastAsia="黑体"/>
          <w:szCs w:val="21"/>
        </w:rPr>
      </w:pPr>
    </w:p>
    <w:p>
      <w:pPr>
        <w:pStyle w:val="2"/>
        <w:rPr>
          <w:rFonts w:ascii="黑体" w:eastAsia="黑体"/>
          <w:szCs w:val="21"/>
        </w:rPr>
      </w:pPr>
    </w:p>
    <w:p>
      <w:pPr>
        <w:spacing w:line="56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甲方（全称）：</w:t>
      </w:r>
    </w:p>
    <w:p>
      <w:pPr>
        <w:spacing w:line="56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乙方（全称）： </w:t>
      </w:r>
    </w:p>
    <w:p>
      <w:pPr>
        <w:spacing w:line="560" w:lineRule="exact"/>
        <w:jc w:val="both"/>
        <w:rPr>
          <w:rFonts w:ascii="黑体" w:eastAsia="黑体"/>
          <w:szCs w:val="21"/>
        </w:rPr>
        <w:sectPr>
          <w:pgSz w:w="11906" w:h="16838"/>
          <w:pgMar w:top="1440" w:right="1800" w:bottom="1440" w:left="1800" w:header="851" w:footer="992" w:gutter="0"/>
          <w:pgNumType w:fmt="decimal"/>
          <w:cols w:space="425" w:num="1"/>
          <w:docGrid w:type="lines" w:linePitch="312" w:charSpace="0"/>
        </w:sectPr>
      </w:pPr>
    </w:p>
    <w:p>
      <w:pPr>
        <w:spacing w:line="560" w:lineRule="exact"/>
        <w:jc w:val="center"/>
        <w:rPr>
          <w:rFonts w:ascii="黑体" w:eastAsia="黑体"/>
          <w:szCs w:val="21"/>
        </w:rPr>
      </w:pPr>
      <w:r>
        <w:rPr>
          <w:rFonts w:hint="eastAsia" w:ascii="黑体" w:eastAsia="黑体"/>
          <w:szCs w:val="21"/>
        </w:rPr>
        <w:t>劳务合同</w:t>
      </w:r>
    </w:p>
    <w:p>
      <w:pPr>
        <w:spacing w:line="560" w:lineRule="exact"/>
        <w:rPr>
          <w:rFonts w:ascii="仿宋_GB2312" w:hAnsi="仿宋_GB2312" w:eastAsia="仿宋_GB2312" w:cs="仿宋_GB2312"/>
          <w:color w:val="000000"/>
          <w:szCs w:val="21"/>
          <w:u w:val="single"/>
        </w:rPr>
      </w:pPr>
      <w:r>
        <w:rPr>
          <w:rFonts w:hint="eastAsia" w:ascii="仿宋_GB2312" w:hAnsi="仿宋_GB2312" w:eastAsia="仿宋_GB2312" w:cs="仿宋_GB2312"/>
          <w:color w:val="000000"/>
          <w:szCs w:val="21"/>
        </w:rPr>
        <w:t>甲方（全称）：</w:t>
      </w:r>
      <w:r>
        <w:rPr>
          <w:rFonts w:hint="eastAsia" w:ascii="仿宋_GB2312" w:hAnsi="仿宋_GB2312" w:eastAsia="仿宋_GB2312" w:cs="仿宋_GB2312"/>
          <w:color w:val="000000"/>
          <w:szCs w:val="21"/>
          <w:u w:val="single"/>
        </w:rPr>
        <w:t xml:space="preserve">                   </w:t>
      </w:r>
    </w:p>
    <w:p>
      <w:pPr>
        <w:spacing w:line="560" w:lineRule="exact"/>
        <w:rPr>
          <w:rFonts w:ascii="仿宋_GB2312" w:hAnsi="仿宋_GB2312" w:eastAsia="仿宋_GB2312" w:cs="仿宋_GB2312"/>
          <w:color w:val="000000"/>
          <w:szCs w:val="21"/>
          <w:u w:val="single"/>
        </w:rPr>
      </w:pPr>
      <w:r>
        <w:rPr>
          <w:rFonts w:hint="eastAsia" w:ascii="仿宋_GB2312" w:hAnsi="仿宋_GB2312" w:eastAsia="仿宋_GB2312" w:cs="仿宋_GB2312"/>
          <w:color w:val="000000"/>
          <w:szCs w:val="21"/>
        </w:rPr>
        <w:t>乙方（全称）：</w:t>
      </w:r>
      <w:r>
        <w:rPr>
          <w:rFonts w:hint="eastAsia" w:ascii="仿宋_GB2312" w:hAnsi="仿宋_GB2312" w:eastAsia="仿宋_GB2312" w:cs="仿宋_GB2312"/>
          <w:color w:val="000000"/>
          <w:szCs w:val="21"/>
          <w:u w:val="single"/>
        </w:rPr>
        <w:t xml:space="preserve">                   </w:t>
      </w:r>
    </w:p>
    <w:p>
      <w:pPr>
        <w:spacing w:line="56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 </w:t>
      </w:r>
    </w:p>
    <w:p>
      <w:pPr>
        <w:wordWrap w:val="0"/>
        <w:topLinePunct/>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为规范项目管理，全面履约，保证对业主各项承诺的兑现，在确保工期、质量、安全文明施工、标准化管理等目标管理的基础上，使该工程取得预期经济、社会效益，在乙方仔细阅读并自愿接受甲方与业主签订的《建设工程施工合同》（以下简称“业主合同”）条款内容约束的基础上，</w:t>
      </w:r>
      <w:r>
        <w:rPr>
          <w:rFonts w:hint="eastAsia" w:ascii="仿宋_GB2312" w:hAnsi="仿宋_GB2312" w:eastAsia="仿宋_GB2312" w:cs="仿宋_GB2312"/>
          <w:color w:val="000000"/>
          <w:szCs w:val="21"/>
        </w:rPr>
        <w:t>根据《中华人民共和国合同法》、《中华人民共和国建筑法》及有关法律规定，遵循平等、自愿、公平和诚实信用的原则，双方就</w:t>
      </w:r>
      <w:r>
        <w:rPr>
          <w:rFonts w:hint="eastAsia" w:ascii="仿宋_GB2312" w:hAnsi="仿宋_GB2312" w:eastAsia="仿宋_GB2312" w:cs="仿宋_GB2312"/>
          <w:color w:val="000000"/>
          <w:szCs w:val="21"/>
          <w:u w:val="single"/>
        </w:rPr>
        <w:t xml:space="preserve">          </w:t>
      </w:r>
      <w:r>
        <w:rPr>
          <w:rFonts w:hint="eastAsia" w:ascii="仿宋_GB2312" w:hAnsi="仿宋_GB2312" w:eastAsia="仿宋_GB2312" w:cs="仿宋_GB2312"/>
          <w:color w:val="000000"/>
          <w:szCs w:val="21"/>
        </w:rPr>
        <w:t>施工及有关事项协商一致，共同达成如下协议：</w:t>
      </w:r>
    </w:p>
    <w:p>
      <w:pPr>
        <w:spacing w:line="560" w:lineRule="exact"/>
        <w:ind w:firstLine="422" w:firstLineChars="200"/>
        <w:rPr>
          <w:rFonts w:ascii="仿宋_GB2312" w:hAnsi="仿宋_GB2312" w:eastAsia="仿宋_GB2312" w:cs="仿宋_GB2312"/>
          <w:b/>
          <w:bCs/>
          <w:szCs w:val="21"/>
        </w:rPr>
      </w:pPr>
      <w:r>
        <w:rPr>
          <w:rFonts w:hint="eastAsia" w:ascii="仿宋_GB2312" w:hAnsi="仿宋_GB2312" w:eastAsia="仿宋_GB2312" w:cs="仿宋_GB2312"/>
          <w:b/>
          <w:bCs/>
          <w:szCs w:val="21"/>
        </w:rPr>
        <w:t>1.项目基本情况</w:t>
      </w:r>
    </w:p>
    <w:p>
      <w:pPr>
        <w:wordWrap w:val="0"/>
        <w:topLinePunct/>
        <w:spacing w:line="560" w:lineRule="exact"/>
        <w:ind w:left="2108" w:leftChars="304" w:hanging="1470" w:hangingChars="700"/>
        <w:jc w:val="left"/>
        <w:rPr>
          <w:rFonts w:ascii="仿宋_GB2312" w:hAnsi="仿宋_GB2312" w:eastAsia="仿宋_GB2312" w:cs="仿宋_GB2312"/>
          <w:szCs w:val="21"/>
          <w:u w:val="single"/>
        </w:rPr>
      </w:pPr>
      <w:r>
        <w:rPr>
          <w:rFonts w:hint="eastAsia" w:ascii="仿宋_GB2312" w:hAnsi="仿宋_GB2312" w:eastAsia="仿宋_GB2312" w:cs="仿宋_GB2312"/>
          <w:szCs w:val="21"/>
        </w:rPr>
        <w:t>1.1项目名称：</w:t>
      </w:r>
      <w:r>
        <w:rPr>
          <w:rFonts w:hint="eastAsia" w:ascii="仿宋_GB2312" w:hAnsi="仿宋_GB2312" w:eastAsia="仿宋_GB2312" w:cs="仿宋_GB2312"/>
          <w:szCs w:val="21"/>
          <w:u w:val="single"/>
        </w:rPr>
        <w:t xml:space="preserve">                        </w:t>
      </w:r>
    </w:p>
    <w:p>
      <w:pPr>
        <w:wordWrap w:val="0"/>
        <w:topLinePunct/>
        <w:spacing w:line="560" w:lineRule="exact"/>
        <w:ind w:left="2108" w:leftChars="304" w:hanging="1470" w:hangingChars="700"/>
        <w:rPr>
          <w:rFonts w:ascii="仿宋_GB2312" w:hAnsi="仿宋_GB2312" w:eastAsia="仿宋_GB2312" w:cs="仿宋_GB2312"/>
          <w:color w:val="000000"/>
          <w:szCs w:val="21"/>
          <w:u w:val="single"/>
        </w:rPr>
      </w:pPr>
      <w:r>
        <w:rPr>
          <w:rFonts w:hint="eastAsia" w:ascii="仿宋_GB2312" w:hAnsi="仿宋_GB2312" w:eastAsia="仿宋_GB2312" w:cs="仿宋_GB2312"/>
          <w:szCs w:val="21"/>
        </w:rPr>
        <w:t>1.2工程地点：</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color w:val="000000"/>
          <w:szCs w:val="21"/>
          <w:u w:val="single"/>
        </w:rPr>
        <w:t xml:space="preserve"> </w:t>
      </w:r>
    </w:p>
    <w:p>
      <w:pPr>
        <w:pStyle w:val="2"/>
        <w:ind w:left="2108" w:leftChars="304" w:hanging="1470" w:hangingChars="700"/>
        <w:rPr>
          <w:rFonts w:ascii="仿宋_GB2312" w:hAnsi="仿宋_GB2312" w:eastAsia="仿宋_GB2312" w:cs="仿宋_GB2312"/>
          <w:bCs/>
          <w:szCs w:val="21"/>
          <w:u w:val="single"/>
        </w:rPr>
      </w:pPr>
      <w:r>
        <w:rPr>
          <w:rFonts w:hint="eastAsia" w:ascii="仿宋_GB2312" w:hAnsi="仿宋_GB2312" w:eastAsia="仿宋_GB2312" w:cs="仿宋_GB2312"/>
          <w:color w:val="000000"/>
          <w:szCs w:val="21"/>
        </w:rPr>
        <w:t>1.3项目概况：</w:t>
      </w:r>
      <w:r>
        <w:rPr>
          <w:rFonts w:hint="eastAsia" w:ascii="仿宋_GB2312" w:hAnsi="仿宋_GB2312" w:eastAsia="仿宋_GB2312" w:cs="仿宋_GB2312"/>
          <w:color w:val="000000"/>
          <w:szCs w:val="21"/>
          <w:u w:val="single"/>
        </w:rPr>
        <w:t xml:space="preserve">                        </w:t>
      </w:r>
    </w:p>
    <w:p>
      <w:pPr>
        <w:wordWrap w:val="0"/>
        <w:topLinePunct/>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1.4合同工期：</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bCs/>
          <w:szCs w:val="21"/>
          <w:u w:val="single"/>
        </w:rPr>
        <w:t>满足业主要求</w:t>
      </w:r>
      <w:r>
        <w:rPr>
          <w:rFonts w:hint="eastAsia" w:ascii="仿宋_GB2312" w:hAnsi="仿宋_GB2312" w:eastAsia="仿宋_GB2312" w:cs="仿宋_GB2312"/>
          <w:szCs w:val="21"/>
          <w:u w:val="single"/>
        </w:rPr>
        <w:t xml:space="preserve">              </w:t>
      </w:r>
      <w:r>
        <w:rPr>
          <w:rFonts w:ascii="仿宋_GB2312" w:hAnsi="仿宋_GB2312" w:eastAsia="仿宋_GB2312" w:cs="仿宋_GB2312"/>
          <w:szCs w:val="21"/>
          <w:u w:val="single"/>
        </w:rPr>
        <w:t xml:space="preserve">   </w:t>
      </w:r>
      <w:r>
        <w:rPr>
          <w:rFonts w:hint="eastAsia" w:ascii="仿宋_GB2312" w:hAnsi="仿宋_GB2312" w:eastAsia="仿宋_GB2312" w:cs="仿宋_GB2312"/>
          <w:szCs w:val="21"/>
          <w:u w:val="single"/>
        </w:rPr>
        <w:t xml:space="preserve">  </w:t>
      </w:r>
      <w:r>
        <w:rPr>
          <w:rFonts w:ascii="仿宋_GB2312" w:hAnsi="仿宋_GB2312" w:eastAsia="仿宋_GB2312" w:cs="仿宋_GB2312"/>
          <w:szCs w:val="21"/>
          <w:u w:val="single"/>
        </w:rPr>
        <w:t xml:space="preserve"> </w:t>
      </w:r>
    </w:p>
    <w:p>
      <w:pPr>
        <w:widowControl/>
        <w:wordWrap w:val="0"/>
        <w:topLinePunct/>
        <w:ind w:firstLine="640"/>
        <w:jc w:val="left"/>
        <w:rPr>
          <w:rFonts w:ascii="仿宋_GB2312" w:hAnsi="仿宋_GB2312" w:eastAsia="仿宋_GB2312" w:cs="仿宋_GB2312"/>
          <w:szCs w:val="21"/>
        </w:rPr>
      </w:pPr>
      <w:r>
        <w:rPr>
          <w:rFonts w:hint="eastAsia" w:ascii="仿宋_GB2312" w:hAnsi="仿宋_GB2312" w:eastAsia="仿宋_GB2312" w:cs="仿宋_GB2312"/>
          <w:szCs w:val="21"/>
        </w:rPr>
        <w:t>1.5签约合同价：</w:t>
      </w:r>
      <w:r>
        <w:rPr>
          <w:rFonts w:hint="eastAsia" w:ascii="仿宋_GB2312" w:hAnsi="仿宋_GB2312" w:eastAsia="仿宋_GB2312" w:cs="仿宋_GB2312"/>
          <w:b/>
          <w:bCs/>
          <w:szCs w:val="21"/>
          <w:u w:val="single"/>
        </w:rPr>
        <w:t xml:space="preserve">小写           元（含甲供材金额，最终以审计结算金额为准） </w:t>
      </w:r>
      <w:r>
        <w:rPr>
          <w:rFonts w:hint="eastAsia" w:ascii="仿宋_GB2312" w:hAnsi="仿宋_GB2312" w:eastAsia="仿宋_GB2312" w:cs="仿宋_GB2312"/>
          <w:szCs w:val="21"/>
          <w:u w:val="single"/>
        </w:rPr>
        <w:t>大写： ；每期付款前乙方应提供建设单位财务部门认可的增值税发票，否则甲方有权拒绝付款。</w:t>
      </w:r>
    </w:p>
    <w:p>
      <w:pPr>
        <w:wordWrap w:val="0"/>
        <w:topLinePunct/>
        <w:spacing w:line="560" w:lineRule="exact"/>
        <w:rPr>
          <w:rFonts w:ascii="仿宋_GB2312" w:hAnsi="仿宋_GB2312" w:eastAsia="仿宋_GB2312" w:cs="仿宋_GB2312"/>
          <w:b/>
          <w:szCs w:val="21"/>
          <w:u w:val="single"/>
        </w:rPr>
      </w:pPr>
      <w:r>
        <w:rPr>
          <w:rFonts w:hint="eastAsia" w:ascii="仿宋_GB2312" w:hAnsi="仿宋_GB2312" w:eastAsia="仿宋_GB2312" w:cs="仿宋_GB2312"/>
          <w:szCs w:val="21"/>
        </w:rPr>
        <w:t xml:space="preserve">    1.6工程质量标准：</w:t>
      </w:r>
      <w:r>
        <w:rPr>
          <w:rFonts w:hint="eastAsia" w:ascii="仿宋_GB2312" w:hAnsi="仿宋_GB2312" w:eastAsia="仿宋_GB2312" w:cs="仿宋_GB2312"/>
          <w:szCs w:val="21"/>
          <w:u w:val="single"/>
        </w:rPr>
        <w:t xml:space="preserve">  合格  </w:t>
      </w:r>
    </w:p>
    <w:p>
      <w:pPr>
        <w:spacing w:line="560" w:lineRule="exact"/>
        <w:ind w:firstLine="422" w:firstLineChars="200"/>
        <w:rPr>
          <w:szCs w:val="21"/>
        </w:rPr>
      </w:pPr>
      <w:r>
        <w:rPr>
          <w:rFonts w:hint="eastAsia" w:ascii="仿宋_GB2312" w:hAnsi="仿宋_GB2312" w:eastAsia="仿宋_GB2312" w:cs="仿宋_GB2312"/>
          <w:b/>
          <w:bCs/>
          <w:color w:val="000000"/>
          <w:szCs w:val="21"/>
        </w:rPr>
        <w:t>2.合作方式</w:t>
      </w:r>
    </w:p>
    <w:p>
      <w:pPr>
        <w:pStyle w:val="6"/>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2.1合同模式：</w:t>
      </w:r>
      <w:r>
        <w:rPr>
          <w:rFonts w:hint="eastAsia" w:ascii="仿宋_GB2312" w:hAnsi="仿宋_GB2312" w:eastAsia="仿宋_GB2312" w:cs="仿宋_GB2312"/>
          <w:szCs w:val="21"/>
          <w:u w:val="single"/>
        </w:rPr>
        <w:t>单价合同</w:t>
      </w:r>
      <w:r>
        <w:rPr>
          <w:rFonts w:hint="eastAsia" w:ascii="仿宋_GB2312" w:hAnsi="仿宋_GB2312" w:eastAsia="仿宋_GB2312" w:cs="仿宋_GB2312"/>
          <w:szCs w:val="21"/>
        </w:rPr>
        <w:t>。</w:t>
      </w:r>
    </w:p>
    <w:p>
      <w:pPr>
        <w:pStyle w:val="6"/>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2.2合同文件构成</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本协议书与下列文件一起构成合同文件：</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 xml:space="preserve">（1）本合同及附件（含合同谈判中的澄清文件(若有）、农民工工资及时支付承诺函、安全生产管理协议书、工程质量保修书等）； </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（2）甲方与业主签订的合同文件及</w:t>
      </w:r>
      <w:r>
        <w:rPr>
          <w:rFonts w:ascii="仿宋_GB2312" w:hAnsi="仿宋_GB2312" w:eastAsia="仿宋_GB2312" w:cs="仿宋_GB2312"/>
          <w:szCs w:val="21"/>
        </w:rPr>
        <w:t>有关文件（若多份文件相同内容有不一致处，以有利于甲方的内容为准）</w:t>
      </w:r>
      <w:r>
        <w:rPr>
          <w:rFonts w:hint="eastAsia" w:ascii="仿宋_GB2312" w:hAnsi="仿宋_GB2312" w:eastAsia="仿宋_GB2312" w:cs="仿宋_GB2312"/>
          <w:szCs w:val="21"/>
        </w:rPr>
        <w:t>；</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（3）甲方的各项规章制度以及施工期间发出的所有指示和指令；</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（4）相关技术规范、技术标准。当本合同适用的技术规范、技术标准更新时同时更新并应用于本项目；</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（5）图纸；</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（6）专业分包工程量清单及报价；</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（7）其他合同文件。</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合同在执行过程中，业主、监理、甲方对工程质量、工艺、安全、环境等方面的书面通知和文件、要求及双方签约人的授权委托书均构成合同文件组成部分。上述各项合同文件包含当事人就该项合同文件所作出的补充和修改，属于同一类内容的文件，以最新签署的为准。</w:t>
      </w:r>
    </w:p>
    <w:p>
      <w:pPr>
        <w:tabs>
          <w:tab w:val="center" w:pos="4153"/>
        </w:tabs>
        <w:spacing w:line="5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3.甲、乙双方的权利及义务</w:t>
      </w:r>
    </w:p>
    <w:p>
      <w:pPr>
        <w:spacing w:line="5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szCs w:val="21"/>
        </w:rPr>
        <w:t>3.1</w:t>
      </w:r>
      <w:r>
        <w:rPr>
          <w:rFonts w:hint="eastAsia" w:ascii="仿宋_GB2312" w:hAnsi="仿宋_GB2312" w:eastAsia="仿宋_GB2312" w:cs="仿宋_GB2312"/>
          <w:color w:val="000000"/>
          <w:szCs w:val="21"/>
        </w:rPr>
        <w:t>甲方的权利及义务</w:t>
      </w:r>
    </w:p>
    <w:p>
      <w:pPr>
        <w:spacing w:line="5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szCs w:val="21"/>
        </w:rPr>
        <w:t>3.1.</w:t>
      </w:r>
      <w:r>
        <w:rPr>
          <w:rFonts w:hint="eastAsia" w:ascii="仿宋_GB2312" w:hAnsi="仿宋_GB2312" w:eastAsia="仿宋_GB2312" w:cs="仿宋_GB2312"/>
          <w:color w:val="000000"/>
          <w:szCs w:val="21"/>
        </w:rPr>
        <w:t>1派出项目经理等主要管理人员</w:t>
      </w:r>
      <w:r>
        <w:rPr>
          <w:rFonts w:hint="eastAsia" w:ascii="仿宋_GB2312" w:hAnsi="仿宋_GB2312" w:eastAsia="仿宋_GB2312" w:cs="仿宋_GB2312"/>
          <w:szCs w:val="21"/>
        </w:rPr>
        <w:t>进行现场管理。</w:t>
      </w:r>
    </w:p>
    <w:p>
      <w:pPr>
        <w:spacing w:line="5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szCs w:val="21"/>
        </w:rPr>
        <w:t>3.1.</w:t>
      </w:r>
      <w:r>
        <w:rPr>
          <w:rFonts w:hint="eastAsia" w:ascii="仿宋_GB2312" w:hAnsi="仿宋_GB2312" w:eastAsia="仿宋_GB2312" w:cs="仿宋_GB2312"/>
          <w:color w:val="000000"/>
          <w:szCs w:val="21"/>
        </w:rPr>
        <w:t>2负责审查工程专项施工（安全）技术方案、施工管理规划、全面跟踪工程进度、质量技术、安全生产及合同履约工作。</w:t>
      </w:r>
    </w:p>
    <w:p>
      <w:pPr>
        <w:spacing w:line="5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szCs w:val="21"/>
        </w:rPr>
        <w:t>3.1.</w:t>
      </w:r>
      <w:r>
        <w:rPr>
          <w:rFonts w:hint="eastAsia" w:ascii="仿宋_GB2312" w:hAnsi="仿宋_GB2312" w:eastAsia="仿宋_GB2312" w:cs="仿宋_GB2312"/>
          <w:color w:val="000000"/>
          <w:szCs w:val="21"/>
        </w:rPr>
        <w:t>3对不能满足业主要求的施工项目提出整改措施。</w:t>
      </w:r>
    </w:p>
    <w:p>
      <w:pPr>
        <w:spacing w:line="560" w:lineRule="exact"/>
        <w:ind w:left="319" w:leftChars="152" w:firstLine="210" w:firstLineChars="100"/>
        <w:rPr>
          <w:rFonts w:ascii="仿宋_GB2312" w:hAnsi="仿宋_GB2312" w:eastAsia="仿宋_GB2312" w:cs="仿宋_GB2312"/>
          <w:color w:val="000000"/>
          <w:szCs w:val="21"/>
        </w:rPr>
      </w:pPr>
      <w:r>
        <w:rPr>
          <w:rFonts w:hint="eastAsia" w:ascii="仿宋_GB2312" w:hAnsi="仿宋_GB2312" w:eastAsia="仿宋_GB2312" w:cs="仿宋_GB2312"/>
          <w:szCs w:val="21"/>
        </w:rPr>
        <w:t>3.1.</w:t>
      </w:r>
      <w:r>
        <w:rPr>
          <w:rFonts w:hint="eastAsia" w:ascii="仿宋_GB2312" w:hAnsi="仿宋_GB2312" w:eastAsia="仿宋_GB2312" w:cs="仿宋_GB2312"/>
          <w:color w:val="000000"/>
          <w:szCs w:val="21"/>
        </w:rPr>
        <w:t>4协助乙方进行质量、安全技术交底。负责对乙方的安全生产进行监督、检查；对存在违章行为和事故隐患进行处罚，对安全隐患提出整改要求，对严重违章和存在的重大事故隐患有权要求停止作业。</w:t>
      </w:r>
    </w:p>
    <w:p>
      <w:pPr>
        <w:spacing w:line="5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szCs w:val="21"/>
        </w:rPr>
        <w:t>3.2</w:t>
      </w:r>
      <w:r>
        <w:rPr>
          <w:rFonts w:hint="eastAsia" w:ascii="仿宋_GB2312" w:hAnsi="仿宋_GB2312" w:eastAsia="仿宋_GB2312" w:cs="仿宋_GB2312"/>
          <w:color w:val="000000"/>
          <w:szCs w:val="21"/>
        </w:rPr>
        <w:t>乙方权利和义务。</w:t>
      </w:r>
    </w:p>
    <w:p>
      <w:pPr>
        <w:spacing w:line="5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3.2.1乙方服从并严格执行甲方《项目用工管理办法》、《财务管理办法》、《印章使用管理暂行办法》等各项规章制度。</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3.2.2负责与业主、监理单位和设计单位、地方相关部门的接洽和联系，为施工创造良好的环境。</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3.2.3按业主有关要求组织施工,合理配置施工资源，优化施工方案，确保工程进度、工程质量及工程施工安全。</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3.2.4涉及本项目的工程检验或试验，均由乙方负责现场取样、养护、送检等。超出工地中心试验室业务范围的外委试验由乙方负责。</w:t>
      </w:r>
    </w:p>
    <w:p>
      <w:pPr>
        <w:tabs>
          <w:tab w:val="left" w:pos="700"/>
        </w:tabs>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3.2.5乙方投入到本工程的所有机械进出场费、调遣费及临时设施费等一切费用均由乙方承担。</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3.2.6严格按施工组织设计组织施工，保证工程质量符合施工技术规范和验收标准。一旦在施工中发生事故，应立即报告甲方，妥善处理，因事故引发的损失均由乙方自负。</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3.2.7严格执行国家安全生产法规，设立安全组织机构和专职安全员，对所属人员进行安全管理、教育。施工期间，采取安全防护措施，保证安全生产、文明施工，维护甲方在本地区的信誉。</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3.2.8乙方负责地方相关部门的协调联系并应遵守当地的民风、民俗及相关法规。若发生纠纷，乙方应自行解决。</w:t>
      </w:r>
    </w:p>
    <w:p>
      <w:pPr>
        <w:spacing w:line="560" w:lineRule="exact"/>
        <w:ind w:firstLine="420" w:firstLineChars="200"/>
        <w:rPr>
          <w:rFonts w:ascii="仿宋_GB2312" w:hAnsi="仿宋_GB2312" w:eastAsia="仿宋_GB2312" w:cs="仿宋_GB2312"/>
          <w:kern w:val="0"/>
          <w:szCs w:val="21"/>
          <w:lang w:val="zh-CN"/>
        </w:rPr>
      </w:pPr>
      <w:r>
        <w:rPr>
          <w:rFonts w:hint="eastAsia" w:ascii="仿宋_GB2312" w:hAnsi="仿宋_GB2312" w:eastAsia="仿宋_GB2312" w:cs="仿宋_GB2312"/>
          <w:szCs w:val="21"/>
        </w:rPr>
        <w:t>3.2.9</w:t>
      </w:r>
      <w:r>
        <w:rPr>
          <w:rFonts w:hint="eastAsia" w:ascii="仿宋_GB2312" w:hAnsi="仿宋_GB2312" w:eastAsia="仿宋_GB2312" w:cs="仿宋_GB2312"/>
          <w:kern w:val="0"/>
          <w:szCs w:val="21"/>
          <w:lang w:val="zh-CN"/>
        </w:rPr>
        <w:t>乙方负责施工和生活用电用水、通信等，并承担全部费用。乙方现场自行装表上交水电费。</w:t>
      </w:r>
    </w:p>
    <w:p>
      <w:pPr>
        <w:pStyle w:val="8"/>
        <w:spacing w:line="560" w:lineRule="exact"/>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3.2.10乙方不得将分包的工程进行违法再分包。</w:t>
      </w:r>
    </w:p>
    <w:p>
      <w:pPr>
        <w:spacing w:line="560" w:lineRule="exact"/>
        <w:ind w:firstLine="420" w:firstLineChars="200"/>
        <w:rPr>
          <w:rFonts w:ascii="仿宋_GB2312" w:hAnsi="仿宋_GB2312" w:eastAsia="仿宋_GB2312" w:cs="仿宋_GB2312"/>
          <w:b/>
          <w:kern w:val="0"/>
          <w:szCs w:val="21"/>
          <w:u w:val="single"/>
          <w:lang w:val="zh-CN"/>
        </w:rPr>
      </w:pPr>
      <w:r>
        <w:rPr>
          <w:rFonts w:hint="eastAsia" w:ascii="仿宋_GB2312" w:hAnsi="仿宋_GB2312" w:eastAsia="仿宋_GB2312" w:cs="仿宋_GB2312"/>
          <w:szCs w:val="21"/>
        </w:rPr>
        <w:t>3.2.</w:t>
      </w:r>
      <w:r>
        <w:rPr>
          <w:rFonts w:hint="eastAsia" w:ascii="仿宋_GB2312" w:hAnsi="仿宋_GB2312" w:eastAsia="仿宋_GB2312" w:cs="仿宋_GB2312"/>
          <w:kern w:val="0"/>
          <w:szCs w:val="21"/>
          <w:lang w:val="zh-CN"/>
        </w:rPr>
        <w:t>11乙方在项目实施过程中应积极维护甲方的信誉，确保甲方信誉评价不低于A级且不低于项目实施前的信用等级，力争达到当地建设主管部门信用评定最高等级。</w:t>
      </w:r>
    </w:p>
    <w:p>
      <w:pPr>
        <w:spacing w:line="560" w:lineRule="exact"/>
        <w:ind w:firstLine="422" w:firstLineChars="200"/>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4.项目管理的主要内容</w:t>
      </w:r>
    </w:p>
    <w:p>
      <w:pPr>
        <w:spacing w:line="5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szCs w:val="21"/>
        </w:rPr>
        <w:t>4.1乙方现场主要责任人员管理</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4.1.1乙方主要责任人员的职责:领导、组织、协调、调配各施工队伍，科学配置各项目施工资源,合理组织；按照业主和甲方制定的安全生产目标、进度计划、质量指标完成施工任务。</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为保证项目顺利实施，合同约定的乙方主要责任人员（投标书中报送的人员配备及承诺）必须坚持在施工现场，且每月在现场工作日不得低于26天。乙方主要责任人离开项目前应安排好施工生产，并取得甲方的同意。</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4.1.2乙方配置项目</w:t>
      </w:r>
      <w:r>
        <w:rPr>
          <w:rFonts w:hint="eastAsia" w:ascii="仿宋_GB2312" w:hAnsi="仿宋_GB2312" w:eastAsia="仿宋_GB2312" w:cs="仿宋_GB2312"/>
          <w:color w:val="000000" w:themeColor="text1"/>
          <w:szCs w:val="21"/>
          <w14:textFill>
            <w14:solidFill>
              <w14:schemeClr w14:val="tx1"/>
            </w14:solidFill>
          </w14:textFill>
        </w:rPr>
        <w:t>管理班子</w:t>
      </w:r>
      <w:r>
        <w:rPr>
          <w:rFonts w:hint="eastAsia" w:ascii="仿宋_GB2312" w:hAnsi="仿宋_GB2312" w:eastAsia="仿宋_GB2312" w:cs="仿宋_GB2312"/>
          <w:szCs w:val="21"/>
        </w:rPr>
        <w:t>人员须满足业主履约要求。如因乙方人员不满足业主要求，需向甲方支付违约金（数额同“施工合同”中业主对甲方的处罚）。乙方未经甲方同意不得更换主要责任人员，主要责任人员如不能积极履行乙方义务，甲方有权要求乙方及时调整，如乙方拒不调整，甲方有权解除本合同，因此发生的费用由乙方承担。</w:t>
      </w:r>
    </w:p>
    <w:p>
      <w:pPr>
        <w:spacing w:line="560" w:lineRule="exact"/>
        <w:ind w:firstLine="420" w:firstLineChars="200"/>
        <w:rPr>
          <w:rFonts w:ascii="仿宋_GB2312" w:hAnsi="仿宋_GB2312" w:eastAsia="仿宋_GB2312" w:cs="仿宋_GB2312"/>
          <w:bCs/>
          <w:szCs w:val="21"/>
        </w:rPr>
      </w:pPr>
      <w:r>
        <w:rPr>
          <w:rFonts w:hint="eastAsia" w:ascii="仿宋_GB2312" w:hAnsi="仿宋_GB2312" w:eastAsia="仿宋_GB2312" w:cs="仿宋_GB2312"/>
          <w:bCs/>
          <w:szCs w:val="21"/>
        </w:rPr>
        <w:t>4.2甲方现场主要履约人员管理</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4.2.</w:t>
      </w:r>
      <w:r>
        <w:rPr>
          <w:rFonts w:hint="eastAsia" w:ascii="仿宋_GB2312" w:hAnsi="仿宋_GB2312" w:eastAsia="仿宋_GB2312" w:cs="仿宋_GB2312"/>
          <w:bCs/>
          <w:kern w:val="0"/>
          <w:szCs w:val="21"/>
        </w:rPr>
        <w:t>1</w:t>
      </w:r>
      <w:r>
        <w:rPr>
          <w:rFonts w:hint="eastAsia" w:ascii="仿宋_GB2312" w:hAnsi="仿宋_GB2312" w:eastAsia="仿宋_GB2312" w:cs="仿宋_GB2312"/>
          <w:szCs w:val="21"/>
        </w:rPr>
        <w:t>甲方管理团队的职责：负责与业主的沟通和协调，办理工程结算；对乙方施工的进度、质量、安全、劳务等进行全面督促管理。</w:t>
      </w:r>
    </w:p>
    <w:p>
      <w:pPr>
        <w:spacing w:line="560" w:lineRule="exact"/>
        <w:ind w:firstLine="420" w:firstLineChars="200"/>
        <w:rPr>
          <w:rFonts w:ascii="仿宋_GB2312" w:hAnsi="仿宋_GB2312" w:eastAsia="仿宋_GB2312" w:cs="仿宋_GB2312"/>
          <w:bCs/>
          <w:szCs w:val="21"/>
        </w:rPr>
      </w:pPr>
      <w:r>
        <w:rPr>
          <w:rFonts w:hint="eastAsia" w:ascii="仿宋_GB2312" w:hAnsi="仿宋_GB2312" w:eastAsia="仿宋_GB2312" w:cs="仿宋_GB2312"/>
          <w:bCs/>
          <w:szCs w:val="21"/>
        </w:rPr>
        <w:t>4.3工程进度管理</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4.3.1进度（包括阶段性工期）需以业主合同文件及实施过程中工期要求等相关文件为准。甲方有权视总体进度情况，要求乙方加大人员、材料、机械的投入，乙方必须无条件执行。乙方拒不接受的，甲方有权直接安排人员和设备实施，发生的费用从乙方应得款项中扣除，人工费按300元/人/天计，材料、机械单价按市场信息价计算，并收取所需费用20%的现场管理费。</w:t>
      </w:r>
    </w:p>
    <w:p>
      <w:pPr>
        <w:pStyle w:val="8"/>
        <w:tabs>
          <w:tab w:val="left" w:pos="5790"/>
        </w:tabs>
        <w:spacing w:line="560" w:lineRule="exact"/>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4.3.2 乙方应按照业主合同要求制定施工总体进度计划、月进度计划，并确保整体进度计划的落实。进度计划编制完毕后，应及时提交甲方项目管理部进行审核。</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4.3.３乙方应按业主要求满足现场需要。若乙方不能按甲方要求导致影响施工进度的，乙方需向甲方支付业主合同文件约定的逾期交工违约金。</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4.3.4乙方负责其施工范围的地方协调工作，在施工期间发生的涉及地方纠纷和阻工造成的经济损失由乙方承担。在乙方无法协调解决影响项目进度时，甲方有权直接协调，在协调中需要支付赔偿或补偿款时，乙方应无条件接受，从工程结算款中直接扣除，乙方不得以此为由怠工、鼓动地方及施工队伍闹事阻碍施工；否则，乙方应按5000元/天标准向甲方支付违约金，甲方并有权解除合同。</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4.3.5乙方应合理安排时间，争取提前完成工作任务。若乙方进度达不到甲方或业主要求，业主向甲方主张逾期交工违约责任的，所有费用由乙方承担，甲方承担违约责任后有权向乙方追偿或者直接在乙方工程款中予以扣除。施工过程中，乙方月实际进度较计划进度累计延滞超过</w:t>
      </w:r>
      <w:r>
        <w:rPr>
          <w:rFonts w:hint="eastAsia" w:ascii="仿宋_GB2312" w:hAnsi="仿宋_GB2312" w:eastAsia="仿宋_GB2312" w:cs="仿宋_GB2312"/>
          <w:szCs w:val="21"/>
          <w:u w:val="single"/>
        </w:rPr>
        <w:t>10</w:t>
      </w:r>
      <w:r>
        <w:rPr>
          <w:rFonts w:hint="eastAsia" w:ascii="仿宋_GB2312" w:hAnsi="仿宋_GB2312" w:eastAsia="仿宋_GB2312" w:cs="仿宋_GB2312"/>
          <w:szCs w:val="21"/>
        </w:rPr>
        <w:t>天时，应向甲方书面解释延滞原因，报整改计划，采取行之有效的挽救措施。累计延滞超过</w:t>
      </w:r>
      <w:r>
        <w:rPr>
          <w:rFonts w:hint="eastAsia" w:ascii="仿宋_GB2312" w:hAnsi="仿宋_GB2312" w:eastAsia="仿宋_GB2312" w:cs="仿宋_GB2312"/>
          <w:szCs w:val="21"/>
          <w:u w:val="single"/>
        </w:rPr>
        <w:t>20</w:t>
      </w:r>
      <w:r>
        <w:rPr>
          <w:rFonts w:hint="eastAsia" w:ascii="仿宋_GB2312" w:hAnsi="仿宋_GB2312" w:eastAsia="仿宋_GB2312" w:cs="仿宋_GB2312"/>
          <w:szCs w:val="21"/>
        </w:rPr>
        <w:t>天时，甲方有权解除本合同，乙方应配合撤场和结算等善后工作，已完工程量按报价7</w:t>
      </w:r>
      <w:r>
        <w:rPr>
          <w:rFonts w:ascii="仿宋_GB2312" w:hAnsi="仿宋_GB2312" w:eastAsia="仿宋_GB2312" w:cs="仿宋_GB2312"/>
          <w:szCs w:val="21"/>
        </w:rPr>
        <w:t>0%</w:t>
      </w:r>
      <w:r>
        <w:rPr>
          <w:rFonts w:hint="eastAsia" w:ascii="仿宋_GB2312" w:hAnsi="仿宋_GB2312" w:eastAsia="仿宋_GB2312" w:cs="仿宋_GB2312"/>
          <w:szCs w:val="21"/>
        </w:rPr>
        <w:t>结算，乙方接受对此没有任何异议。</w:t>
      </w:r>
    </w:p>
    <w:p>
      <w:pPr>
        <w:spacing w:line="5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szCs w:val="21"/>
        </w:rPr>
        <w:t>4.3.</w:t>
      </w:r>
      <w:r>
        <w:rPr>
          <w:rFonts w:hint="eastAsia" w:ascii="仿宋_GB2312" w:hAnsi="仿宋_GB2312" w:eastAsia="仿宋_GB2312" w:cs="仿宋_GB2312"/>
          <w:color w:val="000000"/>
          <w:szCs w:val="21"/>
        </w:rPr>
        <w:t xml:space="preserve">6 </w:t>
      </w:r>
      <w:r>
        <w:rPr>
          <w:rFonts w:hint="eastAsia" w:ascii="仿宋_GB2312" w:hAnsi="仿宋_GB2312" w:eastAsia="仿宋_GB2312" w:cs="仿宋_GB2312"/>
          <w:szCs w:val="21"/>
        </w:rPr>
        <w:t>如业主要求提前竣工，乙方接到通知后应遵照执行。发生的赶工费用，经业主同意并支付后，甲方按本合同约定的支付办法予以支付；如业主不支付赶工费用的，乙方不得向甲方主张。</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4.3.7 乙方应充分考虑因不可抗拒的自然灾害和工程款不到位、图纸资料延误以及设计变更等可能引起乙方停工、窝工的风险，因此而发生的乙方人员、设备等误工费用均由乙方承担。</w:t>
      </w:r>
      <w:r>
        <w:rPr>
          <w:rFonts w:hint="eastAsia" w:ascii="仿宋_GB2312" w:hAnsi="仿宋_GB2312" w:eastAsia="仿宋_GB2312" w:cs="仿宋_GB2312"/>
          <w:szCs w:val="21"/>
          <w:u w:val="single"/>
        </w:rPr>
        <w:t>乙方有权依据业主合同文件及时收集有关资料，以甲方名义向业主主张工期索赔和费用索赔，甲方应予以配合，向业主主张权利发生的费用由乙方承担。</w:t>
      </w:r>
      <w:r>
        <w:rPr>
          <w:rFonts w:hint="eastAsia" w:ascii="仿宋_GB2312" w:hAnsi="仿宋_GB2312" w:eastAsia="仿宋_GB2312" w:cs="仿宋_GB2312"/>
          <w:szCs w:val="21"/>
        </w:rPr>
        <w:t>如业主不同意补偿费用和工期顺延，乙方不得向甲方主张补偿或工期顺延权利。</w:t>
      </w:r>
    </w:p>
    <w:p>
      <w:pPr>
        <w:spacing w:line="5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szCs w:val="21"/>
        </w:rPr>
        <w:t>4.4</w:t>
      </w:r>
      <w:r>
        <w:rPr>
          <w:rFonts w:hint="eastAsia" w:ascii="仿宋_GB2312" w:hAnsi="仿宋_GB2312" w:eastAsia="仿宋_GB2312" w:cs="仿宋_GB2312"/>
          <w:color w:val="000000"/>
          <w:szCs w:val="21"/>
        </w:rPr>
        <w:t>工程质量管理</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4.4.1质量标准：执行行业主管部门颁发的质量标准，并无条件地执行业主和甲方签订的合同规定的质量标准、规范及业主、监理、甲方为了保证本项目工程质量和要求而执行的其他技术标准、规范。</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4.4.2本项目工程的质量目标为：a.分项工程合格率100%；b.确保竣工验收达到</w:t>
      </w:r>
      <w:r>
        <w:rPr>
          <w:rFonts w:hint="eastAsia" w:ascii="仿宋_GB2312" w:hAnsi="仿宋_GB2312" w:eastAsia="仿宋_GB2312" w:cs="仿宋_GB2312"/>
          <w:szCs w:val="21"/>
          <w:u w:val="single"/>
        </w:rPr>
        <w:t>合格</w:t>
      </w:r>
      <w:r>
        <w:rPr>
          <w:rFonts w:hint="eastAsia" w:ascii="仿宋_GB2312" w:hAnsi="仿宋_GB2312" w:eastAsia="仿宋_GB2312" w:cs="仿宋_GB2312"/>
          <w:szCs w:val="21"/>
        </w:rPr>
        <w:t>工程；c.无质量安全责任事故。乙方不能实现质量目标时，甲方有权扣除乙方的质量保证金。</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4.4.3乙方始终对所承包的工程质量安全负责，并将现场技术人员</w:t>
      </w:r>
      <w:r>
        <w:rPr>
          <w:rFonts w:hint="eastAsia" w:ascii="仿宋_GB2312" w:hAnsi="仿宋_GB2312" w:eastAsia="仿宋_GB2312" w:cs="仿宋_GB2312"/>
          <w:color w:val="000000" w:themeColor="text1"/>
          <w:szCs w:val="21"/>
          <w14:textFill>
            <w14:solidFill>
              <w14:schemeClr w14:val="tx1"/>
            </w14:solidFill>
          </w14:textFill>
        </w:rPr>
        <w:t>及专职质检员</w:t>
      </w:r>
      <w:r>
        <w:rPr>
          <w:rFonts w:hint="eastAsia" w:ascii="仿宋_GB2312" w:hAnsi="仿宋_GB2312" w:eastAsia="仿宋_GB2312" w:cs="仿宋_GB2312"/>
          <w:szCs w:val="21"/>
        </w:rPr>
        <w:t>、安全员报甲方。</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4.4.4乙方在施工过程中，严格按照技术规范进行施工。每道工序完成后，应自行检测，并将检测结果报甲方，接受甲方的抽检，并经监理工程师检测，合格后方可进行下一道工序。由于乙方不按技术规范和质量要求进行施工，工程质量达不到标准，甲方派驻人员和监理工程师有权责令其停工、返工，由此造成的损失由乙方承担。</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4.4.5乙方必须按国家规范要求服从业主、监理工程师、甲方的质量管理。接受业主、监理工程师与甲方的检查，并执行业主、监理及甲方下达的工作指令。乙方应积极配合、支持业主、监理及甲方的检查、监督，所发生的费用由乙方负责。对乙方拒绝执行业主、监理或甲方工作指令的，乙方每次应向甲方支付</w:t>
      </w:r>
      <w:r>
        <w:rPr>
          <w:rFonts w:hint="eastAsia" w:ascii="仿宋_GB2312" w:hAnsi="仿宋_GB2312" w:eastAsia="仿宋_GB2312" w:cs="仿宋_GB2312"/>
          <w:szCs w:val="21"/>
          <w:u w:val="single"/>
        </w:rPr>
        <w:t xml:space="preserve"> 5000 </w:t>
      </w:r>
      <w:r>
        <w:rPr>
          <w:rFonts w:hint="eastAsia" w:ascii="仿宋_GB2312" w:hAnsi="仿宋_GB2312" w:eastAsia="仿宋_GB2312" w:cs="仿宋_GB2312"/>
          <w:szCs w:val="21"/>
        </w:rPr>
        <w:t>元的违约金。</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4.4.6乙方在实施过程中质量得不到保证，并被业主或监理累计通报达到两次的，甲方有权单方解除合同，并全面接管或另行组织队伍施工，由此造成的损失由乙方承担。</w:t>
      </w:r>
    </w:p>
    <w:p>
      <w:pPr>
        <w:spacing w:line="560" w:lineRule="exact"/>
        <w:ind w:firstLine="420" w:firstLineChars="200"/>
        <w:rPr>
          <w:rFonts w:ascii="仿宋_GB2312" w:hAnsi="仿宋_GB2312" w:eastAsia="仿宋_GB2312" w:cs="仿宋_GB2312"/>
          <w:bCs/>
          <w:color w:val="000000"/>
          <w:szCs w:val="21"/>
        </w:rPr>
      </w:pPr>
      <w:r>
        <w:rPr>
          <w:rFonts w:hint="eastAsia" w:ascii="仿宋_GB2312" w:hAnsi="仿宋_GB2312" w:eastAsia="仿宋_GB2312" w:cs="仿宋_GB2312"/>
          <w:bCs/>
          <w:szCs w:val="21"/>
        </w:rPr>
        <w:t>4.5</w:t>
      </w:r>
      <w:r>
        <w:rPr>
          <w:rFonts w:hint="eastAsia" w:ascii="仿宋_GB2312" w:hAnsi="仿宋_GB2312" w:eastAsia="仿宋_GB2312" w:cs="仿宋_GB2312"/>
          <w:bCs/>
          <w:color w:val="000000"/>
          <w:szCs w:val="21"/>
        </w:rPr>
        <w:t>安全生产与文明施工管理</w:t>
      </w:r>
    </w:p>
    <w:p>
      <w:pPr>
        <w:widowControl/>
        <w:spacing w:line="560" w:lineRule="exact"/>
        <w:ind w:firstLine="420" w:firstLineChars="200"/>
        <w:jc w:val="left"/>
        <w:rPr>
          <w:rFonts w:ascii="仿宋_GB2312" w:hAnsi="仿宋_GB2312" w:eastAsia="仿宋_GB2312" w:cs="仿宋_GB2312"/>
          <w:kern w:val="0"/>
          <w:szCs w:val="21"/>
        </w:rPr>
      </w:pPr>
      <w:r>
        <w:rPr>
          <w:rFonts w:hint="eastAsia" w:ascii="仿宋_GB2312" w:hAnsi="仿宋_GB2312" w:eastAsia="仿宋_GB2312" w:cs="仿宋_GB2312"/>
          <w:szCs w:val="21"/>
        </w:rPr>
        <w:t>4.5.1乙方应依据业主合同文件（询价文件）规定投保建筑工程一切险、第三者责任险以及工人意外伤害保险，保险费和其他相关费用由乙方承担。</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4.5.2乙方承担施工过程中发生的安全事故和意外事件所造成的一切经济损失（含财产损失和人身伤亡损害赔偿）。因乙方原因导致甲方被追究责任的，乙方承担所有经济损失。</w:t>
      </w:r>
    </w:p>
    <w:p>
      <w:pPr>
        <w:spacing w:line="560" w:lineRule="exact"/>
        <w:ind w:firstLine="420" w:firstLineChars="200"/>
        <w:rPr>
          <w:rFonts w:ascii="仿宋_GB2312" w:hAnsi="仿宋_GB2312" w:eastAsia="仿宋_GB2312" w:cs="仿宋_GB2312"/>
          <w:bCs/>
          <w:szCs w:val="21"/>
        </w:rPr>
      </w:pPr>
      <w:r>
        <w:rPr>
          <w:rFonts w:hint="eastAsia" w:ascii="仿宋_GB2312" w:hAnsi="仿宋_GB2312" w:eastAsia="仿宋_GB2312" w:cs="仿宋_GB2312"/>
          <w:bCs/>
          <w:szCs w:val="21"/>
        </w:rPr>
        <w:t>4.6项目劳务管理</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4.6.1乙方劳务人员年龄段限制在男18—60周岁、女18—55周岁，身体健康，如果甲方发现有不符合年龄条件的，甲方有权直接予以清退，乙方承诺对此不提出任何异议。</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4.6.2乙方应严格执行农民工实名制管理相关规定，乙方用工必需签订合同明确报酬、发放标准，用工合同原件甲方核查留存复印件。乙方每月据实考核及时填报民工工资发放表，积极配合甲方做好民工工资发放的监控工作。</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乙方雇佣的劳务人员的劳动报酬应当及时足额支付，乙方不得以任何理由拖欠，应提前办妥手续委托甲方代为支付到用工人员工资卡。乙方未能及时委托特殊情况下甲方可根据情况对民工工资直接发放，乙方应积极予以配合和协助并无异议。如果劳务人员向甲方主张劳动报酬，乙方负责协调解决，解决不成由甲方处理，所发生一切费用均由乙方承担。</w:t>
      </w:r>
    </w:p>
    <w:p>
      <w:pPr>
        <w:spacing w:line="560" w:lineRule="exact"/>
        <w:ind w:firstLine="420" w:firstLineChars="200"/>
        <w:rPr>
          <w:rFonts w:ascii="仿宋_GB2312" w:hAnsi="仿宋_GB2312" w:eastAsia="仿宋_GB2312" w:cs="仿宋_GB2312"/>
          <w:b/>
          <w:bCs/>
          <w:szCs w:val="21"/>
        </w:rPr>
      </w:pPr>
      <w:r>
        <w:rPr>
          <w:rFonts w:hint="eastAsia" w:ascii="仿宋_GB2312" w:hAnsi="仿宋_GB2312" w:eastAsia="仿宋_GB2312" w:cs="仿宋_GB2312"/>
          <w:szCs w:val="21"/>
        </w:rPr>
        <w:t>用工合同、考勤表、工资发放表经核查每发现一人不属实或相关手续不齐全，每人次每项罚款5</w:t>
      </w:r>
      <w:r>
        <w:rPr>
          <w:rFonts w:ascii="仿宋_GB2312" w:hAnsi="仿宋_GB2312" w:eastAsia="仿宋_GB2312" w:cs="仿宋_GB2312"/>
          <w:szCs w:val="21"/>
        </w:rPr>
        <w:t>00</w:t>
      </w:r>
      <w:r>
        <w:rPr>
          <w:rFonts w:hint="eastAsia" w:ascii="仿宋_GB2312" w:hAnsi="仿宋_GB2312" w:eastAsia="仿宋_GB2312" w:cs="仿宋_GB2312"/>
          <w:szCs w:val="21"/>
        </w:rPr>
        <w:t>元，甲方有权从任何应付款中直接扣除，乙方无任何异议。</w:t>
      </w:r>
    </w:p>
    <w:p>
      <w:pPr>
        <w:spacing w:line="560" w:lineRule="exact"/>
        <w:ind w:firstLine="420" w:firstLineChars="200"/>
        <w:rPr>
          <w:rFonts w:ascii="仿宋_GB2312" w:hAnsi="仿宋_GB2312" w:eastAsia="仿宋_GB2312" w:cs="仿宋_GB2312"/>
          <w:bCs/>
          <w:szCs w:val="21"/>
        </w:rPr>
      </w:pPr>
      <w:r>
        <w:rPr>
          <w:rFonts w:hint="eastAsia" w:ascii="仿宋_GB2312" w:hAnsi="仿宋_GB2312" w:eastAsia="仿宋_GB2312" w:cs="仿宋_GB2312"/>
          <w:bCs/>
          <w:szCs w:val="21"/>
        </w:rPr>
        <w:t>4.7项目资金管理</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4.7.1按甲方财务制度办理相关业务并提供真实、合法、有效的增值税专用发票。发票抬头名称：安徽省经工建设集团有限公司，纳税识别码：91340000148953991G。若不符合财务制度要求的，甲方有权拒付。</w:t>
      </w:r>
    </w:p>
    <w:p>
      <w:pPr>
        <w:spacing w:line="560" w:lineRule="exact"/>
        <w:ind w:firstLine="420" w:firstLineChars="200"/>
        <w:rPr>
          <w:szCs w:val="21"/>
          <w:u w:val="single"/>
        </w:rPr>
      </w:pPr>
      <w:r>
        <w:rPr>
          <w:rFonts w:hint="eastAsia" w:ascii="仿宋_GB2312" w:hAnsi="仿宋_GB2312" w:eastAsia="仿宋_GB2312" w:cs="仿宋_GB2312"/>
          <w:szCs w:val="21"/>
          <w:u w:val="single"/>
        </w:rPr>
        <w:t>工程项目资金（工程款）必须专款专用，不得挪作他用。乙方须按中标金额交纳工程款税金，计税办法依据《中华人民共和国增值税暂行条例》，税金的收取按工程进度款的请付同步计收，工程竣工后以决算金额一次结清（含尚欠工程款和扣留的保修金）。</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4.7.２关于付款的约定：</w:t>
      </w:r>
      <w:r>
        <w:rPr>
          <w:rFonts w:ascii="仿宋_GB2312" w:hAnsi="仿宋_GB2312" w:eastAsia="仿宋_GB2312" w:cs="仿宋_GB2312"/>
          <w:szCs w:val="21"/>
        </w:rPr>
        <w:t xml:space="preserve"> </w:t>
      </w:r>
    </w:p>
    <w:p>
      <w:pPr>
        <w:spacing w:line="560" w:lineRule="exact"/>
        <w:ind w:firstLine="420" w:firstLineChars="200"/>
        <w:rPr>
          <w:rFonts w:hint="eastAsia" w:ascii="仿宋_GB2312" w:hAnsi="仿宋_GB2312" w:eastAsia="仿宋_GB2312" w:cs="仿宋_GB2312"/>
          <w:color w:val="000000" w:themeColor="text1"/>
          <w:szCs w:val="21"/>
          <w:lang w:val="en-US" w:eastAsia="zh-CN"/>
          <w14:textFill>
            <w14:solidFill>
              <w14:schemeClr w14:val="tx1"/>
            </w14:solidFill>
          </w14:textFill>
        </w:rPr>
      </w:pPr>
      <w:r>
        <w:rPr>
          <w:rFonts w:hint="eastAsia" w:ascii="仿宋_GB2312" w:hAnsi="仿宋_GB2312" w:eastAsia="仿宋_GB2312" w:cs="仿宋_GB2312"/>
          <w:color w:val="000000" w:themeColor="text1"/>
          <w:szCs w:val="21"/>
          <w:lang w:val="en-US" w:eastAsia="zh-CN"/>
          <w14:textFill>
            <w14:solidFill>
              <w14:schemeClr w14:val="tx1"/>
            </w14:solidFill>
          </w14:textFill>
        </w:rPr>
        <w:t>合同内的工程款按月支付进度款，支付经验收合格的已核定工程价款的90%；工程竣工决算初审后付至决算初审金额的95% ，审计定案表出具后付至审计定案价的 97%。工程变更和经济签证：工程师审批后在月支付进度款中付至70%；完成建设单位变更审批程序且经工程竣工决算初审后后付至 95% ；审计定案表出具后付至审计定案价的 97%。行政主管部门出具正式工程审计报告、缺陷责任期满并经使用单位确认无质量缺陷后付至审计定案价100%。每期付款前乙方应提供甲方财务部门认可的发票，否则甲方有权拒绝付款。每期工程款支付和质保金退还均应为无息支付。</w:t>
      </w:r>
    </w:p>
    <w:p>
      <w:pPr>
        <w:spacing w:line="560" w:lineRule="exact"/>
        <w:ind w:firstLine="420" w:firstLineChars="200"/>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4.7.3进度款审核</w:t>
      </w:r>
      <w:r>
        <w:rPr>
          <w:rFonts w:ascii="仿宋_GB2312" w:hAnsi="仿宋_GB2312" w:eastAsia="仿宋_GB2312" w:cs="仿宋_GB2312"/>
          <w:szCs w:val="21"/>
        </w:rPr>
        <w:t>和时间</w:t>
      </w:r>
    </w:p>
    <w:p>
      <w:pPr>
        <w:spacing w:line="560" w:lineRule="exact"/>
        <w:ind w:firstLine="420" w:firstLineChars="200"/>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乙方在达到支付节点当月的15日前报送进度款申请，甲方应在收到后10天内完成审批并签发进度款支付证书。甲方对进度付款申请单有异议的，有权要求乙方修正和提供补充资料，甲方在进度款支付证书签发（含修正后的）后次月15日前完成支付，承包人应在付款前提供等额合规的发票。甲方无正当理由逾期支付进度款的，应按照中国人民银行发布的同期同类存款基准利率支付违约金。在对已签发的进度款支付证书进行阶段汇总和复核中发现错误、遗漏或重复的，甲方有权在下期进度付款中支付或扣除,承包人不得以此为由拖延工期或使工程质量受影响。</w:t>
      </w:r>
    </w:p>
    <w:p>
      <w:pPr>
        <w:spacing w:line="560" w:lineRule="exact"/>
        <w:ind w:firstLine="525" w:firstLineChars="250"/>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关于工资进度款拨付的约定：（1）工资性工程款总额暂按合同价30%计算，根据合同进度款支付约定，发包人将占当期工程进度款总额30％的工资性工程款转入承包人农民工工资专用账户，用于支付当期农民工工资。（2）承包人必须据实编制并向发包人、监理单位申报农民工工资支付表。（3）在备案施工合同以外的设计变更或工程量增加等累计完成超过合同价5%以上的，发包人应在下次支付工程款前，将超过合同价部分的20%作为增加的月工资性工程款存入承包人农民工工资专用账户。</w:t>
      </w:r>
    </w:p>
    <w:p>
      <w:pPr>
        <w:pStyle w:val="12"/>
        <w:spacing w:line="560" w:lineRule="exact"/>
        <w:ind w:firstLine="42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4.7.4</w:t>
      </w:r>
      <w:r>
        <w:rPr>
          <w:rFonts w:hint="eastAsia" w:ascii="Adobe 仿宋 Std R" w:hAnsi="Adobe 仿宋 Std R" w:eastAsia="Adobe 仿宋 Std R"/>
          <w:b/>
          <w:color w:val="000000"/>
          <w:sz w:val="21"/>
          <w:szCs w:val="21"/>
        </w:rPr>
        <w:t xml:space="preserve"> </w:t>
      </w:r>
      <w:r>
        <w:rPr>
          <w:rFonts w:hint="eastAsia" w:ascii="仿宋_GB2312" w:hAnsi="仿宋_GB2312" w:eastAsia="仿宋_GB2312" w:cs="仿宋_GB2312"/>
          <w:color w:val="000000" w:themeColor="text1"/>
          <w:sz w:val="21"/>
          <w:szCs w:val="21"/>
          <w14:textFill>
            <w14:solidFill>
              <w14:schemeClr w14:val="tx1"/>
            </w14:solidFill>
          </w14:textFill>
        </w:rPr>
        <w:t>竣工结算</w:t>
      </w:r>
    </w:p>
    <w:p>
      <w:pPr>
        <w:spacing w:line="360" w:lineRule="auto"/>
        <w:ind w:firstLine="525" w:firstLineChars="250"/>
        <w:jc w:val="left"/>
        <w:rPr>
          <w:rFonts w:ascii="仿宋_GB2312" w:hAnsi="仿宋_GB2312" w:eastAsia="仿宋_GB2312" w:cs="仿宋_GB2312"/>
          <w:color w:val="000000" w:themeColor="text1"/>
          <w:szCs w:val="21"/>
          <w:shd w:val="clear" w:color="FFFFFF" w:fill="D9D9D9"/>
          <w14:textFill>
            <w14:solidFill>
              <w14:schemeClr w14:val="tx1"/>
            </w14:solidFill>
          </w14:textFill>
        </w:rPr>
      </w:pPr>
      <w:r>
        <w:rPr>
          <w:rFonts w:hint="eastAsia" w:ascii="仿宋_GB2312" w:hAnsi="仿宋_GB2312" w:eastAsia="仿宋_GB2312" w:cs="仿宋_GB2312"/>
          <w:color w:val="000000" w:themeColor="text1"/>
          <w:szCs w:val="21"/>
          <w:shd w:val="clear" w:color="FFFFFF" w:fill="D9D9D9"/>
          <w14:textFill>
            <w14:solidFill>
              <w14:schemeClr w14:val="tx1"/>
            </w14:solidFill>
          </w14:textFill>
        </w:rPr>
        <w:t>本工程竣工验收合格后</w:t>
      </w:r>
      <w:r>
        <w:rPr>
          <w:rFonts w:ascii="仿宋_GB2312" w:hAnsi="仿宋_GB2312" w:eastAsia="仿宋_GB2312" w:cs="仿宋_GB2312"/>
          <w:color w:val="000000" w:themeColor="text1"/>
          <w:szCs w:val="21"/>
          <w:shd w:val="clear" w:color="FFFFFF" w:fill="D9D9D9"/>
          <w14:textFill>
            <w14:solidFill>
              <w14:schemeClr w14:val="tx1"/>
            </w14:solidFill>
          </w14:textFill>
        </w:rPr>
        <w:t>28</w:t>
      </w:r>
      <w:r>
        <w:rPr>
          <w:rFonts w:hint="eastAsia" w:ascii="仿宋_GB2312" w:hAnsi="仿宋_GB2312" w:eastAsia="仿宋_GB2312" w:cs="仿宋_GB2312"/>
          <w:color w:val="000000" w:themeColor="text1"/>
          <w:szCs w:val="21"/>
          <w:shd w:val="clear" w:color="FFFFFF" w:fill="D9D9D9"/>
          <w14:textFill>
            <w14:solidFill>
              <w14:schemeClr w14:val="tx1"/>
            </w14:solidFill>
          </w14:textFill>
        </w:rPr>
        <w:t>天内乙方需提交完整的竣工结算资料给甲方，甲方</w:t>
      </w:r>
      <w:r>
        <w:rPr>
          <w:rFonts w:ascii="仿宋_GB2312" w:hAnsi="仿宋_GB2312" w:eastAsia="仿宋_GB2312" w:cs="仿宋_GB2312"/>
          <w:color w:val="000000" w:themeColor="text1"/>
          <w:szCs w:val="21"/>
          <w:shd w:val="clear" w:color="FFFFFF" w:fill="D9D9D9"/>
          <w14:textFill>
            <w14:solidFill>
              <w14:schemeClr w14:val="tx1"/>
            </w14:solidFill>
          </w14:textFill>
        </w:rPr>
        <w:t>收到竣工结算</w:t>
      </w:r>
      <w:r>
        <w:rPr>
          <w:rFonts w:hint="eastAsia" w:ascii="仿宋_GB2312" w:hAnsi="仿宋_GB2312" w:eastAsia="仿宋_GB2312" w:cs="仿宋_GB2312"/>
          <w:color w:val="000000" w:themeColor="text1"/>
          <w:szCs w:val="21"/>
          <w:shd w:val="clear" w:color="FFFFFF" w:fill="D9D9D9"/>
          <w14:textFill>
            <w14:solidFill>
              <w14:schemeClr w14:val="tx1"/>
            </w14:solidFill>
          </w14:textFill>
        </w:rPr>
        <w:t>资</w:t>
      </w:r>
      <w:r>
        <w:rPr>
          <w:rFonts w:ascii="仿宋_GB2312" w:hAnsi="仿宋_GB2312" w:eastAsia="仿宋_GB2312" w:cs="仿宋_GB2312"/>
          <w:color w:val="000000" w:themeColor="text1"/>
          <w:szCs w:val="21"/>
          <w:shd w:val="clear" w:color="FFFFFF" w:fill="D9D9D9"/>
          <w14:textFill>
            <w14:solidFill>
              <w14:schemeClr w14:val="tx1"/>
            </w14:solidFill>
          </w14:textFill>
        </w:rPr>
        <w:t>料后</w:t>
      </w:r>
      <w:r>
        <w:rPr>
          <w:rFonts w:hint="eastAsia" w:ascii="仿宋_GB2312" w:hAnsi="仿宋_GB2312" w:eastAsia="仿宋_GB2312" w:cs="仿宋_GB2312"/>
          <w:color w:val="000000" w:themeColor="text1"/>
          <w:szCs w:val="21"/>
          <w:shd w:val="clear" w:color="FFFFFF" w:fill="D9D9D9"/>
          <w14:textFill>
            <w14:solidFill>
              <w14:schemeClr w14:val="tx1"/>
            </w14:solidFill>
          </w14:textFill>
        </w:rPr>
        <w:t>60</w:t>
      </w:r>
      <w:r>
        <w:rPr>
          <w:rFonts w:ascii="仿宋_GB2312" w:hAnsi="仿宋_GB2312" w:eastAsia="仿宋_GB2312" w:cs="仿宋_GB2312"/>
          <w:color w:val="000000" w:themeColor="text1"/>
          <w:szCs w:val="21"/>
          <w:shd w:val="clear" w:color="FFFFFF" w:fill="D9D9D9"/>
          <w14:textFill>
            <w14:solidFill>
              <w14:schemeClr w14:val="tx1"/>
            </w14:solidFill>
          </w14:textFill>
        </w:rPr>
        <w:t>天内完成核查并签发竣工付款证书。</w:t>
      </w:r>
    </w:p>
    <w:p>
      <w:pPr>
        <w:spacing w:line="360" w:lineRule="auto"/>
        <w:ind w:firstLine="525" w:firstLineChars="250"/>
        <w:jc w:val="left"/>
        <w:rPr>
          <w:rFonts w:ascii="仿宋_GB2312" w:hAnsi="仿宋_GB2312" w:eastAsia="仿宋_GB2312" w:cs="仿宋_GB2312"/>
          <w:bCs/>
          <w:szCs w:val="21"/>
        </w:rPr>
      </w:pPr>
      <w:r>
        <w:rPr>
          <w:rFonts w:hint="eastAsia" w:ascii="仿宋_GB2312" w:hAnsi="仿宋_GB2312" w:eastAsia="仿宋_GB2312" w:cs="仿宋_GB2312"/>
          <w:bCs/>
          <w:szCs w:val="21"/>
        </w:rPr>
        <w:t>4.8项目文化建设</w:t>
      </w:r>
    </w:p>
    <w:p>
      <w:pPr>
        <w:adjustRightInd w:val="0"/>
        <w:snapToGrid w:val="0"/>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4.8.1乙方在项目实施期间，项目部门楼、场站、会议室、办公场所及等所有标识、标牌、图表等均应冠以“安徽经工”名称，展现甲方企业文化，不得以乙方或其他单位名义出现。</w:t>
      </w:r>
    </w:p>
    <w:p>
      <w:pPr>
        <w:adjustRightInd w:val="0"/>
        <w:snapToGrid w:val="0"/>
        <w:spacing w:line="560" w:lineRule="exact"/>
        <w:ind w:firstLine="420" w:firstLineChars="200"/>
        <w:rPr>
          <w:rFonts w:ascii="仿宋_GB2312" w:hAnsi="仿宋_GB2312" w:eastAsia="仿宋_GB2312" w:cs="仿宋_GB2312"/>
          <w:szCs w:val="21"/>
          <w:highlight w:val="red"/>
          <w:u w:val="single"/>
        </w:rPr>
      </w:pPr>
      <w:r>
        <w:rPr>
          <w:rFonts w:hint="eastAsia" w:ascii="仿宋_GB2312" w:hAnsi="仿宋_GB2312" w:eastAsia="仿宋_GB2312" w:cs="仿宋_GB2312"/>
          <w:szCs w:val="21"/>
        </w:rPr>
        <w:t>4.8.2因乙方在项目文化建设和宣传方面不执行甲方的规定，而因此被业主或其他部门追究责任或给甲方带来的损失后果由乙方承担。</w:t>
      </w:r>
    </w:p>
    <w:p>
      <w:pPr>
        <w:spacing w:line="560" w:lineRule="exact"/>
        <w:ind w:firstLine="422" w:firstLineChars="200"/>
        <w:rPr>
          <w:rFonts w:ascii="仿宋_GB2312" w:hAnsi="仿宋_GB2312" w:eastAsia="仿宋_GB2312" w:cs="仿宋_GB2312"/>
          <w:b/>
          <w:bCs/>
          <w:szCs w:val="21"/>
        </w:rPr>
      </w:pPr>
      <w:r>
        <w:rPr>
          <w:rFonts w:hint="eastAsia" w:ascii="仿宋_GB2312" w:hAnsi="仿宋_GB2312" w:eastAsia="仿宋_GB2312" w:cs="仿宋_GB2312"/>
          <w:b/>
          <w:bCs/>
          <w:szCs w:val="21"/>
        </w:rPr>
        <w:t>5.履约担保等费用</w:t>
      </w:r>
    </w:p>
    <w:p>
      <w:pPr>
        <w:pStyle w:val="6"/>
        <w:ind w:firstLine="420" w:firstLineChars="200"/>
        <w:rPr>
          <w:rFonts w:ascii="仿宋_GB2312" w:hAnsi="仿宋_GB2312" w:eastAsia="仿宋_GB2312" w:cs="仿宋_GB2312"/>
          <w:szCs w:val="21"/>
          <w:u w:val="single"/>
        </w:rPr>
      </w:pPr>
      <w:r>
        <w:rPr>
          <w:rFonts w:hint="eastAsia" w:ascii="仿宋_GB2312" w:hAnsi="仿宋_GB2312" w:eastAsia="仿宋_GB2312" w:cs="仿宋_GB2312"/>
          <w:szCs w:val="21"/>
        </w:rPr>
        <w:t>5.1乙方应向甲方支付同</w:t>
      </w:r>
      <w:r>
        <w:rPr>
          <w:rFonts w:hint="eastAsia" w:ascii="仿宋_GB2312" w:hAnsi="仿宋_GB2312" w:eastAsia="仿宋_GB2312" w:cs="仿宋_GB2312"/>
          <w:szCs w:val="21"/>
          <w:u w:val="single"/>
        </w:rPr>
        <w:t>业主合同</w:t>
      </w:r>
      <w:r>
        <w:rPr>
          <w:rFonts w:hint="eastAsia" w:ascii="仿宋_GB2312" w:hAnsi="仿宋_GB2312" w:eastAsia="仿宋_GB2312" w:cs="仿宋_GB2312"/>
          <w:szCs w:val="21"/>
        </w:rPr>
        <w:t>的履约保证金，作为乙方履行本合同的担保。担保方式：</w:t>
      </w:r>
      <w:r>
        <w:rPr>
          <w:rFonts w:hint="eastAsia" w:ascii="仿宋_GB2312" w:hAnsi="仿宋_GB2312" w:eastAsia="仿宋_GB2312" w:cs="仿宋_GB2312"/>
          <w:szCs w:val="21"/>
          <w:u w:val="single"/>
        </w:rPr>
        <w:t>同业主合同。</w:t>
      </w:r>
    </w:p>
    <w:p>
      <w:pPr>
        <w:adjustRightInd w:val="0"/>
        <w:snapToGrid w:val="0"/>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5.2在项目实施过程中，因乙方原因导致业主认定甲方违约、没收甲方保证金或要求甲方承担违约责任时，甲方有权以乙方交纳的履约保证金和相关款项支付，不足部分仍应由乙方承担，乙方在收到甲方付款通知7日内向甲方或直接向业主方支付。在前述情形下，乙方不得以任何理由向甲方主张返还保证金的权利。</w:t>
      </w:r>
    </w:p>
    <w:p>
      <w:pPr>
        <w:spacing w:line="560" w:lineRule="exact"/>
        <w:ind w:firstLine="422" w:firstLineChars="200"/>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6、违约责任</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6.2.1乙方不得私刻甲方的印章，否则甲方将依法追究乙方的经济责任和刑事责任。</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6.2.2乙方施工现场管理混乱，不能满足业主、监理等管理单位有关工程进度、质量等方面的要求，致使业主、监理向甲方公司发函的，乙方除接受业主、监理的处罚外，每发生一次另行向甲方支付10000元违约金；由此造成业主约见甲方法定代表人或主要负责人的，每发生一次乙方向甲方支付5万元违约金。</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6.2.3因乙方原因导致本合同无法继续履行，乙方按未完成工程量总造价的20%向甲方支付违约金，甲方有权直接从乙方应得工程款中直接扣除，不足部分由乙方另行支付给甲方。</w:t>
      </w:r>
    </w:p>
    <w:p>
      <w:pPr>
        <w:spacing w:line="560" w:lineRule="exact"/>
        <w:ind w:firstLine="420" w:firstLineChars="200"/>
        <w:rPr>
          <w:rFonts w:ascii="仿宋_GB2312" w:hAnsi="仿宋_GB2312" w:eastAsia="仿宋_GB2312" w:cs="仿宋_GB2312"/>
          <w:szCs w:val="21"/>
          <w:highlight w:val="red"/>
        </w:rPr>
      </w:pPr>
      <w:r>
        <w:rPr>
          <w:rFonts w:hint="eastAsia" w:ascii="仿宋_GB2312" w:hAnsi="仿宋_GB2312" w:eastAsia="仿宋_GB2312" w:cs="仿宋_GB2312"/>
          <w:szCs w:val="21"/>
        </w:rPr>
        <w:t>6.2.4若乙方交、竣工验收资料不完整或不满足甲方备案要求的，乙方除应及时提供符合备案要求的相关资料外，还应向甲方支付违约金5万元。</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6.2.5项目在履行过程中或结束后，因本项目乙方原因发生第三方与甲方的法律纠纷（含诉讼、仲裁等其他纠纷），乙方应协助甲方积极共同处理，因此产生的案件受理费、律师费、差旅费、住宿费和餐饮费等业务费用由乙方承担。</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6.2.6乙方拖欠民工工资，引发民工群体讨薪或上访的，甲方有权直接发放，费用直接从乙方应得工程款中扣除，所发生的一切费用由乙方承担。每发生一次群体讨薪或上访的，乙方向甲方支付违约金5万元（乙方民工工资按照集团公司项目用工管理办法执行）。由公司垫资解决的除处罚外另按公司财务规定加收项目利息。</w:t>
      </w:r>
    </w:p>
    <w:p>
      <w:pPr>
        <w:spacing w:line="560" w:lineRule="exact"/>
        <w:ind w:firstLine="422" w:firstLineChars="200"/>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7</w:t>
      </w:r>
      <w:r>
        <w:rPr>
          <w:rFonts w:hint="eastAsia" w:ascii="仿宋_GB2312" w:hAnsi="仿宋_GB2312" w:eastAsia="仿宋_GB2312" w:cs="仿宋_GB2312"/>
          <w:b/>
          <w:bCs/>
          <w:szCs w:val="21"/>
        </w:rPr>
        <w:t>.</w:t>
      </w:r>
      <w:r>
        <w:rPr>
          <w:rFonts w:hint="eastAsia" w:ascii="仿宋_GB2312" w:hAnsi="仿宋_GB2312" w:eastAsia="仿宋_GB2312" w:cs="仿宋_GB2312"/>
          <w:b/>
          <w:bCs/>
          <w:color w:val="000000"/>
          <w:szCs w:val="21"/>
        </w:rPr>
        <w:t>合同解除</w:t>
      </w:r>
    </w:p>
    <w:p>
      <w:pPr>
        <w:spacing w:line="5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7.1本工程出现下列情形之一时，甲方有权单方解除本合同：</w:t>
      </w:r>
    </w:p>
    <w:p>
      <w:pPr>
        <w:spacing w:line="560" w:lineRule="exact"/>
        <w:ind w:firstLine="57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7.1.1乙方丧失民事行为能力，或其信用出现严重问题，或其经营管理能力明显不足，无法完成合作任务的；</w:t>
      </w:r>
    </w:p>
    <w:p>
      <w:pPr>
        <w:spacing w:line="560" w:lineRule="exact"/>
        <w:ind w:firstLine="570"/>
        <w:rPr>
          <w:rFonts w:ascii="仿宋_GB2312" w:hAnsi="仿宋_GB2312" w:eastAsia="仿宋_GB2312" w:cs="仿宋_GB2312"/>
          <w:color w:val="000000"/>
          <w:szCs w:val="21"/>
          <w:u w:val="single"/>
        </w:rPr>
      </w:pPr>
      <w:r>
        <w:rPr>
          <w:rFonts w:hint="eastAsia" w:ascii="仿宋_GB2312" w:hAnsi="仿宋_GB2312" w:eastAsia="仿宋_GB2312" w:cs="仿宋_GB2312"/>
          <w:color w:val="000000"/>
          <w:szCs w:val="21"/>
        </w:rPr>
        <w:t>7.1.2因乙方原因导致节点工期延误两个月以上且无纠偏措施的或乙方生产要素配量、工期进度、质量安全达不到甲方及业主的要求时，甲方及时提出书面整改意见，连续两次都达不到要求的；</w:t>
      </w:r>
    </w:p>
    <w:p>
      <w:pPr>
        <w:spacing w:line="560" w:lineRule="exact"/>
        <w:ind w:firstLine="570"/>
        <w:rPr>
          <w:rFonts w:ascii="仿宋_GB2312" w:hAnsi="仿宋_GB2312" w:eastAsia="仿宋_GB2312" w:cs="仿宋_GB2312"/>
          <w:color w:val="000000"/>
          <w:szCs w:val="21"/>
          <w:u w:val="single"/>
        </w:rPr>
      </w:pPr>
      <w:r>
        <w:rPr>
          <w:rFonts w:hint="eastAsia" w:ascii="仿宋_GB2312" w:hAnsi="仿宋_GB2312" w:eastAsia="仿宋_GB2312" w:cs="仿宋_GB2312"/>
          <w:color w:val="000000"/>
          <w:szCs w:val="21"/>
        </w:rPr>
        <w:t>7.1.3 施工过程中发生较大质量、安全事故的；</w:t>
      </w:r>
    </w:p>
    <w:p>
      <w:pPr>
        <w:spacing w:line="560" w:lineRule="exact"/>
        <w:ind w:firstLine="570"/>
        <w:rPr>
          <w:rFonts w:ascii="仿宋_GB2312" w:hAnsi="仿宋_GB2312" w:eastAsia="仿宋_GB2312" w:cs="仿宋_GB2312"/>
          <w:color w:val="000000"/>
          <w:szCs w:val="21"/>
          <w:u w:val="single"/>
        </w:rPr>
      </w:pPr>
      <w:r>
        <w:rPr>
          <w:rFonts w:hint="eastAsia" w:ascii="仿宋_GB2312" w:hAnsi="仿宋_GB2312" w:eastAsia="仿宋_GB2312" w:cs="仿宋_GB2312"/>
          <w:color w:val="000000"/>
          <w:szCs w:val="21"/>
        </w:rPr>
        <w:t>7.1.4施工过程中受到有关部门责令停工等处罚的；</w:t>
      </w:r>
    </w:p>
    <w:p>
      <w:pPr>
        <w:spacing w:line="560" w:lineRule="exact"/>
        <w:ind w:firstLine="57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7.1.5乙方或其聘用、提议聘用的工作人员有挪用、侵占本工程的资金、材料行为的；</w:t>
      </w:r>
    </w:p>
    <w:p>
      <w:pPr>
        <w:spacing w:line="560" w:lineRule="exact"/>
        <w:ind w:firstLine="57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7.1.6乙方未经甲方书面同意，私自刻制甲方印章、设立账户或擅自以甲方或项目部名义对外签订合同的；</w:t>
      </w:r>
    </w:p>
    <w:p>
      <w:pPr>
        <w:spacing w:line="560" w:lineRule="exact"/>
        <w:ind w:firstLine="57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7.1.7施工过程中发生重大诉讼、媒体曝光等给公司声誉造成重大负面影响的；</w:t>
      </w:r>
    </w:p>
    <w:p>
      <w:pPr>
        <w:spacing w:line="560" w:lineRule="exact"/>
        <w:ind w:firstLine="570"/>
        <w:rPr>
          <w:rFonts w:ascii="仿宋_GB2312" w:hAnsi="仿宋_GB2312" w:eastAsia="仿宋_GB2312" w:cs="仿宋_GB2312"/>
          <w:szCs w:val="21"/>
          <w:u w:val="single"/>
        </w:rPr>
      </w:pPr>
      <w:r>
        <w:rPr>
          <w:rFonts w:hint="eastAsia" w:ascii="仿宋_GB2312" w:hAnsi="仿宋_GB2312" w:eastAsia="仿宋_GB2312" w:cs="仿宋_GB2312"/>
          <w:color w:val="000000"/>
          <w:szCs w:val="21"/>
        </w:rPr>
        <w:t>7.1.8</w:t>
      </w:r>
      <w:r>
        <w:rPr>
          <w:rFonts w:hint="eastAsia" w:ascii="仿宋_GB2312" w:hAnsi="仿宋_GB2312" w:eastAsia="仿宋_GB2312" w:cs="仿宋_GB2312"/>
          <w:szCs w:val="21"/>
        </w:rPr>
        <w:t>乙方有非法转包和违法分包行为的；</w:t>
      </w:r>
    </w:p>
    <w:p>
      <w:pPr>
        <w:spacing w:line="560" w:lineRule="exact"/>
        <w:ind w:firstLine="570"/>
        <w:rPr>
          <w:rFonts w:ascii="仿宋_GB2312" w:hAnsi="仿宋_GB2312" w:eastAsia="仿宋_GB2312" w:cs="仿宋_GB2312"/>
          <w:color w:val="000000"/>
          <w:szCs w:val="21"/>
          <w:u w:val="single"/>
        </w:rPr>
      </w:pPr>
      <w:r>
        <w:rPr>
          <w:rFonts w:hint="eastAsia" w:ascii="仿宋_GB2312" w:hAnsi="仿宋_GB2312" w:eastAsia="仿宋_GB2312" w:cs="仿宋_GB2312"/>
          <w:color w:val="000000"/>
          <w:szCs w:val="21"/>
        </w:rPr>
        <w:t>7.1.</w:t>
      </w:r>
      <w:r>
        <w:rPr>
          <w:rFonts w:hint="eastAsia" w:ascii="仿宋_GB2312" w:hAnsi="仿宋_GB2312" w:eastAsia="仿宋_GB2312" w:cs="仿宋_GB2312"/>
          <w:szCs w:val="21"/>
        </w:rPr>
        <w:t>9</w:t>
      </w:r>
      <w:r>
        <w:rPr>
          <w:rFonts w:hint="eastAsia" w:ascii="仿宋_GB2312" w:hAnsi="仿宋_GB2312" w:eastAsia="仿宋_GB2312" w:cs="仿宋_GB2312"/>
          <w:color w:val="000000"/>
          <w:szCs w:val="21"/>
        </w:rPr>
        <w:t>乙方有转移或抽逃项目工程款，甲方要求整改拒不执行的。</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color w:val="000000"/>
          <w:szCs w:val="21"/>
        </w:rPr>
        <w:t>乙方有</w:t>
      </w:r>
      <w:r>
        <w:rPr>
          <w:rFonts w:hint="eastAsia" w:ascii="仿宋_GB2312" w:hAnsi="仿宋_GB2312" w:eastAsia="仿宋_GB2312" w:cs="仿宋_GB2312"/>
          <w:szCs w:val="21"/>
        </w:rPr>
        <w:t>上述情形的，甲方除可以单方解除合同外，还可以视情况，不予退还乙方向甲方缴纳的履约保证金。</w:t>
      </w:r>
    </w:p>
    <w:p>
      <w:pPr>
        <w:spacing w:line="5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7.2甲方单方解除合同的，自甲方解除通知书到达之日起生效。</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szCs w:val="21"/>
        </w:rPr>
        <w:t>3合同解除后双方的义务。甲方暂停一切支付直至双方签订完善的撤场协议。乙方应当在收到甲方解除通知书7个工作日内主动与甲方办</w:t>
      </w:r>
      <w:r>
        <w:rPr>
          <w:rFonts w:hint="eastAsia" w:ascii="仿宋_GB2312" w:hAnsi="仿宋_GB2312" w:eastAsia="仿宋_GB2312" w:cs="仿宋_GB2312"/>
          <w:color w:val="000000"/>
          <w:szCs w:val="21"/>
        </w:rPr>
        <w:t>理交接，并办理已完工程量确认、结算、财务往来对账、</w:t>
      </w:r>
      <w:r>
        <w:rPr>
          <w:rFonts w:hint="eastAsia" w:ascii="仿宋_GB2312" w:hAnsi="仿宋_GB2312" w:eastAsia="仿宋_GB2312" w:cs="仿宋_GB2312"/>
          <w:szCs w:val="21"/>
        </w:rPr>
        <w:t>债权债务清理、工程交接等一切事务，甲方应积极配合。甲乙双方签订撤场协议，就乙方上述相关事宜达成协议。如乙方不愿签订协议，双方同意以甲方与业主的结算资料确认的工程数量为准，已完工程量按报价7</w:t>
      </w:r>
      <w:r>
        <w:rPr>
          <w:rFonts w:ascii="仿宋_GB2312" w:hAnsi="仿宋_GB2312" w:eastAsia="仿宋_GB2312" w:cs="仿宋_GB2312"/>
          <w:szCs w:val="21"/>
        </w:rPr>
        <w:t>0%</w:t>
      </w:r>
      <w:r>
        <w:rPr>
          <w:rFonts w:hint="eastAsia" w:ascii="仿宋_GB2312" w:hAnsi="仿宋_GB2312" w:eastAsia="仿宋_GB2312" w:cs="仿宋_GB2312"/>
          <w:szCs w:val="21"/>
        </w:rPr>
        <w:t>结算。</w:t>
      </w:r>
    </w:p>
    <w:p>
      <w:pPr>
        <w:spacing w:line="560" w:lineRule="exact"/>
        <w:ind w:firstLine="422" w:firstLineChars="200"/>
        <w:rPr>
          <w:rFonts w:ascii="仿宋_GB2312" w:hAnsi="仿宋_GB2312" w:eastAsia="仿宋_GB2312" w:cs="仿宋_GB2312"/>
          <w:b/>
          <w:color w:val="000000"/>
          <w:szCs w:val="21"/>
        </w:rPr>
      </w:pPr>
      <w:r>
        <w:rPr>
          <w:rFonts w:hint="eastAsia" w:ascii="仿宋_GB2312" w:hAnsi="仿宋_GB2312" w:eastAsia="仿宋_GB2312" w:cs="仿宋_GB2312"/>
          <w:b/>
          <w:color w:val="000000"/>
          <w:szCs w:val="21"/>
        </w:rPr>
        <w:t>8.甲控、甲供材</w:t>
      </w:r>
    </w:p>
    <w:p>
      <w:pPr>
        <w:spacing w:line="5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8.1（若有）承包人采购的进场材料及其包装材料必须满足项目所在相关部门的相关规定，若相关部门检查出不符合相关规定，由承包人承担全部责任，工期不予顺延。</w:t>
      </w:r>
    </w:p>
    <w:p>
      <w:pPr>
        <w:spacing w:line="5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8.2备注未注明为甲供的材料设备，乙方按甲控品牌自购。</w:t>
      </w:r>
    </w:p>
    <w:p>
      <w:pPr>
        <w:spacing w:line="5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8.3甲控材料设备应严格按品牌采购封样供货。乙方采购的所有材料设备合同均应提交复印件于甲方备查，来货收料甲方参与验收，送货单（收料单）甲方留存复印件，每份合同的付款情况应每月报送甲方知悉，否则不予支付工程进度款。</w:t>
      </w:r>
    </w:p>
    <w:p>
      <w:pPr>
        <w:spacing w:line="520" w:lineRule="exact"/>
        <w:ind w:firstLine="420" w:firstLineChars="200"/>
        <w:rPr>
          <w:szCs w:val="21"/>
        </w:rPr>
      </w:pPr>
      <w:r>
        <w:rPr>
          <w:rFonts w:hint="eastAsia" w:ascii="仿宋_GB2312" w:hAnsi="仿宋_GB2312" w:eastAsia="仿宋_GB2312" w:cs="仿宋_GB2312"/>
          <w:szCs w:val="21"/>
        </w:rPr>
        <w:t>8.4甲供材数量以工程量清单数量为准，超出定额损耗部分由乙方自行承担。</w:t>
      </w:r>
    </w:p>
    <w:p>
      <w:pPr>
        <w:spacing w:line="520" w:lineRule="exact"/>
        <w:ind w:firstLine="640"/>
        <w:rPr>
          <w:szCs w:val="21"/>
        </w:rPr>
      </w:pPr>
      <w:r>
        <w:rPr>
          <w:rFonts w:hint="eastAsia" w:ascii="仿宋_GB2312" w:hAnsi="仿宋_GB2312" w:eastAsia="仿宋_GB2312" w:cs="仿宋_GB2312"/>
          <w:szCs w:val="21"/>
        </w:rPr>
        <w:t xml:space="preserve">8.5 </w:t>
      </w:r>
      <w:r>
        <w:rPr>
          <w:rFonts w:hint="eastAsia" w:ascii="仿宋_GB2312" w:hAnsi="仿宋_GB2312" w:eastAsia="仿宋_GB2312" w:cs="仿宋_GB2312"/>
          <w:bCs/>
          <w:color w:val="000000"/>
          <w:szCs w:val="21"/>
        </w:rPr>
        <w:t>甲控及甲供材一览表</w:t>
      </w:r>
    </w:p>
    <w:p>
      <w:pPr>
        <w:spacing w:line="560" w:lineRule="exact"/>
        <w:ind w:firstLine="422" w:firstLineChars="200"/>
        <w:rPr>
          <w:rFonts w:ascii="仿宋_GB2312" w:hAnsi="仿宋_GB2312" w:eastAsia="仿宋_GB2312" w:cs="仿宋_GB2312"/>
          <w:b/>
          <w:color w:val="000000"/>
          <w:szCs w:val="21"/>
        </w:rPr>
      </w:pPr>
      <w:r>
        <w:rPr>
          <w:rFonts w:hint="eastAsia" w:ascii="仿宋_GB2312" w:hAnsi="仿宋_GB2312" w:eastAsia="仿宋_GB2312" w:cs="仿宋_GB2312"/>
          <w:b/>
          <w:szCs w:val="21"/>
        </w:rPr>
        <w:t>9.</w:t>
      </w:r>
      <w:r>
        <w:rPr>
          <w:rFonts w:hint="eastAsia" w:ascii="仿宋_GB2312" w:hAnsi="仿宋_GB2312" w:eastAsia="仿宋_GB2312" w:cs="仿宋_GB2312"/>
          <w:b/>
          <w:color w:val="000000"/>
          <w:szCs w:val="21"/>
        </w:rPr>
        <w:t>争议解决方式</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本合同履行过程中若发生争议，双方应本着诚实信用和公平合理的原则协商解决；协商不成，向甲方所在地有管辖权的人民法院起诉。</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本协议一式四份，甲方两份乙方两份。由双方法定代表人或其授权的代理人签署并加盖公章后生效，全部工程竣工验收后失效。</w:t>
      </w:r>
    </w:p>
    <w:p>
      <w:pPr>
        <w:spacing w:line="56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甲方：                             乙方：                 </w:t>
      </w:r>
    </w:p>
    <w:p>
      <w:pPr>
        <w:spacing w:line="56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法定代表人或                       法定代表人或</w:t>
      </w:r>
    </w:p>
    <w:p>
      <w:pPr>
        <w:spacing w:line="56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委托代理人：(签字)                 委托代理人：(签字)</w:t>
      </w:r>
    </w:p>
    <w:p>
      <w:pPr>
        <w:spacing w:line="56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电话：                             </w:t>
      </w:r>
      <w:r>
        <w:rPr>
          <w:rFonts w:hint="eastAsia" w:ascii="仿宋_GB2312" w:hAnsi="仿宋_GB2312" w:eastAsia="仿宋_GB2312" w:cs="仿宋_GB2312"/>
          <w:vanish/>
          <w:color w:val="000000"/>
          <w:szCs w:val="21"/>
        </w:rPr>
        <w:pgNum/>
      </w:r>
      <w:r>
        <w:rPr>
          <w:rFonts w:hint="eastAsia" w:ascii="仿宋_GB2312" w:hAnsi="仿宋_GB2312" w:eastAsia="仿宋_GB2312" w:cs="仿宋_GB2312"/>
          <w:vanish/>
          <w:color w:val="000000"/>
          <w:szCs w:val="21"/>
        </w:rPr>
        <w:pgNum/>
      </w:r>
      <w:r>
        <w:rPr>
          <w:rFonts w:hint="eastAsia" w:ascii="仿宋_GB2312" w:hAnsi="仿宋_GB2312" w:eastAsia="仿宋_GB2312" w:cs="仿宋_GB2312"/>
          <w:color w:val="000000"/>
          <w:szCs w:val="21"/>
        </w:rPr>
        <w:t xml:space="preserve">电话： </w:t>
      </w:r>
    </w:p>
    <w:p>
      <w:pPr>
        <w:spacing w:line="56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开户银行：                         开户银行：</w:t>
      </w:r>
    </w:p>
    <w:p>
      <w:pPr>
        <w:spacing w:line="56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账号：                             账号:</w:t>
      </w:r>
    </w:p>
    <w:p>
      <w:pPr>
        <w:spacing w:line="56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日期：                             日期： </w:t>
      </w:r>
    </w:p>
    <w:p>
      <w:pPr>
        <w:jc w:val="center"/>
        <w:rPr>
          <w:rFonts w:ascii="仿宋" w:hAnsi="仿宋" w:eastAsia="仿宋" w:cs="仿宋"/>
          <w:b/>
          <w:szCs w:val="21"/>
        </w:rPr>
      </w:pPr>
      <w:r>
        <w:rPr>
          <w:rFonts w:hint="eastAsia" w:ascii="仿宋" w:hAnsi="仿宋" w:eastAsia="仿宋" w:cs="仿宋"/>
          <w:b/>
          <w:szCs w:val="21"/>
        </w:rPr>
        <w:t>工程质量保修书</w:t>
      </w:r>
    </w:p>
    <w:p>
      <w:pPr>
        <w:spacing w:line="360" w:lineRule="auto"/>
        <w:rPr>
          <w:rFonts w:ascii="仿宋_GB2312" w:hAnsi="仿宋_GB2312" w:eastAsia="仿宋_GB2312" w:cs="仿宋_GB2312"/>
          <w:bCs/>
          <w:szCs w:val="21"/>
          <w:u w:val="single"/>
        </w:rPr>
      </w:pPr>
      <w:r>
        <w:rPr>
          <w:rFonts w:hint="eastAsia" w:ascii="仿宋_GB2312" w:hAnsi="仿宋_GB2312" w:eastAsia="仿宋_GB2312" w:cs="仿宋_GB2312"/>
          <w:bCs/>
          <w:szCs w:val="21"/>
        </w:rPr>
        <w:t xml:space="preserve">发包人（甲方）： </w:t>
      </w:r>
    </w:p>
    <w:p>
      <w:pPr>
        <w:spacing w:line="560" w:lineRule="exact"/>
        <w:rPr>
          <w:rFonts w:ascii="仿宋_GB2312" w:hAnsi="仿宋_GB2312" w:eastAsia="仿宋_GB2312" w:cs="仿宋_GB2312"/>
          <w:bCs/>
          <w:szCs w:val="21"/>
        </w:rPr>
      </w:pPr>
      <w:r>
        <w:rPr>
          <w:rFonts w:hint="eastAsia" w:ascii="仿宋_GB2312" w:hAnsi="仿宋_GB2312" w:eastAsia="仿宋_GB2312" w:cs="仿宋_GB2312"/>
          <w:bCs/>
          <w:szCs w:val="21"/>
        </w:rPr>
        <w:t>承包人（乙方）：</w:t>
      </w:r>
    </w:p>
    <w:p>
      <w:pPr>
        <w:spacing w:line="560" w:lineRule="exact"/>
        <w:rPr>
          <w:rFonts w:ascii="仿宋_GB2312" w:hAnsi="仿宋_GB2312" w:eastAsia="仿宋_GB2312" w:cs="仿宋_GB2312"/>
          <w:szCs w:val="21"/>
        </w:rPr>
      </w:pPr>
      <w:r>
        <w:rPr>
          <w:rFonts w:hint="eastAsia" w:ascii="仿宋_GB2312" w:hAnsi="仿宋_GB2312" w:eastAsia="仿宋_GB2312" w:cs="仿宋_GB2312"/>
          <w:szCs w:val="21"/>
        </w:rPr>
        <w:t xml:space="preserve">     发包人、承包人根据《中华人民共和国建筑法》、《建设工程质量管理条例》和《房屋建筑工程质量保修办法》，经协商一致，对</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（工程全称）签订工程质量保修书。</w:t>
      </w:r>
    </w:p>
    <w:p>
      <w:pPr>
        <w:spacing w:line="360" w:lineRule="auto"/>
        <w:rPr>
          <w:rFonts w:ascii="仿宋_GB2312" w:hAnsi="仿宋_GB2312" w:eastAsia="仿宋_GB2312" w:cs="仿宋_GB2312"/>
          <w:bCs/>
          <w:szCs w:val="21"/>
        </w:rPr>
      </w:pPr>
      <w:r>
        <w:rPr>
          <w:rFonts w:hint="eastAsia" w:ascii="仿宋_GB2312" w:hAnsi="仿宋_GB2312" w:eastAsia="仿宋_GB2312" w:cs="仿宋_GB2312"/>
          <w:bCs/>
          <w:szCs w:val="21"/>
        </w:rPr>
        <w:t>一、工程质量保修范围和内容</w:t>
      </w:r>
    </w:p>
    <w:p>
      <w:pPr>
        <w:spacing w:line="500" w:lineRule="exact"/>
        <w:ind w:left="-91" w:leftChars="-121" w:hanging="163" w:hangingChars="78"/>
        <w:rPr>
          <w:rFonts w:ascii="仿宋_GB2312" w:hAnsi="仿宋_GB2312" w:eastAsia="仿宋_GB2312" w:cs="仿宋_GB2312"/>
          <w:bCs/>
          <w:szCs w:val="21"/>
        </w:rPr>
      </w:pPr>
      <w:r>
        <w:rPr>
          <w:rFonts w:hint="eastAsia" w:ascii="仿宋_GB2312" w:hAnsi="仿宋_GB2312" w:eastAsia="仿宋_GB2312" w:cs="仿宋_GB2312"/>
          <w:szCs w:val="21"/>
        </w:rPr>
        <w:t>　　  承包人在质量保修期内，按照有关法律、法规、规章的管理规定和双方约定，承担本工程质量保修责任。质量保修范围包括</w:t>
      </w:r>
      <w:r>
        <w:rPr>
          <w:rFonts w:hint="eastAsia" w:ascii="仿宋_GB2312" w:hAnsi="仿宋_GB2312" w:eastAsia="仿宋_GB2312" w:cs="仿宋_GB2312"/>
          <w:szCs w:val="21"/>
          <w:u w:val="single"/>
        </w:rPr>
        <w:t xml:space="preserve">  乙方所承接全部工作内容  </w:t>
      </w:r>
      <w:r>
        <w:rPr>
          <w:rFonts w:hint="eastAsia" w:ascii="仿宋_GB2312" w:hAnsi="仿宋_GB2312" w:eastAsia="仿宋_GB2312" w:cs="仿宋_GB2312"/>
          <w:szCs w:val="21"/>
        </w:rPr>
        <w:t>，以及双方约定的其他项目。具体保修的内容，双方约定如下:</w:t>
      </w:r>
      <w:r>
        <w:rPr>
          <w:rFonts w:hint="eastAsia" w:ascii="仿宋_GB2312" w:hAnsi="仿宋_GB2312" w:eastAsia="仿宋_GB2312" w:cs="仿宋_GB2312"/>
          <w:bCs/>
          <w:szCs w:val="21"/>
        </w:rPr>
        <w:t>执行《建设工程质量管理条例》和《房屋建筑工程质量保修办法》等法律法规。</w:t>
      </w:r>
    </w:p>
    <w:p>
      <w:pPr>
        <w:pStyle w:val="19"/>
        <w:spacing w:line="360" w:lineRule="auto"/>
        <w:ind w:left="0" w:right="-6"/>
        <w:rPr>
          <w:rFonts w:ascii="仿宋_GB2312" w:hAnsi="仿宋_GB2312" w:eastAsia="仿宋_GB2312" w:cs="仿宋_GB2312"/>
          <w:sz w:val="21"/>
          <w:szCs w:val="21"/>
        </w:rPr>
      </w:pPr>
      <w:r>
        <w:rPr>
          <w:rFonts w:hint="eastAsia" w:ascii="仿宋_GB2312" w:hAnsi="仿宋_GB2312" w:eastAsia="仿宋_GB2312" w:cs="仿宋_GB2312"/>
          <w:bCs/>
          <w:spacing w:val="4"/>
          <w:sz w:val="21"/>
          <w:szCs w:val="21"/>
        </w:rPr>
        <w:t>二、质量保修期</w:t>
      </w:r>
    </w:p>
    <w:p>
      <w:pPr>
        <w:pStyle w:val="19"/>
        <w:spacing w:line="360" w:lineRule="auto"/>
        <w:ind w:left="0" w:right="-6"/>
        <w:rPr>
          <w:rFonts w:ascii="仿宋_GB2312" w:hAnsi="仿宋_GB2312" w:eastAsia="仿宋_GB2312" w:cs="仿宋_GB2312"/>
          <w:sz w:val="21"/>
          <w:szCs w:val="21"/>
        </w:rPr>
      </w:pPr>
      <w:r>
        <w:rPr>
          <w:rFonts w:hint="eastAsia" w:ascii="仿宋_GB2312" w:hAnsi="仿宋_GB2312" w:eastAsia="仿宋_GB2312" w:cs="仿宋_GB2312"/>
          <w:sz w:val="21"/>
          <w:szCs w:val="21"/>
        </w:rPr>
        <w:t>　　双方根据《建设工程质量管理条例》及有关规定，约定本工程的质量保修期如下：</w:t>
      </w:r>
      <w:r>
        <w:rPr>
          <w:rFonts w:hint="eastAsia" w:ascii="仿宋_GB2312" w:hAnsi="仿宋_GB2312" w:eastAsia="仿宋_GB2312" w:cs="仿宋_GB2312"/>
          <w:sz w:val="21"/>
          <w:szCs w:val="21"/>
          <w:u w:val="single"/>
        </w:rPr>
        <w:t>同业主合同要求</w:t>
      </w:r>
      <w:r>
        <w:rPr>
          <w:rFonts w:hint="eastAsia" w:ascii="仿宋_GB2312" w:hAnsi="仿宋_GB2312" w:eastAsia="仿宋_GB2312" w:cs="仿宋_GB2312"/>
          <w:sz w:val="21"/>
          <w:szCs w:val="21"/>
        </w:rPr>
        <w:t>。</w:t>
      </w:r>
    </w:p>
    <w:p>
      <w:pPr>
        <w:pStyle w:val="19"/>
        <w:spacing w:line="360" w:lineRule="auto"/>
        <w:ind w:left="0" w:right="-6" w:firstLine="420" w:firstLineChars="200"/>
        <w:rPr>
          <w:rFonts w:ascii="仿宋_GB2312" w:hAnsi="仿宋_GB2312" w:eastAsia="仿宋_GB2312" w:cs="仿宋_GB2312"/>
          <w:sz w:val="21"/>
          <w:szCs w:val="21"/>
        </w:rPr>
      </w:pPr>
      <w:r>
        <w:rPr>
          <w:rFonts w:hint="eastAsia" w:ascii="仿宋_GB2312" w:hAnsi="仿宋_GB2312" w:eastAsia="仿宋_GB2312" w:cs="仿宋_GB2312"/>
          <w:sz w:val="21"/>
          <w:szCs w:val="21"/>
        </w:rPr>
        <w:t>1.地基基础工程和主体结构工程为设计文件规定的该工程合理使用年限；</w:t>
      </w:r>
    </w:p>
    <w:p>
      <w:pPr>
        <w:pStyle w:val="19"/>
        <w:spacing w:line="360" w:lineRule="auto"/>
        <w:ind w:left="0" w:right="-6" w:firstLine="420" w:firstLineChars="200"/>
        <w:rPr>
          <w:rFonts w:ascii="仿宋_GB2312" w:hAnsi="仿宋_GB2312" w:eastAsia="仿宋_GB2312" w:cs="仿宋_GB2312"/>
          <w:sz w:val="21"/>
          <w:szCs w:val="21"/>
        </w:rPr>
      </w:pPr>
      <w:r>
        <w:rPr>
          <w:rFonts w:hint="eastAsia" w:ascii="仿宋_GB2312" w:hAnsi="仿宋_GB2312" w:eastAsia="仿宋_GB2312" w:cs="仿宋_GB2312"/>
          <w:sz w:val="21"/>
          <w:szCs w:val="21"/>
        </w:rPr>
        <w:t>⒉ 屋面防水工程、有防水要求的卫生间、房间和外墙面的防渗漏为</w:t>
      </w:r>
      <w:r>
        <w:rPr>
          <w:rFonts w:hint="eastAsia" w:ascii="仿宋_GB2312" w:hAnsi="仿宋_GB2312" w:eastAsia="仿宋_GB2312" w:cs="仿宋_GB2312"/>
          <w:sz w:val="21"/>
          <w:szCs w:val="21"/>
          <w:u w:val="single"/>
        </w:rPr>
        <w:t xml:space="preserve"> 5 </w:t>
      </w:r>
      <w:r>
        <w:rPr>
          <w:rFonts w:hint="eastAsia" w:ascii="仿宋_GB2312" w:hAnsi="仿宋_GB2312" w:eastAsia="仿宋_GB2312" w:cs="仿宋_GB2312"/>
          <w:sz w:val="21"/>
          <w:szCs w:val="21"/>
        </w:rPr>
        <w:t>年；</w:t>
      </w:r>
    </w:p>
    <w:p>
      <w:pPr>
        <w:pStyle w:val="19"/>
        <w:spacing w:line="360" w:lineRule="auto"/>
        <w:ind w:left="0" w:right="-6"/>
        <w:rPr>
          <w:rFonts w:ascii="仿宋_GB2312" w:hAnsi="仿宋_GB2312" w:eastAsia="仿宋_GB2312" w:cs="仿宋_GB2312"/>
          <w:sz w:val="21"/>
          <w:szCs w:val="21"/>
        </w:rPr>
      </w:pPr>
      <w:r>
        <w:rPr>
          <w:rFonts w:hint="eastAsia" w:ascii="仿宋_GB2312" w:hAnsi="仿宋_GB2312" w:eastAsia="仿宋_GB2312" w:cs="仿宋_GB2312"/>
          <w:sz w:val="21"/>
          <w:szCs w:val="21"/>
        </w:rPr>
        <w:t>　　⒊ 装修工程为</w:t>
      </w:r>
      <w:r>
        <w:rPr>
          <w:rFonts w:hint="eastAsia" w:ascii="仿宋_GB2312" w:hAnsi="仿宋_GB2312" w:eastAsia="仿宋_GB2312" w:cs="仿宋_GB2312"/>
          <w:sz w:val="21"/>
          <w:szCs w:val="21"/>
          <w:u w:val="single"/>
        </w:rPr>
        <w:t xml:space="preserve"> 2 </w:t>
      </w:r>
      <w:r>
        <w:rPr>
          <w:rFonts w:hint="eastAsia" w:ascii="仿宋_GB2312" w:hAnsi="仿宋_GB2312" w:eastAsia="仿宋_GB2312" w:cs="仿宋_GB2312"/>
          <w:sz w:val="21"/>
          <w:szCs w:val="21"/>
        </w:rPr>
        <w:t>年；</w:t>
      </w:r>
    </w:p>
    <w:p>
      <w:pPr>
        <w:pStyle w:val="19"/>
        <w:spacing w:line="360" w:lineRule="auto"/>
        <w:ind w:left="0" w:right="-6"/>
        <w:rPr>
          <w:rFonts w:ascii="仿宋_GB2312" w:hAnsi="仿宋_GB2312" w:eastAsia="仿宋_GB2312" w:cs="仿宋_GB2312"/>
          <w:sz w:val="21"/>
          <w:szCs w:val="21"/>
        </w:rPr>
      </w:pPr>
      <w:r>
        <w:rPr>
          <w:rFonts w:hint="eastAsia" w:ascii="仿宋_GB2312" w:hAnsi="仿宋_GB2312" w:eastAsia="仿宋_GB2312" w:cs="仿宋_GB2312"/>
          <w:sz w:val="21"/>
          <w:szCs w:val="21"/>
        </w:rPr>
        <w:t>　　⒋ 电气管线、给排水管道、设备安装工程为</w:t>
      </w:r>
      <w:r>
        <w:rPr>
          <w:rFonts w:hint="eastAsia" w:ascii="仿宋_GB2312" w:hAnsi="仿宋_GB2312" w:eastAsia="仿宋_GB2312" w:cs="仿宋_GB2312"/>
          <w:sz w:val="21"/>
          <w:szCs w:val="21"/>
          <w:u w:val="single"/>
        </w:rPr>
        <w:t xml:space="preserve"> 2  </w:t>
      </w:r>
      <w:r>
        <w:rPr>
          <w:rFonts w:hint="eastAsia" w:ascii="仿宋_GB2312" w:hAnsi="仿宋_GB2312" w:eastAsia="仿宋_GB2312" w:cs="仿宋_GB2312"/>
          <w:sz w:val="21"/>
          <w:szCs w:val="21"/>
        </w:rPr>
        <w:t>年；</w:t>
      </w:r>
    </w:p>
    <w:p>
      <w:pPr>
        <w:pStyle w:val="19"/>
        <w:spacing w:line="360" w:lineRule="auto"/>
        <w:ind w:left="0" w:right="-6"/>
        <w:rPr>
          <w:rFonts w:ascii="仿宋_GB2312" w:hAnsi="仿宋_GB2312" w:eastAsia="仿宋_GB2312" w:cs="仿宋_GB2312"/>
          <w:sz w:val="21"/>
          <w:szCs w:val="21"/>
        </w:rPr>
      </w:pPr>
      <w:r>
        <w:rPr>
          <w:rFonts w:hint="eastAsia" w:ascii="仿宋_GB2312" w:hAnsi="仿宋_GB2312" w:eastAsia="仿宋_GB2312" w:cs="仿宋_GB2312"/>
          <w:sz w:val="21"/>
          <w:szCs w:val="21"/>
        </w:rPr>
        <w:t>　　⒌ 供热与供冷系统为</w:t>
      </w:r>
      <w:r>
        <w:rPr>
          <w:rFonts w:hint="eastAsia" w:ascii="仿宋_GB2312" w:hAnsi="仿宋_GB2312" w:eastAsia="仿宋_GB2312" w:cs="仿宋_GB2312"/>
          <w:sz w:val="21"/>
          <w:szCs w:val="21"/>
          <w:u w:val="single"/>
        </w:rPr>
        <w:t xml:space="preserve"> 1  </w:t>
      </w:r>
      <w:r>
        <w:rPr>
          <w:rFonts w:hint="eastAsia" w:ascii="仿宋_GB2312" w:hAnsi="仿宋_GB2312" w:eastAsia="仿宋_GB2312" w:cs="仿宋_GB2312"/>
          <w:sz w:val="21"/>
          <w:szCs w:val="21"/>
        </w:rPr>
        <w:t>个采暖期、供冷期；</w:t>
      </w:r>
    </w:p>
    <w:p>
      <w:pPr>
        <w:pStyle w:val="19"/>
        <w:spacing w:line="360" w:lineRule="auto"/>
        <w:ind w:left="0" w:right="-6"/>
        <w:rPr>
          <w:rFonts w:ascii="仿宋_GB2312" w:hAnsi="仿宋_GB2312" w:eastAsia="仿宋_GB2312" w:cs="仿宋_GB2312"/>
          <w:sz w:val="21"/>
          <w:szCs w:val="21"/>
        </w:rPr>
      </w:pPr>
      <w:r>
        <w:rPr>
          <w:rFonts w:hint="eastAsia" w:ascii="仿宋_GB2312" w:hAnsi="仿宋_GB2312" w:eastAsia="仿宋_GB2312" w:cs="仿宋_GB2312"/>
          <w:sz w:val="21"/>
          <w:szCs w:val="21"/>
        </w:rPr>
        <w:t>　　⒍ 住宅小区内的给排水设施、道路等配套工程为</w:t>
      </w:r>
      <w:r>
        <w:rPr>
          <w:rFonts w:hint="eastAsia" w:ascii="仿宋_GB2312" w:hAnsi="仿宋_GB2312" w:eastAsia="仿宋_GB2312" w:cs="仿宋_GB2312"/>
          <w:sz w:val="21"/>
          <w:szCs w:val="21"/>
          <w:u w:val="single"/>
        </w:rPr>
        <w:t xml:space="preserve"> / </w:t>
      </w:r>
      <w:r>
        <w:rPr>
          <w:rFonts w:hint="eastAsia" w:ascii="仿宋_GB2312" w:hAnsi="仿宋_GB2312" w:eastAsia="仿宋_GB2312" w:cs="仿宋_GB2312"/>
          <w:sz w:val="21"/>
          <w:szCs w:val="21"/>
        </w:rPr>
        <w:t>年；</w:t>
      </w:r>
    </w:p>
    <w:p>
      <w:pPr>
        <w:pStyle w:val="19"/>
        <w:spacing w:line="360" w:lineRule="auto"/>
        <w:ind w:left="0" w:right="-6"/>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    ⒎ 其他项目保修期限约定如下：</w:t>
      </w:r>
    </w:p>
    <w:p>
      <w:pPr>
        <w:pStyle w:val="19"/>
        <w:spacing w:line="360" w:lineRule="auto"/>
        <w:ind w:left="0" w:right="-6" w:firstLine="420" w:firstLineChars="200"/>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本工程的质量保修期自本合同工程整体竣工验收合格交付之日起计算。  </w:t>
      </w:r>
    </w:p>
    <w:p>
      <w:pPr>
        <w:pStyle w:val="19"/>
        <w:spacing w:line="360" w:lineRule="auto"/>
        <w:ind w:left="0" w:right="-6" w:firstLine="640"/>
        <w:rPr>
          <w:rFonts w:ascii="仿宋_GB2312" w:hAnsi="仿宋_GB2312" w:eastAsia="仿宋_GB2312" w:cs="仿宋_GB2312"/>
          <w:sz w:val="21"/>
          <w:szCs w:val="21"/>
        </w:rPr>
      </w:pPr>
      <w:r>
        <w:rPr>
          <w:rFonts w:hint="eastAsia" w:ascii="仿宋_GB2312" w:hAnsi="仿宋_GB2312" w:eastAsia="仿宋_GB2312" w:cs="仿宋_GB2312"/>
          <w:sz w:val="21"/>
          <w:szCs w:val="21"/>
        </w:rPr>
        <w:t>质量保修期自工程竣工验收合格之日起计算。（保修期同施工合同标准）</w:t>
      </w:r>
      <w:bookmarkStart w:id="51" w:name="_Toc355355433"/>
      <w:bookmarkStart w:id="52" w:name="_Toc355187504"/>
    </w:p>
    <w:p>
      <w:pPr>
        <w:pStyle w:val="19"/>
        <w:spacing w:line="360" w:lineRule="auto"/>
        <w:ind w:left="0" w:right="-6" w:firstLine="640"/>
        <w:rPr>
          <w:rFonts w:ascii="仿宋_GB2312" w:hAnsi="仿宋_GB2312" w:eastAsia="仿宋_GB2312" w:cs="仿宋_GB2312"/>
          <w:sz w:val="21"/>
          <w:szCs w:val="21"/>
        </w:rPr>
      </w:pPr>
      <w:r>
        <w:rPr>
          <w:rFonts w:hint="eastAsia" w:ascii="仿宋_GB2312" w:hAnsi="仿宋_GB2312" w:eastAsia="仿宋_GB2312" w:cs="仿宋_GB2312"/>
          <w:sz w:val="21"/>
          <w:szCs w:val="21"/>
        </w:rPr>
        <w:t>缺陷责任期：缺陷责任期为交工验收合格之日起满2年</w:t>
      </w:r>
      <w:bookmarkEnd w:id="51"/>
      <w:bookmarkEnd w:id="52"/>
      <w:r>
        <w:rPr>
          <w:rFonts w:hint="eastAsia" w:ascii="仿宋_GB2312" w:hAnsi="仿宋_GB2312" w:eastAsia="仿宋_GB2312" w:cs="仿宋_GB2312"/>
          <w:sz w:val="21"/>
          <w:szCs w:val="21"/>
        </w:rPr>
        <w:t>。</w:t>
      </w:r>
    </w:p>
    <w:p>
      <w:pPr>
        <w:pStyle w:val="19"/>
        <w:spacing w:line="360" w:lineRule="auto"/>
        <w:ind w:left="0" w:right="-6"/>
        <w:rPr>
          <w:rFonts w:ascii="仿宋_GB2312" w:hAnsi="仿宋_GB2312" w:eastAsia="仿宋_GB2312" w:cs="仿宋_GB2312"/>
          <w:sz w:val="21"/>
          <w:szCs w:val="21"/>
        </w:rPr>
      </w:pPr>
      <w:r>
        <w:rPr>
          <w:rFonts w:hint="eastAsia" w:ascii="仿宋_GB2312" w:hAnsi="仿宋_GB2312" w:eastAsia="仿宋_GB2312" w:cs="仿宋_GB2312"/>
          <w:sz w:val="21"/>
          <w:szCs w:val="21"/>
        </w:rPr>
        <w:t>　　</w:t>
      </w:r>
      <w:r>
        <w:rPr>
          <w:rFonts w:hint="eastAsia" w:ascii="仿宋_GB2312" w:hAnsi="仿宋_GB2312" w:eastAsia="仿宋_GB2312" w:cs="仿宋_GB2312"/>
          <w:bCs/>
          <w:spacing w:val="4"/>
          <w:sz w:val="21"/>
          <w:szCs w:val="21"/>
        </w:rPr>
        <w:t>三、质量保修责任</w:t>
      </w:r>
    </w:p>
    <w:p>
      <w:pPr>
        <w:pStyle w:val="19"/>
        <w:spacing w:line="360" w:lineRule="auto"/>
        <w:ind w:left="0" w:right="-6"/>
        <w:rPr>
          <w:rFonts w:ascii="仿宋_GB2312" w:hAnsi="仿宋_GB2312" w:eastAsia="仿宋_GB2312" w:cs="仿宋_GB2312"/>
          <w:sz w:val="21"/>
          <w:szCs w:val="21"/>
        </w:rPr>
      </w:pPr>
      <w:r>
        <w:rPr>
          <w:rFonts w:hint="eastAsia" w:ascii="仿宋_GB2312" w:hAnsi="仿宋_GB2312" w:eastAsia="仿宋_GB2312" w:cs="仿宋_GB2312"/>
          <w:sz w:val="21"/>
          <w:szCs w:val="21"/>
        </w:rPr>
        <w:t>　　⒈ 属于保修范围、内容的项目，承包人应当在接到保修通知之日起7天内派人保修。承包人不在约定期限内派人保修的，发包人可以委托他人修理，费用及损失由承包人承担，从质保金中扣除。</w:t>
      </w:r>
    </w:p>
    <w:p>
      <w:pPr>
        <w:pStyle w:val="19"/>
        <w:spacing w:line="360" w:lineRule="auto"/>
        <w:ind w:left="0" w:right="-6"/>
        <w:rPr>
          <w:rFonts w:ascii="仿宋_GB2312" w:hAnsi="仿宋_GB2312" w:eastAsia="仿宋_GB2312" w:cs="仿宋_GB2312"/>
          <w:sz w:val="21"/>
          <w:szCs w:val="21"/>
        </w:rPr>
      </w:pPr>
      <w:r>
        <w:rPr>
          <w:rFonts w:hint="eastAsia" w:ascii="仿宋_GB2312" w:hAnsi="仿宋_GB2312" w:eastAsia="仿宋_GB2312" w:cs="仿宋_GB2312"/>
          <w:sz w:val="21"/>
          <w:szCs w:val="21"/>
        </w:rPr>
        <w:t>　　⒉ 发生紧急抢修事故的，承包人在接到事故通知后，应当立即到达事故现场抢修，未及时修理的，发包人可以委托他人修理，费用及损失由承包人承担，从质保金中扣除。非承包人施工质量引起的事故，抢修费用由发包人承担。</w:t>
      </w:r>
    </w:p>
    <w:p>
      <w:pPr>
        <w:pStyle w:val="19"/>
        <w:spacing w:line="360" w:lineRule="auto"/>
        <w:ind w:left="0" w:right="-6"/>
        <w:rPr>
          <w:rFonts w:ascii="仿宋_GB2312" w:hAnsi="仿宋_GB2312" w:eastAsia="仿宋_GB2312" w:cs="仿宋_GB2312"/>
          <w:sz w:val="21"/>
          <w:szCs w:val="21"/>
        </w:rPr>
      </w:pPr>
      <w:r>
        <w:rPr>
          <w:rFonts w:hint="eastAsia" w:ascii="仿宋_GB2312" w:hAnsi="仿宋_GB2312" w:eastAsia="仿宋_GB2312" w:cs="仿宋_GB2312"/>
          <w:sz w:val="21"/>
          <w:szCs w:val="21"/>
        </w:rPr>
        <w:t>　　⒊ 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pStyle w:val="19"/>
        <w:spacing w:line="360" w:lineRule="auto"/>
        <w:ind w:left="0" w:right="-6"/>
        <w:rPr>
          <w:rFonts w:ascii="仿宋_GB2312" w:hAnsi="仿宋_GB2312" w:eastAsia="仿宋_GB2312" w:cs="仿宋_GB2312"/>
          <w:sz w:val="21"/>
          <w:szCs w:val="21"/>
        </w:rPr>
      </w:pPr>
      <w:r>
        <w:rPr>
          <w:rFonts w:hint="eastAsia" w:ascii="仿宋_GB2312" w:hAnsi="仿宋_GB2312" w:eastAsia="仿宋_GB2312" w:cs="仿宋_GB2312"/>
          <w:sz w:val="21"/>
          <w:szCs w:val="21"/>
        </w:rPr>
        <w:t>　　⒋ 质量保修完成后，由发包人组织验收。</w:t>
      </w:r>
    </w:p>
    <w:p>
      <w:pPr>
        <w:pStyle w:val="19"/>
        <w:spacing w:line="360" w:lineRule="auto"/>
        <w:ind w:left="0" w:right="-6"/>
        <w:rPr>
          <w:rFonts w:ascii="仿宋_GB2312" w:hAnsi="仿宋_GB2312" w:eastAsia="仿宋_GB2312" w:cs="仿宋_GB2312"/>
          <w:sz w:val="21"/>
          <w:szCs w:val="21"/>
        </w:rPr>
      </w:pPr>
      <w:r>
        <w:rPr>
          <w:rFonts w:hint="eastAsia" w:ascii="仿宋_GB2312" w:hAnsi="仿宋_GB2312" w:eastAsia="仿宋_GB2312" w:cs="仿宋_GB2312"/>
          <w:sz w:val="21"/>
          <w:szCs w:val="21"/>
        </w:rPr>
        <w:t>　　</w:t>
      </w:r>
      <w:r>
        <w:rPr>
          <w:rFonts w:hint="eastAsia" w:ascii="仿宋_GB2312" w:hAnsi="仿宋_GB2312" w:eastAsia="仿宋_GB2312" w:cs="仿宋_GB2312"/>
          <w:bCs/>
          <w:spacing w:val="4"/>
          <w:sz w:val="21"/>
          <w:szCs w:val="21"/>
        </w:rPr>
        <w:t>四、保修费用</w:t>
      </w:r>
    </w:p>
    <w:p>
      <w:pPr>
        <w:pStyle w:val="19"/>
        <w:spacing w:line="360" w:lineRule="auto"/>
        <w:ind w:left="0" w:right="-6"/>
        <w:rPr>
          <w:rFonts w:ascii="仿宋_GB2312" w:hAnsi="仿宋_GB2312" w:eastAsia="仿宋_GB2312" w:cs="仿宋_GB2312"/>
          <w:sz w:val="21"/>
          <w:szCs w:val="21"/>
        </w:rPr>
      </w:pPr>
      <w:r>
        <w:rPr>
          <w:rFonts w:hint="eastAsia" w:ascii="仿宋_GB2312" w:hAnsi="仿宋_GB2312" w:eastAsia="仿宋_GB2312" w:cs="仿宋_GB2312"/>
          <w:sz w:val="21"/>
          <w:szCs w:val="21"/>
        </w:rPr>
        <w:t>　　保修费用由承包人承担，从质保金中扣除。不足部分由乙方筹款支付。</w:t>
      </w:r>
    </w:p>
    <w:p>
      <w:pPr>
        <w:pStyle w:val="19"/>
        <w:spacing w:line="360" w:lineRule="auto"/>
        <w:ind w:left="0" w:right="-6"/>
        <w:rPr>
          <w:rFonts w:ascii="仿宋_GB2312" w:hAnsi="仿宋_GB2312" w:eastAsia="仿宋_GB2312" w:cs="仿宋_GB2312"/>
          <w:sz w:val="21"/>
          <w:szCs w:val="21"/>
        </w:rPr>
      </w:pPr>
      <w:r>
        <w:rPr>
          <w:rFonts w:hint="eastAsia" w:ascii="仿宋_GB2312" w:hAnsi="仿宋_GB2312" w:eastAsia="仿宋_GB2312" w:cs="仿宋_GB2312"/>
          <w:sz w:val="21"/>
          <w:szCs w:val="21"/>
        </w:rPr>
        <w:t>　　</w:t>
      </w:r>
      <w:r>
        <w:rPr>
          <w:rFonts w:hint="eastAsia" w:ascii="仿宋_GB2312" w:hAnsi="仿宋_GB2312" w:eastAsia="仿宋_GB2312" w:cs="仿宋_GB2312"/>
          <w:bCs/>
          <w:spacing w:val="4"/>
          <w:sz w:val="21"/>
          <w:szCs w:val="21"/>
        </w:rPr>
        <w:t>五、其他</w:t>
      </w:r>
    </w:p>
    <w:p>
      <w:pPr>
        <w:pStyle w:val="19"/>
        <w:spacing w:line="360" w:lineRule="auto"/>
        <w:ind w:left="0" w:right="-6" w:firstLine="315" w:firstLineChars="150"/>
        <w:rPr>
          <w:rFonts w:ascii="仿宋_GB2312" w:hAnsi="仿宋_GB2312" w:eastAsia="仿宋_GB2312" w:cs="仿宋_GB2312"/>
          <w:sz w:val="21"/>
          <w:szCs w:val="21"/>
          <w:u w:val="single"/>
        </w:rPr>
      </w:pPr>
      <w:r>
        <w:rPr>
          <w:rFonts w:hint="eastAsia" w:ascii="仿宋_GB2312" w:hAnsi="仿宋_GB2312" w:eastAsia="仿宋_GB2312" w:cs="仿宋_GB2312"/>
          <w:sz w:val="21"/>
          <w:szCs w:val="21"/>
        </w:rPr>
        <w:t>双方约定的其他工程质量保修事项：</w:t>
      </w:r>
      <w:r>
        <w:rPr>
          <w:rFonts w:hint="eastAsia" w:ascii="仿宋_GB2312" w:hAnsi="仿宋_GB2312" w:eastAsia="仿宋_GB2312" w:cs="仿宋_GB2312"/>
          <w:sz w:val="21"/>
          <w:szCs w:val="21"/>
          <w:u w:val="single"/>
        </w:rPr>
        <w:t xml:space="preserve">        /                       </w:t>
      </w:r>
    </w:p>
    <w:p>
      <w:pPr>
        <w:pStyle w:val="19"/>
        <w:spacing w:line="360" w:lineRule="auto"/>
        <w:ind w:left="0" w:right="-6"/>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   本工程质量保修书，由施工合同发包人、承包人双方在竣工验收前共同签署，作为施工合同附件，其有效期限至保修期满。</w:t>
      </w:r>
    </w:p>
    <w:p>
      <w:pPr>
        <w:pStyle w:val="19"/>
        <w:spacing w:line="360" w:lineRule="auto"/>
        <w:ind w:left="0" w:right="-6"/>
        <w:rPr>
          <w:rFonts w:ascii="仿宋_GB2312" w:hAnsi="仿宋_GB2312" w:eastAsia="仿宋_GB2312" w:cs="仿宋_GB2312"/>
          <w:sz w:val="21"/>
          <w:szCs w:val="21"/>
        </w:rPr>
      </w:pPr>
    </w:p>
    <w:p>
      <w:pPr>
        <w:pStyle w:val="19"/>
        <w:spacing w:line="360" w:lineRule="auto"/>
        <w:ind w:left="0" w:right="-6"/>
        <w:rPr>
          <w:rFonts w:ascii="仿宋_GB2312" w:hAnsi="仿宋_GB2312" w:eastAsia="仿宋_GB2312" w:cs="仿宋_GB2312"/>
          <w:sz w:val="21"/>
          <w:szCs w:val="21"/>
        </w:rPr>
      </w:pPr>
    </w:p>
    <w:p>
      <w:pPr>
        <w:spacing w:line="56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甲方：                             乙方：                 </w:t>
      </w:r>
    </w:p>
    <w:p>
      <w:pPr>
        <w:spacing w:line="56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法定代表人或                       法定代表人或</w:t>
      </w:r>
    </w:p>
    <w:p>
      <w:pPr>
        <w:spacing w:line="56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委托代理人：(签字)                 委托代理人：(签字)</w:t>
      </w:r>
    </w:p>
    <w:p>
      <w:pPr>
        <w:spacing w:line="440" w:lineRule="exact"/>
        <w:rPr>
          <w:rFonts w:ascii="仿宋_GB2312" w:hAnsi="仿宋_GB2312" w:eastAsia="仿宋_GB2312" w:cs="仿宋_GB2312"/>
          <w:bCs/>
          <w:spacing w:val="40"/>
          <w:szCs w:val="21"/>
        </w:rPr>
      </w:pPr>
    </w:p>
    <w:p>
      <w:pPr>
        <w:spacing w:line="440" w:lineRule="exact"/>
        <w:rPr>
          <w:rFonts w:ascii="仿宋_GB2312" w:hAnsi="仿宋_GB2312" w:eastAsia="仿宋_GB2312" w:cs="仿宋_GB2312"/>
          <w:bCs/>
          <w:spacing w:val="40"/>
          <w:szCs w:val="21"/>
        </w:rPr>
      </w:pPr>
    </w:p>
    <w:p>
      <w:pPr>
        <w:spacing w:line="440" w:lineRule="exact"/>
        <w:rPr>
          <w:rFonts w:ascii="仿宋_GB2312" w:hAnsi="仿宋_GB2312" w:eastAsia="仿宋_GB2312" w:cs="仿宋_GB2312"/>
          <w:bCs/>
          <w:spacing w:val="40"/>
          <w:szCs w:val="21"/>
        </w:rPr>
      </w:pPr>
      <w:r>
        <w:rPr>
          <w:rFonts w:hint="eastAsia" w:ascii="仿宋_GB2312" w:hAnsi="仿宋_GB2312" w:eastAsia="仿宋_GB2312" w:cs="仿宋_GB2312"/>
          <w:bCs/>
          <w:spacing w:val="40"/>
          <w:szCs w:val="21"/>
        </w:rPr>
        <w:t xml:space="preserve">   </w:t>
      </w:r>
    </w:p>
    <w:p>
      <w:pPr>
        <w:spacing w:line="440" w:lineRule="exact"/>
        <w:rPr>
          <w:rFonts w:ascii="仿宋_GB2312" w:hAnsi="仿宋_GB2312" w:eastAsia="仿宋_GB2312" w:cs="仿宋_GB2312"/>
          <w:bCs/>
          <w:spacing w:val="40"/>
          <w:szCs w:val="21"/>
        </w:rPr>
      </w:pPr>
    </w:p>
    <w:p>
      <w:pPr>
        <w:pStyle w:val="2"/>
        <w:rPr>
          <w:rFonts w:ascii="仿宋_GB2312" w:hAnsi="仿宋_GB2312" w:eastAsia="仿宋_GB2312" w:cs="仿宋_GB2312"/>
          <w:bCs/>
          <w:spacing w:val="40"/>
          <w:szCs w:val="21"/>
        </w:rPr>
      </w:pPr>
    </w:p>
    <w:p>
      <w:pPr>
        <w:rPr>
          <w:rFonts w:ascii="仿宋_GB2312" w:hAnsi="仿宋_GB2312" w:eastAsia="仿宋_GB2312" w:cs="仿宋_GB2312"/>
          <w:bCs/>
          <w:spacing w:val="40"/>
          <w:szCs w:val="21"/>
        </w:rPr>
      </w:pPr>
    </w:p>
    <w:p>
      <w:pPr>
        <w:rPr>
          <w:rFonts w:ascii="仿宋_GB2312" w:hAnsi="仿宋_GB2312" w:eastAsia="仿宋_GB2312" w:cs="仿宋_GB2312"/>
          <w:bCs/>
          <w:spacing w:val="40"/>
          <w:szCs w:val="21"/>
        </w:rPr>
      </w:pPr>
    </w:p>
    <w:p>
      <w:pPr>
        <w:spacing w:line="560" w:lineRule="exact"/>
        <w:jc w:val="center"/>
        <w:rPr>
          <w:rFonts w:ascii="仿宋" w:hAnsi="仿宋" w:eastAsia="仿宋" w:cs="仿宋"/>
          <w:b/>
          <w:szCs w:val="21"/>
        </w:rPr>
      </w:pPr>
      <w:r>
        <w:rPr>
          <w:rFonts w:hint="eastAsia" w:ascii="仿宋" w:hAnsi="仿宋" w:eastAsia="仿宋" w:cs="仿宋"/>
          <w:b/>
          <w:spacing w:val="40"/>
          <w:szCs w:val="21"/>
        </w:rPr>
        <w:t>安全生产合</w:t>
      </w:r>
      <w:r>
        <w:rPr>
          <w:rFonts w:hint="eastAsia" w:ascii="仿宋" w:hAnsi="仿宋" w:eastAsia="仿宋" w:cs="仿宋"/>
          <w:b/>
          <w:szCs w:val="21"/>
        </w:rPr>
        <w:t>同</w:t>
      </w:r>
    </w:p>
    <w:p>
      <w:pPr>
        <w:wordWrap w:val="0"/>
        <w:topLinePunct/>
        <w:spacing w:line="520" w:lineRule="exact"/>
        <w:ind w:left="10" w:firstLine="409" w:firstLineChars="195"/>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为在施工过程中创造安全、高效的施工环境，切实搞好本项目的安全管理工作，项目承包人 </w:t>
      </w:r>
      <w:r>
        <w:rPr>
          <w:rFonts w:hint="eastAsia" w:ascii="仿宋_GB2312" w:hAnsi="仿宋_GB2312" w:eastAsia="仿宋_GB2312" w:cs="仿宋_GB2312"/>
          <w:color w:val="0C0C0C"/>
          <w:szCs w:val="21"/>
          <w:u w:val="single"/>
        </w:rPr>
        <w:t>安徽省经工建设集团有限公司</w:t>
      </w:r>
      <w:r>
        <w:rPr>
          <w:rFonts w:hint="eastAsia" w:ascii="仿宋_GB2312" w:hAnsi="仿宋_GB2312" w:eastAsia="仿宋_GB2312" w:cs="仿宋_GB2312"/>
          <w:kern w:val="0"/>
          <w:szCs w:val="21"/>
        </w:rPr>
        <w:t>（以下简称“甲方”）与专业分包人</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color w:val="0C0C0C"/>
          <w:szCs w:val="21"/>
          <w:u w:val="single"/>
        </w:rPr>
        <w:t xml:space="preserve"> </w:t>
      </w:r>
      <w:r>
        <w:rPr>
          <w:rFonts w:hint="eastAsia" w:ascii="仿宋_GB2312" w:hAnsi="仿宋_GB2312" w:eastAsia="仿宋_GB2312" w:cs="仿宋_GB2312"/>
          <w:kern w:val="0"/>
          <w:szCs w:val="21"/>
        </w:rPr>
        <w:t>（以下简称“乙方”）特此签订安全生产合同：</w:t>
      </w:r>
    </w:p>
    <w:p>
      <w:pPr>
        <w:wordWrap w:val="0"/>
        <w:topLinePunct/>
        <w:adjustRightInd w:val="0"/>
        <w:spacing w:line="520" w:lineRule="exact"/>
        <w:ind w:firstLine="422" w:firstLineChars="200"/>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一、甲方职责</w:t>
      </w:r>
    </w:p>
    <w:p>
      <w:pPr>
        <w:autoSpaceDE w:val="0"/>
        <w:autoSpaceDN w:val="0"/>
        <w:adjustRightInd w:val="0"/>
        <w:spacing w:line="52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1．严格遵守国家有关安全生产的法律法规，认真执行工程承包合同中的有关安全要求。</w:t>
      </w:r>
    </w:p>
    <w:p>
      <w:pPr>
        <w:autoSpaceDE w:val="0"/>
        <w:autoSpaceDN w:val="0"/>
        <w:adjustRightInd w:val="0"/>
        <w:spacing w:line="52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2．按照“安全第一、预防为主、综合治理”和坚持“管生产必须管安全”的原则进行安全生产管理，做到生产与安全工作同时计划、布置、检查、总结和评比。</w:t>
      </w:r>
    </w:p>
    <w:p>
      <w:pPr>
        <w:autoSpaceDE w:val="0"/>
        <w:autoSpaceDN w:val="0"/>
        <w:adjustRightInd w:val="0"/>
        <w:spacing w:line="52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3．重要的安全设施必须坚持与主体工程“三同时”的原则，即：同时设计、审批，同时施工，同时验收，投入使用。</w:t>
      </w:r>
    </w:p>
    <w:p>
      <w:pPr>
        <w:autoSpaceDE w:val="0"/>
        <w:autoSpaceDN w:val="0"/>
        <w:adjustRightInd w:val="0"/>
        <w:spacing w:line="52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4．定期召开安全生产调度会，及时传达中央及地方有关安全生产的精神。</w:t>
      </w:r>
    </w:p>
    <w:p>
      <w:pPr>
        <w:autoSpaceDE w:val="0"/>
        <w:autoSpaceDN w:val="0"/>
        <w:adjustRightInd w:val="0"/>
        <w:spacing w:line="52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5．组织对乙方施工现场安全生产检查，监督乙方及时处理发现的各种安全隐患。</w:t>
      </w:r>
    </w:p>
    <w:p>
      <w:pPr>
        <w:autoSpaceDE w:val="0"/>
        <w:autoSpaceDN w:val="0"/>
        <w:adjustRightInd w:val="0"/>
        <w:spacing w:line="520" w:lineRule="exact"/>
        <w:ind w:firstLine="422" w:firstLineChars="200"/>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二、乙方职责</w:t>
      </w:r>
    </w:p>
    <w:p>
      <w:pPr>
        <w:autoSpaceDE w:val="0"/>
        <w:autoSpaceDN w:val="0"/>
        <w:adjustRightInd w:val="0"/>
        <w:spacing w:line="52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1．严格遵守国家有关安全生产的法律法规中有关安全生产的规定，认真执行劳务合同中的有关安全要求。</w:t>
      </w:r>
    </w:p>
    <w:p>
      <w:pPr>
        <w:autoSpaceDE w:val="0"/>
        <w:autoSpaceDN w:val="0"/>
        <w:adjustRightInd w:val="0"/>
        <w:spacing w:line="52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2．坚持“安全第一、预防为主、综合治理”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autoSpaceDE w:val="0"/>
        <w:autoSpaceDN w:val="0"/>
        <w:adjustRightInd w:val="0"/>
        <w:spacing w:line="52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autoSpaceDE w:val="0"/>
        <w:autoSpaceDN w:val="0"/>
        <w:adjustRightInd w:val="0"/>
        <w:spacing w:line="52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4．乙方在任何时候都应采取各种合理的预防措施，防止其员工发生任何违法、违禁、暴力或妨碍治安的行为。</w:t>
      </w:r>
    </w:p>
    <w:p>
      <w:pPr>
        <w:autoSpaceDE w:val="0"/>
        <w:autoSpaceDN w:val="0"/>
        <w:adjustRightInd w:val="0"/>
        <w:spacing w:line="52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5．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autoSpaceDE w:val="0"/>
        <w:autoSpaceDN w:val="0"/>
        <w:adjustRightInd w:val="0"/>
        <w:spacing w:line="52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6．操作人员上岗，必须按规定穿戴防护用品。施工负责人和安全检查员应随时检查劳动防护用品的穿戴情况，不按规定穿戴防护用品的人员不得上岗。</w:t>
      </w:r>
    </w:p>
    <w:p>
      <w:pPr>
        <w:autoSpaceDE w:val="0"/>
        <w:autoSpaceDN w:val="0"/>
        <w:adjustRightInd w:val="0"/>
        <w:spacing w:line="52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7．所有施工机具设备和高空作业的设备均应定期检查，并有安全员的签字记录，保证其经常处于完好状态；不合格的机具、设备和劳动保护用品严禁使用。</w:t>
      </w:r>
    </w:p>
    <w:p>
      <w:pPr>
        <w:autoSpaceDE w:val="0"/>
        <w:autoSpaceDN w:val="0"/>
        <w:adjustRightInd w:val="0"/>
        <w:spacing w:line="52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8．施工中采用新技术、新工艺、新设备、新材料时，必须制定相应的安全技术措施，施工现场必须具有相关的安全标志牌。</w:t>
      </w:r>
    </w:p>
    <w:p>
      <w:pPr>
        <w:widowControl/>
        <w:shd w:val="clear" w:color="auto" w:fill="FFFFFF"/>
        <w:spacing w:line="500" w:lineRule="exact"/>
        <w:ind w:firstLine="420" w:firstLineChars="200"/>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shd w:val="clear" w:color="auto" w:fill="FFFFFF"/>
          <w:lang w:bidi="ar"/>
        </w:rPr>
        <w:t>9.乙方严禁将承包的工程或部分工程转包或者违法分包。否则所发生安全事故，由乙方承担全部安全生产责任。</w:t>
      </w:r>
    </w:p>
    <w:p>
      <w:pPr>
        <w:widowControl/>
        <w:shd w:val="clear" w:color="auto" w:fill="FFFFFF"/>
        <w:spacing w:line="500" w:lineRule="exact"/>
        <w:ind w:firstLine="420" w:firstLineChars="200"/>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shd w:val="clear" w:color="auto" w:fill="FFFFFF"/>
          <w:lang w:bidi="ar"/>
        </w:rPr>
        <w:t>10.乙方人员应当遵守甲方规章制度，接受甲方安全检查、监督，对违反甲方有关安全管理制度及规定的行为，甲方有权责令乙方立即停止并给予考核。</w:t>
      </w:r>
    </w:p>
    <w:p>
      <w:pPr>
        <w:widowControl/>
        <w:shd w:val="clear" w:color="auto" w:fill="FFFFFF"/>
        <w:spacing w:line="500" w:lineRule="exact"/>
        <w:ind w:firstLine="420" w:firstLineChars="200"/>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shd w:val="clear" w:color="auto" w:fill="FFFFFF"/>
          <w:lang w:bidi="ar"/>
        </w:rPr>
        <w:t>11.乙方应具有安全管理组织体制（对特种作业的项目乙方必须出具有效的资质证书），在甲方施工、检修、劳务等现场作业期间，乙方应指派专（兼）职安全人员，全面负责项目的安全、现场、消防工作。</w:t>
      </w:r>
    </w:p>
    <w:p>
      <w:pPr>
        <w:widowControl/>
        <w:shd w:val="clear" w:color="auto" w:fill="FFFFFF"/>
        <w:spacing w:line="500" w:lineRule="exact"/>
        <w:ind w:firstLine="420" w:firstLineChars="200"/>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shd w:val="clear" w:color="auto" w:fill="FFFFFF"/>
          <w:lang w:bidi="ar"/>
        </w:rPr>
        <w:t>12.乙方人员进入甲方施工（检修、劳务）现场前，必须到甲方安全监督管理部、保卫科办好一切入厂手续，接受安全教育，严禁“三无”人员进入甲方工作区域，乙方人员必须按在甲方登记备案的名册人员进入作业区域，未经甲方认可不得擅自更换，否则所发生安全事故，由乙方承担全部安全生产责任。</w:t>
      </w:r>
    </w:p>
    <w:p>
      <w:pPr>
        <w:widowControl/>
        <w:shd w:val="clear" w:color="auto" w:fill="FFFFFF"/>
        <w:spacing w:line="500" w:lineRule="exact"/>
        <w:ind w:firstLine="420" w:firstLineChars="200"/>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shd w:val="clear" w:color="auto" w:fill="FFFFFF"/>
          <w:lang w:bidi="ar"/>
        </w:rPr>
        <w:t>13.乙方各类作业人员必须具有相应的安全技术素质，特种作业人员必须持有有效的特种作业操作证方准上岗，所使用的特种作业设备必须取得有效的特种作业设备强制安全检验合格证，方准现场使用。</w:t>
      </w:r>
    </w:p>
    <w:p>
      <w:pPr>
        <w:widowControl/>
        <w:shd w:val="clear" w:color="auto" w:fill="FFFFFF"/>
        <w:spacing w:line="500" w:lineRule="exact"/>
        <w:ind w:firstLine="420" w:firstLineChars="200"/>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shd w:val="clear" w:color="auto" w:fill="FFFFFF"/>
          <w:lang w:bidi="ar"/>
        </w:rPr>
        <w:t>14.乙方人员在作业期间应当接受甲方的安全监督检查，经查证发现的安全隐患，乙方必须立即采取有效措施予以整改或纠正，否则甲方有权现场勒令停工。</w:t>
      </w:r>
    </w:p>
    <w:p>
      <w:pPr>
        <w:widowControl/>
        <w:shd w:val="clear" w:color="auto" w:fill="FFFFFF"/>
        <w:spacing w:line="500" w:lineRule="exact"/>
        <w:ind w:firstLine="420" w:firstLineChars="200"/>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shd w:val="clear" w:color="auto" w:fill="FFFFFF"/>
          <w:lang w:bidi="ar"/>
        </w:rPr>
        <w:t>15.乙方人员在甲方作业期间，必须按工种需要正确穿戴好劳保防护用品，同时应严格遵守甲方各项安全生产管理制度。</w:t>
      </w:r>
    </w:p>
    <w:p>
      <w:pPr>
        <w:widowControl/>
        <w:shd w:val="clear" w:color="auto" w:fill="FFFFFF"/>
        <w:spacing w:line="500" w:lineRule="exact"/>
        <w:ind w:firstLine="420" w:firstLineChars="200"/>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shd w:val="clear" w:color="auto" w:fill="FFFFFF"/>
          <w:lang w:bidi="ar"/>
        </w:rPr>
        <w:t>16.乙方管理人员在员工作业前应先熟悉现场，并对所处区域的作业环境可能存在的危险因素、预防措施给员工进行交底，同事对使用的设施设备等，负有认真检查和确认的义务，严禁设施、设备等带病作业，否则因此而产生的一切法律后果，由乙方承担。</w:t>
      </w:r>
    </w:p>
    <w:p>
      <w:pPr>
        <w:widowControl/>
        <w:shd w:val="clear" w:color="auto" w:fill="FFFFFF"/>
        <w:spacing w:line="500" w:lineRule="exact"/>
        <w:ind w:firstLine="420" w:firstLineChars="200"/>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shd w:val="clear" w:color="auto" w:fill="FFFFFF"/>
          <w:lang w:bidi="ar"/>
        </w:rPr>
        <w:t>17.乙方人员在作业现场不得擅自动用或操作甲方的设备和机具，否则按本协议约定视为违约，承担违约金，因此酿成的后果由乙方负责。</w:t>
      </w:r>
    </w:p>
    <w:p>
      <w:pPr>
        <w:widowControl/>
        <w:shd w:val="clear" w:color="auto" w:fill="FFFFFF"/>
        <w:spacing w:line="500" w:lineRule="exact"/>
        <w:ind w:firstLine="420" w:firstLineChars="200"/>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shd w:val="clear" w:color="auto" w:fill="FFFFFF"/>
          <w:lang w:bidi="ar"/>
        </w:rPr>
        <w:t>18.乙方人员凡高空作业必须有专人安全监护，不得一人操作。作业人员必须按规定穿戴好劳保防护用品，系好安全绳、安全带（高挂低用），扎好裤脚，戴好安全帽；不准穿光滑底、硬鞋底。当需要在石棉瓦等轻型屋面工作或因作业场所环境限制无法系安全带时，乙方必须采取安全行走的技术措施，如铺设木板、跳板并加安全防护生等和在作业面下部增加安全防护网，严禁在没有安全技术措施的情况下冒险踩踏和作业。</w:t>
      </w:r>
    </w:p>
    <w:p>
      <w:pPr>
        <w:widowControl/>
        <w:shd w:val="clear" w:color="auto" w:fill="FFFFFF"/>
        <w:spacing w:line="500" w:lineRule="exact"/>
        <w:ind w:firstLine="420" w:firstLineChars="200"/>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shd w:val="clear" w:color="auto" w:fill="FFFFFF"/>
          <w:lang w:bidi="ar"/>
        </w:rPr>
        <w:t>19.乙方在作业期间自备的设备必须符合安全要求，如需借用（租赁）甲方设备、工器具，应由双方协商办理租借手续，借用方应保证设备、工器具符合安全要求，租借方必须经行验收确认并作好书面记录，租借方一经接受使用，表示该设备（工器具）完好无安全隐患，若造成安全事故，后果全有租借方负责。</w:t>
      </w:r>
    </w:p>
    <w:p>
      <w:pPr>
        <w:widowControl/>
        <w:shd w:val="clear" w:color="auto" w:fill="FFFFFF"/>
        <w:spacing w:line="500" w:lineRule="exact"/>
        <w:ind w:firstLine="420" w:firstLineChars="200"/>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shd w:val="clear" w:color="auto" w:fill="FFFFFF"/>
          <w:lang w:bidi="ar"/>
        </w:rPr>
        <w:t>20.乙方作业期间的用电必须取得甲方同意，将电源接入器作业场所的总配电箱，必须有防止影响上一级电源的过流断路保护，乙方不得私自拉接电源，否则按本协议约定承担违约金</w:t>
      </w:r>
      <w:r>
        <w:rPr>
          <w:rFonts w:hint="eastAsia" w:ascii="仿宋_GB2312" w:hAnsi="仿宋_GB2312" w:eastAsia="仿宋_GB2312" w:cs="仿宋_GB2312"/>
          <w:color w:val="000000"/>
          <w:kern w:val="0"/>
          <w:szCs w:val="21"/>
          <w:u w:val="single"/>
          <w:shd w:val="clear" w:color="auto" w:fill="FFFFFF"/>
          <w:lang w:bidi="ar"/>
        </w:rPr>
        <w:t>同业主合同</w:t>
      </w:r>
      <w:r>
        <w:rPr>
          <w:rFonts w:hint="eastAsia" w:ascii="仿宋_GB2312" w:hAnsi="仿宋_GB2312" w:eastAsia="仿宋_GB2312" w:cs="仿宋_GB2312"/>
          <w:color w:val="000000"/>
          <w:kern w:val="0"/>
          <w:szCs w:val="21"/>
          <w:shd w:val="clear" w:color="auto" w:fill="FFFFFF"/>
          <w:lang w:bidi="ar"/>
        </w:rPr>
        <w:t>。</w:t>
      </w:r>
    </w:p>
    <w:p>
      <w:pPr>
        <w:widowControl/>
        <w:shd w:val="clear" w:color="auto" w:fill="FFFFFF"/>
        <w:spacing w:line="500" w:lineRule="exact"/>
        <w:ind w:firstLine="420" w:firstLineChars="200"/>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shd w:val="clear" w:color="auto" w:fill="FFFFFF"/>
          <w:lang w:bidi="ar"/>
        </w:rPr>
        <w:t>21.在易燃、易爆、有毒有害危险区域进行施工作业，甲乙双方必须严格执行有关专业管理制度，采取有效的预防措施，并办理相关的开工或动火手续，乙方必须提前将安全预防措施报送甲方在危险区域范围内的单位和甲方安全监督管理部审核，甲方在收到其报送资料后，应当于48小时内作出是否同意的决定。</w:t>
      </w:r>
    </w:p>
    <w:p>
      <w:pPr>
        <w:pStyle w:val="2"/>
        <w:ind w:firstLine="420" w:firstLineChars="200"/>
        <w:rPr>
          <w:szCs w:val="21"/>
        </w:rPr>
      </w:pPr>
      <w:r>
        <w:rPr>
          <w:rFonts w:hint="eastAsia" w:ascii="仿宋_GB2312" w:hAnsi="仿宋_GB2312" w:eastAsia="仿宋_GB2312" w:cs="仿宋_GB2312"/>
          <w:color w:val="000000"/>
          <w:kern w:val="0"/>
          <w:szCs w:val="21"/>
          <w:shd w:val="clear" w:color="auto" w:fill="FFFFFF"/>
          <w:lang w:bidi="ar"/>
        </w:rPr>
        <w:t>22.乙方人员在施工（检修、劳务）期间发生的伤害事故由乙方负全部责任，与甲方无关。</w:t>
      </w:r>
    </w:p>
    <w:p>
      <w:pPr>
        <w:autoSpaceDE w:val="0"/>
        <w:autoSpaceDN w:val="0"/>
        <w:adjustRightInd w:val="0"/>
        <w:spacing w:line="520" w:lineRule="exact"/>
        <w:ind w:firstLine="422" w:firstLineChars="200"/>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三、违约责任</w:t>
      </w:r>
    </w:p>
    <w:p>
      <w:pPr>
        <w:widowControl/>
        <w:shd w:val="clear" w:color="auto" w:fill="FFFFFF"/>
        <w:spacing w:line="500" w:lineRule="exact"/>
        <w:ind w:firstLine="420" w:firstLineChars="200"/>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shd w:val="clear" w:color="auto" w:fill="FFFFFF"/>
          <w:lang w:bidi="ar"/>
        </w:rPr>
        <w:t>1.本协议履行期间，若因一方违约行为发生安全事故，违约方按其与对方所签订的相关业务合同标的金额（指合同结算金额）</w:t>
      </w:r>
      <w:r>
        <w:rPr>
          <w:rFonts w:hint="eastAsia" w:ascii="仿宋_GB2312" w:hAnsi="仿宋_GB2312" w:eastAsia="仿宋_GB2312" w:cs="仿宋_GB2312"/>
          <w:color w:val="000000"/>
          <w:kern w:val="0"/>
          <w:szCs w:val="21"/>
          <w:u w:val="single"/>
          <w:shd w:val="clear" w:color="auto" w:fill="FFFFFF"/>
          <w:lang w:bidi="ar"/>
        </w:rPr>
        <w:t>同业主合同</w:t>
      </w:r>
      <w:r>
        <w:rPr>
          <w:rFonts w:hint="eastAsia" w:ascii="仿宋_GB2312" w:hAnsi="仿宋_GB2312" w:eastAsia="仿宋_GB2312" w:cs="仿宋_GB2312"/>
          <w:color w:val="000000"/>
          <w:kern w:val="0"/>
          <w:szCs w:val="21"/>
          <w:shd w:val="clear" w:color="auto" w:fill="FFFFFF"/>
          <w:lang w:bidi="ar"/>
        </w:rPr>
        <w:t>承担违约金。并向守约方赔偿因安全事故所造成的全部经济损失。</w:t>
      </w:r>
    </w:p>
    <w:p>
      <w:pPr>
        <w:widowControl/>
        <w:shd w:val="clear" w:color="auto" w:fill="FFFFFF"/>
        <w:spacing w:line="500" w:lineRule="exact"/>
        <w:ind w:firstLine="420" w:firstLineChars="200"/>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shd w:val="clear" w:color="auto" w:fill="FFFFFF"/>
          <w:lang w:bidi="ar"/>
        </w:rPr>
        <w:t>2.因乙方管理或操作不当产生的安全隐患或安全事故，每发现一起，乙方承担违约金</w:t>
      </w:r>
      <w:r>
        <w:rPr>
          <w:rFonts w:hint="eastAsia" w:ascii="仿宋_GB2312" w:hAnsi="仿宋_GB2312" w:eastAsia="仿宋_GB2312" w:cs="仿宋_GB2312"/>
          <w:color w:val="000000"/>
          <w:kern w:val="0"/>
          <w:szCs w:val="21"/>
          <w:u w:val="single"/>
          <w:shd w:val="clear" w:color="auto" w:fill="FFFFFF"/>
          <w:lang w:bidi="ar"/>
        </w:rPr>
        <w:t>同业主合同</w:t>
      </w:r>
      <w:r>
        <w:rPr>
          <w:rFonts w:hint="eastAsia" w:ascii="仿宋_GB2312" w:hAnsi="仿宋_GB2312" w:eastAsia="仿宋_GB2312" w:cs="仿宋_GB2312"/>
          <w:color w:val="000000"/>
          <w:kern w:val="0"/>
          <w:szCs w:val="21"/>
          <w:shd w:val="clear" w:color="auto" w:fill="FFFFFF"/>
          <w:lang w:bidi="ar"/>
        </w:rPr>
        <w:t>。</w:t>
      </w:r>
    </w:p>
    <w:p>
      <w:pPr>
        <w:widowControl/>
        <w:shd w:val="clear" w:color="auto" w:fill="FFFFFF"/>
        <w:spacing w:line="500" w:lineRule="exact"/>
        <w:ind w:firstLine="420" w:firstLineChars="200"/>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shd w:val="clear" w:color="auto" w:fill="FFFFFF"/>
          <w:lang w:bidi="ar"/>
        </w:rPr>
        <w:t>3.因乙方违约而发生的违约金和赔偿金，甲方可在应付乙方的相关款中予以扣减。</w:t>
      </w:r>
    </w:p>
    <w:p>
      <w:pPr>
        <w:spacing w:line="52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szCs w:val="21"/>
        </w:rPr>
        <w:t>本协议一式四份，甲方两份乙方两份。</w:t>
      </w:r>
      <w:r>
        <w:rPr>
          <w:rFonts w:hint="eastAsia" w:ascii="仿宋_GB2312" w:hAnsi="仿宋_GB2312" w:eastAsia="仿宋_GB2312" w:cs="仿宋_GB2312"/>
          <w:kern w:val="0"/>
          <w:szCs w:val="21"/>
        </w:rPr>
        <w:t>由双方法定代表人或其授权的代理人签署与加盖公章后生效，全部工程竣工验收后失效。</w:t>
      </w:r>
    </w:p>
    <w:p>
      <w:pPr>
        <w:spacing w:line="520" w:lineRule="exact"/>
        <w:rPr>
          <w:rFonts w:ascii="仿宋_GB2312" w:hAnsi="仿宋_GB2312" w:eastAsia="仿宋_GB2312" w:cs="仿宋_GB2312"/>
          <w:kern w:val="0"/>
          <w:szCs w:val="21"/>
        </w:rPr>
      </w:pPr>
    </w:p>
    <w:p>
      <w:pPr>
        <w:spacing w:line="52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甲方：                              乙方：                 </w:t>
      </w:r>
    </w:p>
    <w:p>
      <w:pPr>
        <w:spacing w:line="52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法定代表人或                       法定代表人或</w:t>
      </w:r>
    </w:p>
    <w:p>
      <w:pPr>
        <w:spacing w:line="520" w:lineRule="exact"/>
        <w:rPr>
          <w:rFonts w:ascii="仿宋_GB2312" w:hAnsi="仿宋_GB2312" w:eastAsia="仿宋_GB2312" w:cs="仿宋_GB2312"/>
          <w:szCs w:val="21"/>
        </w:rPr>
      </w:pPr>
      <w:r>
        <w:rPr>
          <w:rFonts w:hint="eastAsia" w:ascii="仿宋_GB2312" w:hAnsi="仿宋_GB2312" w:eastAsia="仿宋_GB2312" w:cs="仿宋_GB2312"/>
          <w:color w:val="000000"/>
          <w:szCs w:val="21"/>
        </w:rPr>
        <w:t>委托代理人：(签字)                 委托代理人：(签字)</w:t>
      </w:r>
    </w:p>
    <w:p>
      <w:pPr>
        <w:pStyle w:val="2"/>
        <w:rPr>
          <w:rFonts w:ascii="仿宋_GB2312" w:hAnsi="仿宋_GB2312" w:eastAsia="仿宋_GB2312" w:cs="仿宋_GB2312"/>
          <w:szCs w:val="21"/>
        </w:rPr>
      </w:pPr>
    </w:p>
    <w:p>
      <w:pPr>
        <w:pStyle w:val="2"/>
        <w:rPr>
          <w:rFonts w:ascii="仿宋_GB2312" w:hAnsi="仿宋_GB2312" w:eastAsia="仿宋_GB2312" w:cs="仿宋_GB2312"/>
          <w:szCs w:val="21"/>
        </w:rPr>
      </w:pPr>
    </w:p>
    <w:p>
      <w:pPr>
        <w:rPr>
          <w:rFonts w:ascii="仿宋_GB2312" w:hAnsi="仿宋_GB2312" w:eastAsia="仿宋_GB2312" w:cs="仿宋_GB2312"/>
          <w:szCs w:val="21"/>
        </w:rPr>
      </w:pPr>
    </w:p>
    <w:p>
      <w:pPr>
        <w:pStyle w:val="2"/>
        <w:rPr>
          <w:rFonts w:ascii="仿宋_GB2312" w:hAnsi="仿宋_GB2312" w:eastAsia="仿宋_GB2312" w:cs="仿宋_GB2312"/>
          <w:szCs w:val="21"/>
        </w:rPr>
      </w:pPr>
    </w:p>
    <w:p>
      <w:pPr>
        <w:rPr>
          <w:szCs w:val="21"/>
        </w:rPr>
      </w:pPr>
    </w:p>
    <w:p>
      <w:pPr>
        <w:spacing w:line="560" w:lineRule="exact"/>
        <w:jc w:val="center"/>
        <w:rPr>
          <w:rFonts w:ascii="仿宋" w:hAnsi="仿宋" w:eastAsia="仿宋" w:cs="仿宋"/>
          <w:b/>
          <w:spacing w:val="40"/>
          <w:szCs w:val="21"/>
        </w:rPr>
      </w:pPr>
    </w:p>
    <w:p>
      <w:pPr>
        <w:spacing w:line="560" w:lineRule="exact"/>
        <w:jc w:val="center"/>
        <w:rPr>
          <w:rFonts w:ascii="仿宋" w:hAnsi="仿宋" w:eastAsia="仿宋" w:cs="仿宋"/>
          <w:b/>
          <w:spacing w:val="40"/>
          <w:szCs w:val="21"/>
        </w:rPr>
      </w:pPr>
    </w:p>
    <w:p>
      <w:pPr>
        <w:spacing w:line="560" w:lineRule="exact"/>
        <w:jc w:val="center"/>
        <w:rPr>
          <w:rFonts w:ascii="仿宋" w:hAnsi="仿宋" w:eastAsia="仿宋" w:cs="仿宋"/>
          <w:b/>
          <w:spacing w:val="40"/>
          <w:szCs w:val="21"/>
        </w:rPr>
      </w:pPr>
    </w:p>
    <w:p>
      <w:pPr>
        <w:spacing w:line="560" w:lineRule="exact"/>
        <w:jc w:val="center"/>
        <w:rPr>
          <w:rFonts w:ascii="仿宋" w:hAnsi="仿宋" w:eastAsia="仿宋" w:cs="仿宋"/>
          <w:b/>
          <w:spacing w:val="40"/>
          <w:szCs w:val="21"/>
        </w:rPr>
      </w:pPr>
    </w:p>
    <w:p>
      <w:pPr>
        <w:spacing w:line="560" w:lineRule="exact"/>
        <w:jc w:val="center"/>
        <w:rPr>
          <w:rFonts w:ascii="仿宋" w:hAnsi="仿宋" w:eastAsia="仿宋" w:cs="仿宋"/>
          <w:b/>
          <w:spacing w:val="40"/>
          <w:szCs w:val="21"/>
        </w:rPr>
      </w:pPr>
    </w:p>
    <w:p>
      <w:pPr>
        <w:spacing w:line="560" w:lineRule="exact"/>
        <w:jc w:val="center"/>
        <w:rPr>
          <w:rFonts w:ascii="仿宋" w:hAnsi="仿宋" w:eastAsia="仿宋" w:cs="仿宋"/>
          <w:b/>
          <w:spacing w:val="40"/>
          <w:szCs w:val="21"/>
        </w:rPr>
      </w:pPr>
      <w:r>
        <w:rPr>
          <w:rFonts w:hint="eastAsia" w:ascii="仿宋" w:hAnsi="仿宋" w:eastAsia="仿宋" w:cs="仿宋"/>
          <w:b/>
          <w:spacing w:val="40"/>
          <w:szCs w:val="21"/>
        </w:rPr>
        <w:t>廉政合同</w:t>
      </w:r>
    </w:p>
    <w:p>
      <w:pPr>
        <w:wordWrap w:val="0"/>
        <w:topLinePunct/>
        <w:adjustRightInd w:val="0"/>
        <w:spacing w:line="56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为做好</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rPr>
        <w:t>施工中的廉政工作，根据有关廉政建设规定，工程的项目法人</w:t>
      </w:r>
      <w:r>
        <w:rPr>
          <w:rFonts w:hint="eastAsia" w:ascii="仿宋_GB2312" w:hAnsi="仿宋_GB2312" w:eastAsia="仿宋_GB2312" w:cs="仿宋_GB2312"/>
          <w:color w:val="0C0C0C"/>
          <w:szCs w:val="21"/>
          <w:u w:val="single"/>
        </w:rPr>
        <w:t>安徽省经工建设集团有限公司</w:t>
      </w:r>
      <w:r>
        <w:rPr>
          <w:rFonts w:hint="eastAsia" w:ascii="仿宋_GB2312" w:hAnsi="仿宋_GB2312" w:eastAsia="仿宋_GB2312" w:cs="仿宋_GB2312"/>
          <w:kern w:val="0"/>
          <w:szCs w:val="21"/>
        </w:rPr>
        <w:t>（以下简称“甲方”）与施工单位</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color w:val="0C0C0C"/>
          <w:szCs w:val="21"/>
          <w:u w:val="single"/>
        </w:rPr>
        <w:t xml:space="preserve"> </w:t>
      </w:r>
      <w:r>
        <w:rPr>
          <w:rFonts w:hint="eastAsia" w:ascii="仿宋_GB2312" w:hAnsi="仿宋_GB2312" w:eastAsia="仿宋_GB2312" w:cs="仿宋_GB2312"/>
          <w:kern w:val="0"/>
          <w:szCs w:val="21"/>
        </w:rPr>
        <w:t>（以下简称“乙方”），特订立如下合同。</w:t>
      </w:r>
    </w:p>
    <w:p>
      <w:pPr>
        <w:wordWrap w:val="0"/>
        <w:topLinePunct/>
        <w:adjustRightInd w:val="0"/>
        <w:spacing w:line="560" w:lineRule="exact"/>
        <w:ind w:firstLine="422" w:firstLineChars="200"/>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一、甲乙双方的权利和义务</w:t>
      </w:r>
    </w:p>
    <w:p>
      <w:pPr>
        <w:wordWrap w:val="0"/>
        <w:topLinePunct/>
        <w:adjustRightInd w:val="0"/>
        <w:spacing w:line="56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1.严格遵守国家有关法律法规；严格执行</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rPr>
        <w:t>合同文件，自觉按合同办事。</w:t>
      </w:r>
    </w:p>
    <w:p>
      <w:pPr>
        <w:wordWrap w:val="0"/>
        <w:topLinePunct/>
        <w:adjustRightInd w:val="0"/>
        <w:spacing w:line="56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2.双方应坚持公开、公正、诚信、透明的原则（法律认定的商业秘密和合同文件另有规定除外），不得损害国家和集体利益，违反工程建设管理规章制度。</w:t>
      </w:r>
    </w:p>
    <w:p>
      <w:pPr>
        <w:wordWrap w:val="0"/>
        <w:topLinePunct/>
        <w:adjustRightInd w:val="0"/>
        <w:spacing w:line="56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3.建立健全廉政制度，开展廉政教育，设立廉政告示牌，公布举报电话，监督并认真查处违法违纪行为。</w:t>
      </w:r>
    </w:p>
    <w:p>
      <w:pPr>
        <w:wordWrap w:val="0"/>
        <w:topLinePunct/>
        <w:adjustRightInd w:val="0"/>
        <w:spacing w:line="56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4.发现对方有违反廉政规定的行为，应及时提醒对方纠正；发现对方严重违反合同条款，应向其上级有关部门举报，要求反馈处理结果。</w:t>
      </w:r>
    </w:p>
    <w:p>
      <w:pPr>
        <w:wordWrap w:val="0"/>
        <w:topLinePunct/>
        <w:adjustRightInd w:val="0"/>
        <w:spacing w:line="560" w:lineRule="exact"/>
        <w:ind w:firstLine="422" w:firstLineChars="200"/>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二、甲方的义务</w:t>
      </w:r>
    </w:p>
    <w:p>
      <w:pPr>
        <w:wordWrap w:val="0"/>
        <w:topLinePunct/>
        <w:adjustRightInd w:val="0"/>
        <w:spacing w:line="56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1.甲方及其工作人员不得索要或接受乙方的礼金、有价证券和贵重物品，不得在乙方报销任何费用。</w:t>
      </w:r>
    </w:p>
    <w:p>
      <w:pPr>
        <w:wordWrap w:val="0"/>
        <w:topLinePunct/>
        <w:adjustRightInd w:val="0"/>
        <w:spacing w:line="56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2.甲方工作人员不得参加乙方安排的超标准宴请和娱乐活动；不得接受乙方提供的通讯工具、交通工具等。</w:t>
      </w:r>
    </w:p>
    <w:p>
      <w:pPr>
        <w:wordWrap w:val="0"/>
        <w:topLinePunct/>
        <w:adjustRightInd w:val="0"/>
        <w:spacing w:line="56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3.甲方工作人员及其配偶、子女不得从事与甲方工程有关的材料设备供应、工程分包、劳务等经济活动等。</w:t>
      </w:r>
    </w:p>
    <w:p>
      <w:pPr>
        <w:wordWrap w:val="0"/>
        <w:topLinePunct/>
        <w:adjustRightInd w:val="0"/>
        <w:spacing w:line="56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4.甲方及其工作人员不得以任何理由向乙方推荐或推销材料，不得要求乙方购买合同规定外的材料和设备。</w:t>
      </w:r>
    </w:p>
    <w:p>
      <w:pPr>
        <w:wordWrap w:val="0"/>
        <w:topLinePunct/>
        <w:adjustRightInd w:val="0"/>
        <w:spacing w:line="56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5.甲方工作人员要秉公办事，不准营私舞弊，不准利用职权从事各种个人有偿中介活动和安排个人施工队伍。</w:t>
      </w:r>
    </w:p>
    <w:p>
      <w:pPr>
        <w:wordWrap w:val="0"/>
        <w:topLinePunct/>
        <w:adjustRightInd w:val="0"/>
        <w:spacing w:line="560" w:lineRule="exact"/>
        <w:ind w:firstLine="422" w:firstLineChars="200"/>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三、乙方义务</w:t>
      </w:r>
    </w:p>
    <w:p>
      <w:pPr>
        <w:wordWrap w:val="0"/>
        <w:topLinePunct/>
        <w:adjustRightInd w:val="0"/>
        <w:spacing w:line="56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1.乙方不得向甲方及其工作人员行贿或馈赠礼金、有价证券、贵重礼品。</w:t>
      </w:r>
    </w:p>
    <w:p>
      <w:pPr>
        <w:wordWrap w:val="0"/>
        <w:topLinePunct/>
        <w:adjustRightInd w:val="0"/>
        <w:spacing w:line="56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2.乙方不得为甲方及其工作人员报销任何费用。</w:t>
      </w:r>
    </w:p>
    <w:p>
      <w:pPr>
        <w:wordWrap w:val="0"/>
        <w:topLinePunct/>
        <w:adjustRightInd w:val="0"/>
        <w:spacing w:line="56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3.乙方不得安排甲方工作人员参加超标准宴请及娱乐活动。</w:t>
      </w:r>
    </w:p>
    <w:p>
      <w:pPr>
        <w:wordWrap w:val="0"/>
        <w:topLinePunct/>
        <w:adjustRightInd w:val="0"/>
        <w:spacing w:line="56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4.乙方不得为甲方单位和个人购置或提供通讯工具、交通工具等。</w:t>
      </w:r>
    </w:p>
    <w:p>
      <w:pPr>
        <w:wordWrap w:val="0"/>
        <w:topLinePunct/>
        <w:adjustRightInd w:val="0"/>
        <w:spacing w:line="560" w:lineRule="exact"/>
        <w:ind w:firstLine="422" w:firstLineChars="200"/>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四、违约责任</w:t>
      </w:r>
    </w:p>
    <w:p>
      <w:pPr>
        <w:wordWrap w:val="0"/>
        <w:topLinePunct/>
        <w:adjustRightInd w:val="0"/>
        <w:spacing w:line="56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1.甲方及其工作人员违反本合同第一、二条，按管理权限，依据有关规定给予党纪、政纪或组织处理；涉嫌犯罪的，移交司法机关追究刑事责任；给乙方单位造成经济损失的，应予以赔偿。</w:t>
      </w:r>
    </w:p>
    <w:p>
      <w:pPr>
        <w:wordWrap w:val="0"/>
        <w:topLinePunct/>
        <w:adjustRightInd w:val="0"/>
        <w:spacing w:line="56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2.乙方及其工作人员违反本合同第一、三条，按管理权限，依据有关规定给予党纪、政纪组织处理；给甲方单位造成经济损失的，应予以赔偿；情节严重的，按有关规定执行。</w:t>
      </w:r>
    </w:p>
    <w:p>
      <w:pPr>
        <w:wordWrap w:val="0"/>
        <w:topLinePunct/>
        <w:adjustRightInd w:val="0"/>
        <w:spacing w:line="560" w:lineRule="exact"/>
        <w:ind w:firstLine="422" w:firstLineChars="200"/>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五、双方约定</w:t>
      </w:r>
    </w:p>
    <w:p>
      <w:pPr>
        <w:wordWrap w:val="0"/>
        <w:topLinePunct/>
        <w:adjustRightInd w:val="0"/>
        <w:spacing w:line="56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本合同由双方或双方上级单位的纪检监察机关负责监督执行。</w:t>
      </w:r>
    </w:p>
    <w:p>
      <w:pPr>
        <w:wordWrap w:val="0"/>
        <w:topLinePunct/>
        <w:adjustRightInd w:val="0"/>
        <w:spacing w:line="56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六、本合同有效期为甲乙双方签署之日起至该工程项目竣工验收后止。</w:t>
      </w:r>
    </w:p>
    <w:p>
      <w:pPr>
        <w:wordWrap w:val="0"/>
        <w:topLinePunct/>
        <w:adjustRightInd w:val="0"/>
        <w:spacing w:line="56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七、本合同作为</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rPr>
        <w:t>施工合同的附件，与工程施工合同具有同等的法律效力，经合同双方签署立即生效。</w:t>
      </w:r>
    </w:p>
    <w:p>
      <w:pPr>
        <w:wordWrap w:val="0"/>
        <w:topLinePunct/>
        <w:adjustRightInd w:val="0"/>
        <w:spacing w:line="56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八、</w:t>
      </w:r>
      <w:r>
        <w:rPr>
          <w:rFonts w:hint="eastAsia" w:ascii="仿宋_GB2312" w:hAnsi="仿宋_GB2312" w:eastAsia="仿宋_GB2312" w:cs="仿宋_GB2312"/>
          <w:szCs w:val="21"/>
        </w:rPr>
        <w:t>本协议一式四份，甲方两份乙方两份。</w:t>
      </w:r>
      <w:r>
        <w:rPr>
          <w:rFonts w:hint="eastAsia" w:ascii="仿宋_GB2312" w:hAnsi="仿宋_GB2312" w:eastAsia="仿宋_GB2312" w:cs="仿宋_GB2312"/>
          <w:kern w:val="0"/>
          <w:szCs w:val="21"/>
        </w:rPr>
        <w:t>由双方法定代表人或其授权的代理人签署与加盖公章后生效。</w:t>
      </w:r>
    </w:p>
    <w:p>
      <w:pPr>
        <w:wordWrap w:val="0"/>
        <w:topLinePunct/>
        <w:adjustRightInd w:val="0"/>
        <w:spacing w:line="560" w:lineRule="exact"/>
        <w:ind w:firstLine="420" w:firstLineChars="200"/>
        <w:rPr>
          <w:rFonts w:ascii="仿宋_GB2312" w:hAnsi="仿宋_GB2312" w:eastAsia="仿宋_GB2312" w:cs="仿宋_GB2312"/>
          <w:kern w:val="0"/>
          <w:szCs w:val="21"/>
        </w:rPr>
      </w:pPr>
    </w:p>
    <w:p>
      <w:pPr>
        <w:wordWrap w:val="0"/>
        <w:topLinePunct/>
        <w:spacing w:line="56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甲方：                              乙方：                 </w:t>
      </w:r>
    </w:p>
    <w:p>
      <w:pPr>
        <w:wordWrap w:val="0"/>
        <w:topLinePunct/>
        <w:spacing w:line="56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法定代表人或                       法定代表人或</w:t>
      </w:r>
    </w:p>
    <w:p>
      <w:pP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委托代理人：(签字)                 委托代理人：(签字）</w:t>
      </w:r>
    </w:p>
    <w:p/>
    <w:p/>
    <w:p/>
    <w:p/>
    <w:p/>
    <w:p/>
    <w:p/>
    <w:p>
      <w:pPr>
        <w:pStyle w:val="3"/>
        <w:spacing w:before="312" w:after="312"/>
      </w:pPr>
      <w:r>
        <w:t>采购需求及清单</w:t>
      </w:r>
    </w:p>
    <w:p/>
    <w:p/>
    <w:p>
      <w:pPr>
        <w:pStyle w:val="4"/>
        <w:numPr>
          <w:ilvl w:val="0"/>
          <w:numId w:val="0"/>
        </w:numPr>
        <w:snapToGrid w:val="0"/>
        <w:spacing w:before="120" w:after="120" w:line="240" w:lineRule="auto"/>
        <w:ind w:left="630"/>
        <w:rPr>
          <w:rFonts w:ascii="Times New Roman" w:hAnsi="Times New Roman" w:cs="Times New Roman"/>
        </w:rPr>
      </w:pPr>
      <w:bookmarkStart w:id="53" w:name="_Toc28814_WPSOffice_Level2"/>
      <w:r>
        <w:rPr>
          <w:rFonts w:ascii="Times New Roman" w:hAnsi="Times New Roman" w:cs="Times New Roman"/>
        </w:rPr>
        <w:t>1、技术标准和要求</w:t>
      </w:r>
    </w:p>
    <w:bookmarkEnd w:id="53"/>
    <w:p>
      <w:pPr>
        <w:pStyle w:val="4"/>
        <w:numPr>
          <w:ilvl w:val="0"/>
          <w:numId w:val="0"/>
        </w:numPr>
        <w:snapToGrid w:val="0"/>
        <w:spacing w:before="120" w:after="120" w:line="240" w:lineRule="auto"/>
        <w:ind w:left="630"/>
        <w:rPr>
          <w:rFonts w:ascii="Times New Roman" w:hAnsi="Times New Roman" w:cs="Times New Roman"/>
        </w:rPr>
      </w:pPr>
      <w:bookmarkStart w:id="54" w:name="_Toc27821_WPSOffice_Level2"/>
      <w:r>
        <w:rPr>
          <w:rFonts w:ascii="Times New Roman" w:hAnsi="Times New Roman" w:cs="Times New Roman"/>
        </w:rPr>
        <w:t>2、图纸</w:t>
      </w:r>
      <w:bookmarkEnd w:id="54"/>
      <w:r>
        <w:rPr>
          <w:rFonts w:hint="eastAsia" w:ascii="Times New Roman" w:hAnsi="Times New Roman" w:cs="Times New Roman"/>
        </w:rPr>
        <w:t>（如有）</w:t>
      </w:r>
    </w:p>
    <w:p>
      <w:pPr>
        <w:pStyle w:val="4"/>
        <w:numPr>
          <w:ilvl w:val="0"/>
          <w:numId w:val="0"/>
        </w:numPr>
        <w:snapToGrid w:val="0"/>
        <w:spacing w:before="120" w:after="120" w:line="240" w:lineRule="auto"/>
        <w:ind w:left="630"/>
        <w:rPr>
          <w:rFonts w:ascii="Times New Roman" w:hAnsi="Times New Roman" w:cs="Times New Roman"/>
        </w:rPr>
      </w:pPr>
      <w:bookmarkStart w:id="55" w:name="_Toc18078_WPSOffice_Level2"/>
      <w:r>
        <w:rPr>
          <w:rFonts w:ascii="Times New Roman" w:hAnsi="Times New Roman" w:cs="Times New Roman"/>
        </w:rPr>
        <w:t>3、工程量清单</w:t>
      </w:r>
      <w:bookmarkEnd w:id="55"/>
    </w:p>
    <w:p>
      <w:pPr>
        <w:ind w:left="636" w:leftChars="303"/>
        <w:rPr>
          <w:rFonts w:ascii="Times New Roman" w:hAnsi="Times New Roman" w:cs="Times New Roman"/>
        </w:rPr>
      </w:pPr>
      <w:r>
        <w:rPr>
          <w:rFonts w:hint="eastAsia" w:ascii="Times New Roman" w:hAnsi="Times New Roman" w:cs="Times New Roman"/>
        </w:rPr>
        <w:t>3.1工程量清单编制说明（编制说明中应明确：供应商不得修改工程量清单编制说明）</w:t>
      </w:r>
    </w:p>
    <w:p>
      <w:pPr>
        <w:pStyle w:val="4"/>
        <w:numPr>
          <w:ilvl w:val="0"/>
          <w:numId w:val="0"/>
        </w:numPr>
        <w:snapToGrid w:val="0"/>
        <w:spacing w:before="120"/>
        <w:ind w:left="630"/>
        <w:rPr>
          <w:rFonts w:ascii="Times New Roman" w:hAnsi="Times New Roman" w:cs="Times New Roman"/>
        </w:rPr>
      </w:pPr>
      <w:r>
        <w:rPr>
          <w:rFonts w:hint="eastAsia" w:ascii="Times New Roman" w:hAnsi="Times New Roman" w:cs="Times New Roman"/>
        </w:rPr>
        <w:t>3.2工程量清单</w:t>
      </w:r>
    </w:p>
    <w:p/>
    <w:p>
      <w:r>
        <w:br w:type="page"/>
      </w:r>
    </w:p>
    <w:p>
      <w:pPr>
        <w:pStyle w:val="5"/>
        <w:ind w:firstLine="420"/>
        <w:jc w:val="center"/>
        <w:rPr>
          <w:rFonts w:ascii="黑体" w:hAnsi="黑体"/>
          <w:b/>
        </w:rPr>
      </w:pPr>
      <w:r>
        <w:rPr>
          <w:rFonts w:hint="eastAsia" w:ascii="黑体" w:hAnsi="黑体"/>
          <w:b/>
        </w:rPr>
        <w:t>三</w:t>
      </w:r>
      <w:r>
        <w:rPr>
          <w:rFonts w:ascii="黑体" w:hAnsi="黑体"/>
          <w:b/>
        </w:rPr>
        <w:t>、施工任务书</w:t>
      </w:r>
    </w:p>
    <w:tbl>
      <w:tblPr>
        <w:tblStyle w:val="14"/>
        <w:tblW w:w="8026" w:type="dxa"/>
        <w:tblInd w:w="93" w:type="dxa"/>
        <w:tblLayout w:type="fixed"/>
        <w:tblCellMar>
          <w:top w:w="0" w:type="dxa"/>
          <w:left w:w="108" w:type="dxa"/>
          <w:bottom w:w="0" w:type="dxa"/>
          <w:right w:w="108" w:type="dxa"/>
        </w:tblCellMar>
      </w:tblPr>
      <w:tblGrid>
        <w:gridCol w:w="615"/>
        <w:gridCol w:w="855"/>
        <w:gridCol w:w="936"/>
        <w:gridCol w:w="1119"/>
        <w:gridCol w:w="975"/>
        <w:gridCol w:w="2446"/>
        <w:gridCol w:w="1080"/>
      </w:tblGrid>
      <w:tr>
        <w:tblPrEx>
          <w:tblCellMar>
            <w:top w:w="0" w:type="dxa"/>
            <w:left w:w="108" w:type="dxa"/>
            <w:bottom w:w="0" w:type="dxa"/>
            <w:right w:w="108" w:type="dxa"/>
          </w:tblCellMar>
        </w:tblPrEx>
        <w:trPr>
          <w:trHeight w:val="705" w:hRule="atLeast"/>
        </w:trPr>
        <w:tc>
          <w:tcPr>
            <w:tcW w:w="802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服务区临建统计情况一览表（屋面和墙体）</w:t>
            </w:r>
          </w:p>
        </w:tc>
      </w:tr>
      <w:tr>
        <w:tblPrEx>
          <w:tblCellMar>
            <w:top w:w="0" w:type="dxa"/>
            <w:left w:w="108" w:type="dxa"/>
            <w:bottom w:w="0" w:type="dxa"/>
            <w:right w:w="108" w:type="dxa"/>
          </w:tblCellMar>
        </w:tblPrEx>
        <w:trPr>
          <w:trHeight w:val="100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序号</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片区</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服务区</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位置（东/西、南/北）</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产权（自有/外包）</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用途</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更换面积</w:t>
            </w:r>
          </w:p>
        </w:tc>
      </w:tr>
      <w:tr>
        <w:tblPrEx>
          <w:tblCellMar>
            <w:top w:w="0" w:type="dxa"/>
            <w:left w:w="108" w:type="dxa"/>
            <w:bottom w:w="0" w:type="dxa"/>
            <w:right w:w="108" w:type="dxa"/>
          </w:tblCellMar>
        </w:tblPrEx>
        <w:trPr>
          <w:trHeight w:val="45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池州</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马衙</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餐饮油水分离设备间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43.60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池州</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马衙</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外包</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加冰站办公室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56.76 </w:t>
            </w:r>
          </w:p>
        </w:tc>
      </w:tr>
      <w:tr>
        <w:tblPrEx>
          <w:tblCellMar>
            <w:top w:w="0" w:type="dxa"/>
            <w:left w:w="108" w:type="dxa"/>
            <w:bottom w:w="0" w:type="dxa"/>
            <w:right w:w="108" w:type="dxa"/>
          </w:tblCellMar>
        </w:tblPrEx>
        <w:trPr>
          <w:trHeight w:val="45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池州</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马衙</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餐饮油水分离设备间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43.60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池州</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马衙</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便利店仓库</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135.46 </w:t>
            </w:r>
          </w:p>
        </w:tc>
      </w:tr>
      <w:tr>
        <w:tblPrEx>
          <w:tblCellMar>
            <w:top w:w="0" w:type="dxa"/>
            <w:left w:w="108" w:type="dxa"/>
            <w:bottom w:w="0" w:type="dxa"/>
            <w:right w:w="108" w:type="dxa"/>
          </w:tblCellMar>
        </w:tblPrEx>
        <w:trPr>
          <w:trHeight w:val="45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池州</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升金湖</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东区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老式污水处理设备房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36.84 </w:t>
            </w:r>
          </w:p>
        </w:tc>
      </w:tr>
      <w:tr>
        <w:tblPrEx>
          <w:tblCellMar>
            <w:top w:w="0" w:type="dxa"/>
            <w:left w:w="108" w:type="dxa"/>
            <w:bottom w:w="0" w:type="dxa"/>
            <w:right w:w="108" w:type="dxa"/>
          </w:tblCellMar>
        </w:tblPrEx>
        <w:trPr>
          <w:trHeight w:val="45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池州</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升金湖</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西区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老式污水处理设备房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36.84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池州</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香隅</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老式污水处理设备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47.95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池州</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香隅</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老式污水处理设备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46.49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池州</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花园</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东区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临时公厕</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82.00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池州</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花园</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西区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临时公厕</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82.00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池州</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九华山</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东区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污水隔油设备房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46.00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池州</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九华山</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西区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污水隔油设备房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46.00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池州</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九华山</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东区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中水回用设备房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42.40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池州</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九华山</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西区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中水回用设备房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42.40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池州</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顺安</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保洁房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82.62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池州</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顺安</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外包</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合作单位员工住房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64.00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17</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池州</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顺安</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污水设备房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71.36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18</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池州</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顺安</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污水设备房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71.36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19</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池州</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顺安</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原移动公厕</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82.00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池州</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天门</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老式污水处理设备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47.40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池州</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天门</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老式污水处理设备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47.40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池州</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天门</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污水隔油设备间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43.60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池州</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天门</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污水隔油设备间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43.60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池州</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天门</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外包</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仓库</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76.60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池州</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天门</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外包</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仓库</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76.60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池州</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天门</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外包</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仓库</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76.60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27</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黄山</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金沙</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东区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老式污水处理设备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47.82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28</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黄山</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金沙</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东区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新建污水处理设备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45.26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29</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黄山</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金沙</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东区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隔油处理设备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36.04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黄山</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金沙</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西区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老式污水处理设备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47.82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黄山</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金沙</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西区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隔油处理设备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36.04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黄山</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金沙</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西区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新建污水处理设备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45.26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黄山</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华阳</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油水分离设备房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33.16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黄山</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华阳</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油水分离设备房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32.48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黄山</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华阳</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污水设备房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45.38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黄山</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华阳</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污水设备房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45.38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37</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黄山</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宁国</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东区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老式污水设备房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47.00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38</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黄山</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宁国</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东区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新式污水设备房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46.52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39</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黄山</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宁国</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东区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隔油设备房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39.29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黄山</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宁国</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西区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老式污水设备房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47.52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黄山</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宁国</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西区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新式污水设备房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46.52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黄山</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宁国</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西区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隔油设备房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34.86 </w:t>
            </w:r>
          </w:p>
        </w:tc>
      </w:tr>
      <w:tr>
        <w:tblPrEx>
          <w:tblCellMar>
            <w:top w:w="0" w:type="dxa"/>
            <w:left w:w="108" w:type="dxa"/>
            <w:bottom w:w="0" w:type="dxa"/>
            <w:right w:w="108" w:type="dxa"/>
          </w:tblCellMar>
        </w:tblPrEx>
        <w:trPr>
          <w:trHeight w:val="45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黄山</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齐云山</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南区隔油池</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处理设备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37.95 </w:t>
            </w:r>
          </w:p>
        </w:tc>
      </w:tr>
      <w:tr>
        <w:tblPrEx>
          <w:tblCellMar>
            <w:top w:w="0" w:type="dxa"/>
            <w:left w:w="108" w:type="dxa"/>
            <w:bottom w:w="0" w:type="dxa"/>
            <w:right w:w="108" w:type="dxa"/>
          </w:tblCellMar>
        </w:tblPrEx>
        <w:trPr>
          <w:trHeight w:val="45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黄山</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齐云山</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南区污水</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处理设备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59.67 </w:t>
            </w:r>
          </w:p>
        </w:tc>
      </w:tr>
      <w:tr>
        <w:tblPrEx>
          <w:tblCellMar>
            <w:top w:w="0" w:type="dxa"/>
            <w:left w:w="108" w:type="dxa"/>
            <w:bottom w:w="0" w:type="dxa"/>
            <w:right w:w="108" w:type="dxa"/>
          </w:tblCellMar>
        </w:tblPrEx>
        <w:trPr>
          <w:trHeight w:val="45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黄山</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齐云山</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南区污水</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处理设备2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45.38 </w:t>
            </w:r>
          </w:p>
        </w:tc>
      </w:tr>
      <w:tr>
        <w:tblPrEx>
          <w:tblCellMar>
            <w:top w:w="0" w:type="dxa"/>
            <w:left w:w="108" w:type="dxa"/>
            <w:bottom w:w="0" w:type="dxa"/>
            <w:right w:w="108" w:type="dxa"/>
          </w:tblCellMar>
        </w:tblPrEx>
        <w:trPr>
          <w:trHeight w:val="45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黄山</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齐云山</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南区中水回收</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设备房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46.28 </w:t>
            </w:r>
          </w:p>
        </w:tc>
      </w:tr>
      <w:tr>
        <w:tblPrEx>
          <w:tblCellMar>
            <w:top w:w="0" w:type="dxa"/>
            <w:left w:w="108" w:type="dxa"/>
            <w:bottom w:w="0" w:type="dxa"/>
            <w:right w:w="108" w:type="dxa"/>
          </w:tblCellMar>
        </w:tblPrEx>
        <w:trPr>
          <w:trHeight w:val="45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47</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黄山</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齐云山</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北区隔油池处理设备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37.95 </w:t>
            </w:r>
          </w:p>
        </w:tc>
      </w:tr>
      <w:tr>
        <w:tblPrEx>
          <w:tblCellMar>
            <w:top w:w="0" w:type="dxa"/>
            <w:left w:w="108" w:type="dxa"/>
            <w:bottom w:w="0" w:type="dxa"/>
            <w:right w:w="108" w:type="dxa"/>
          </w:tblCellMar>
        </w:tblPrEx>
        <w:trPr>
          <w:trHeight w:val="45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48</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黄山</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齐云山</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北区中水回收设备房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46.28 </w:t>
            </w:r>
          </w:p>
        </w:tc>
      </w:tr>
      <w:tr>
        <w:tblPrEx>
          <w:tblCellMar>
            <w:top w:w="0" w:type="dxa"/>
            <w:left w:w="108" w:type="dxa"/>
            <w:bottom w:w="0" w:type="dxa"/>
            <w:right w:w="108" w:type="dxa"/>
          </w:tblCellMar>
        </w:tblPrEx>
        <w:trPr>
          <w:trHeight w:val="45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49</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黄山</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齐云山</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北区污水</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处理设备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45.38 </w:t>
            </w:r>
          </w:p>
        </w:tc>
      </w:tr>
      <w:tr>
        <w:tblPrEx>
          <w:tblCellMar>
            <w:top w:w="0" w:type="dxa"/>
            <w:left w:w="108" w:type="dxa"/>
            <w:bottom w:w="0" w:type="dxa"/>
            <w:right w:w="108" w:type="dxa"/>
          </w:tblCellMar>
        </w:tblPrEx>
        <w:trPr>
          <w:trHeight w:val="45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黄山</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齐云山</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北区污水</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处理设备2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58.70 </w:t>
            </w:r>
          </w:p>
        </w:tc>
      </w:tr>
      <w:tr>
        <w:tblPrEx>
          <w:tblCellMar>
            <w:top w:w="0" w:type="dxa"/>
            <w:left w:w="108" w:type="dxa"/>
            <w:bottom w:w="0" w:type="dxa"/>
            <w:right w:w="108" w:type="dxa"/>
          </w:tblCellMar>
        </w:tblPrEx>
        <w:trPr>
          <w:trHeight w:val="9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黄山</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牯牛降</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污水处理设备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42.60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黄山</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牯牛降</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污水处理设备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42.60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黄山</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呈坎</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东区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原污水处理设备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32.00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黄山</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呈坎</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东区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餐厅油污分离设备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43.60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黄山</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呈坎</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西区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餐厅油污分离设备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43.60 </w:t>
            </w:r>
          </w:p>
        </w:tc>
      </w:tr>
      <w:tr>
        <w:tblPrEx>
          <w:tblCellMar>
            <w:top w:w="0" w:type="dxa"/>
            <w:left w:w="108" w:type="dxa"/>
            <w:bottom w:w="0" w:type="dxa"/>
            <w:right w:w="108" w:type="dxa"/>
          </w:tblCellMar>
        </w:tblPrEx>
        <w:trPr>
          <w:trHeight w:val="45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黄山</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太平湖</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厨房油污分离设备房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42.74 </w:t>
            </w:r>
          </w:p>
        </w:tc>
      </w:tr>
      <w:tr>
        <w:tblPrEx>
          <w:tblCellMar>
            <w:top w:w="0" w:type="dxa"/>
            <w:left w:w="108" w:type="dxa"/>
            <w:bottom w:w="0" w:type="dxa"/>
            <w:right w:w="108" w:type="dxa"/>
          </w:tblCellMar>
        </w:tblPrEx>
        <w:trPr>
          <w:trHeight w:val="45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57</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黄山</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休宁</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东区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外包</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有意思餐厅油污分离设备房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28.50 </w:t>
            </w:r>
          </w:p>
        </w:tc>
      </w:tr>
      <w:tr>
        <w:tblPrEx>
          <w:tblCellMar>
            <w:top w:w="0" w:type="dxa"/>
            <w:left w:w="108" w:type="dxa"/>
            <w:bottom w:w="0" w:type="dxa"/>
            <w:right w:w="108" w:type="dxa"/>
          </w:tblCellMar>
        </w:tblPrEx>
        <w:trPr>
          <w:trHeight w:val="45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58</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黄山</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休宁</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西区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外包</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有意思餐厅油污分离设备房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31.27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59</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黄山</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休宁</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东区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员工车棚</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214.50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黄山</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休宁</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东区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驿家小厨后侧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114.00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宿州</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砀山</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东区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净化水设备房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39.03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宿州</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砀山</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西区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净化水设备房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39.03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宿州</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符离</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东区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污水处理站</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67.80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宿州</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符离</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西区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污水处理站</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67.80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宿州</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符离</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西区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员工食堂</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220.88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宿州</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符离</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西区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员工食堂后厨</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132.20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67</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宿州</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符离</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东区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东区原面馆后厨</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115.48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68</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宿州</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符离</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西区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西区原面馆后厨</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115.48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69</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宿州</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皇藏峪</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东区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老污水设备房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37.70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宿州</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皇藏峪</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西区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老污水设备房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37.70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宿州</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皇藏峪</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东区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外包</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李先生餐厅泔水房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37.00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宿州</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皇藏峪</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西区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外包</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李先生餐厅泔水房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37.00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宿州</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桥头</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西区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仓库</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67.92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宿州</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濉溪</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临时公厕</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256.00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宿州</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濉溪</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临时公厕</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256.00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宿州</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王寨</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便利店仓库</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288.00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77</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宿州</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王寨</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便利店仓库</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288.00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78</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宿州</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王寨</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污水处理站</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89.40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79</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合肥</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新桥</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老式污水处理设备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70.84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合肥</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新桥</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老式污水处理设备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70.84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合肥</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新桥</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外包</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油水分离处理设备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31.52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合肥</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新桥</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外包</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油水分离处理设备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31.52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合肥</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周潭</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废弃污水处理机房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23.99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合肥</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周潭</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便利店仓库</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247.00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合肥</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周潭</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移动公厕</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73.00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合肥</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周潭</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废弃污水处理机房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23.99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87</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合肥</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周潭</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便利店仓库</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237.00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88</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合肥</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周潭</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移动公厕</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73.00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89</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合肥</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巢湖</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东区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污水处理设备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44.40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合肥</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巢湖</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西区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污水处理设备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44.40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淮阜</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阜南</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老式污水处理设备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55.44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淮阜</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阜南</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新式污水处理设备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46.48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淮阜</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阜南</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隔油设备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31.20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淮阜</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阜南</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老式污水处理设备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55.44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淮阜</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阜南</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新式污水处理设备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46.48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淮阜</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阜南</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隔油设备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31.20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97</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淮阜</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焦岗湖</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废弃保安亭</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53.88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98</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淮阜</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焦岗湖</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废弃保安亭</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53.88 </w:t>
            </w:r>
          </w:p>
        </w:tc>
      </w:tr>
      <w:tr>
        <w:tblPrEx>
          <w:tblCellMar>
            <w:top w:w="0" w:type="dxa"/>
            <w:left w:w="108" w:type="dxa"/>
            <w:bottom w:w="0" w:type="dxa"/>
            <w:right w:w="108" w:type="dxa"/>
          </w:tblCellMar>
        </w:tblPrEx>
        <w:trPr>
          <w:trHeight w:val="45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99</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淮阜</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焦岗湖</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废弃污水处理设备配电房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52.00 </w:t>
            </w:r>
          </w:p>
        </w:tc>
      </w:tr>
      <w:tr>
        <w:tblPrEx>
          <w:tblCellMar>
            <w:top w:w="0" w:type="dxa"/>
            <w:left w:w="108" w:type="dxa"/>
            <w:bottom w:w="0" w:type="dxa"/>
            <w:right w:w="108" w:type="dxa"/>
          </w:tblCellMar>
        </w:tblPrEx>
        <w:trPr>
          <w:trHeight w:val="45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淮阜</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焦岗湖</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废弃污水处理设备配电房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52.00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淮阜</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焦岗湖</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保洁休息室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45.75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淮阜</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焦岗湖</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保洁休息室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45.75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淮阜</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临泉</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新污水处理设备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46.78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淮阜</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临泉</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原污水处理设备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56.81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淮阜</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临泉</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原污水处理设备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60.01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淮阜</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临泉</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新污水处理设备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46.61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107</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淮阜</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杜集</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污水处理设备房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51.30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108</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淮阜</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杜集</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污水处理设备房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51.30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109</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淮阜</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吴圩</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东区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污水处理用房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38.87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110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淮阜</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吴圩</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西区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污水处理用房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36.77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111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淮阜</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吴圩</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东区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外包</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膳仁福小吃仓库</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142.01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112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淮阜</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吴圩</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西区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外包</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膳仁福小吃仓库</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81.00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113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淮阜</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吴圩</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东区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外包</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豪派鸡排店仓库</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76.38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114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淮阜</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吴圩</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西区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外包</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豪派鸡排店仓库</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72.36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115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淮阜</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吴圩</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东区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隔油池设备房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44.92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116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淮阜</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吴圩</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西区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隔油池设备房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43.51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117</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淮阜</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颍上</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外包</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驿小食仓库</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143.15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118</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淮阜</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颍上</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外包</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李先生室内杂物间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89.34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119</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淮阜</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颍上</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外包</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李先生室内杂物间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63.36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120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淮阜</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官塘</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外包</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绘驿香店临时仓库</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61.12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121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淮阜</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官塘</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外包</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餐厅隔油池</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33.90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122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淮阜</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官塘</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污水处理设备房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46.84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123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淮阜</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官塘</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保洁房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72.56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124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淮阜</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官塘</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五谷之署屋顶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30.10 </w:t>
            </w:r>
          </w:p>
        </w:tc>
      </w:tr>
      <w:tr>
        <w:tblPrEx>
          <w:tblCellMar>
            <w:top w:w="0" w:type="dxa"/>
            <w:left w:w="108" w:type="dxa"/>
            <w:bottom w:w="0" w:type="dxa"/>
            <w:right w:w="108" w:type="dxa"/>
          </w:tblCellMar>
        </w:tblPrEx>
        <w:trPr>
          <w:trHeight w:val="45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125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淮阜</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官塘</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外包</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享当当生物醇油存放处</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61.75 </w:t>
            </w:r>
          </w:p>
        </w:tc>
      </w:tr>
      <w:tr>
        <w:tblPrEx>
          <w:tblCellMar>
            <w:top w:w="0" w:type="dxa"/>
            <w:left w:w="108" w:type="dxa"/>
            <w:bottom w:w="0" w:type="dxa"/>
            <w:right w:w="108" w:type="dxa"/>
          </w:tblCellMar>
        </w:tblPrEx>
        <w:trPr>
          <w:trHeight w:val="45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126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淮阜</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官塘</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外包</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享当当生物醇油存放处</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61.75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127</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淮阜</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官塘</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五谷之署屋顶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30.10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128</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淮阜</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官塘</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保洁房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72.56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129</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淮阜</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官塘</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污水处理设备房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46.84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130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淮阜</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官塘</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外包</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餐厅隔油池</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33.90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131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淮阜</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八公山</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良记小吃仓库</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104.00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132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淮阜</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八公山</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吉阿婆仓库</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274.96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133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淮阜</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八公山</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污水处理设备仓库</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82.18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134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淮阜</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八公山</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污水处理设备仓库</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82.18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135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淮阜</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八公山</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隔油池仓库</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36.72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136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淮阜</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八公山</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隔油池仓库</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36.72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137</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淮阜</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八公山</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楼顶彩钢瓦棚顶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1.00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138</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淮阜</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八公山</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楼顶彩钢瓦棚顶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1.00 </w:t>
            </w:r>
          </w:p>
        </w:tc>
      </w:tr>
      <w:tr>
        <w:tblPrEx>
          <w:tblCellMar>
            <w:top w:w="0" w:type="dxa"/>
            <w:left w:w="108" w:type="dxa"/>
            <w:bottom w:w="0" w:type="dxa"/>
            <w:right w:w="108" w:type="dxa"/>
          </w:tblCellMar>
        </w:tblPrEx>
        <w:trPr>
          <w:trHeight w:val="45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139</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淮阜</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八公山</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汽修厂旁边物料仓库</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134.58 </w:t>
            </w:r>
          </w:p>
        </w:tc>
      </w:tr>
      <w:tr>
        <w:tblPrEx>
          <w:tblCellMar>
            <w:top w:w="0" w:type="dxa"/>
            <w:left w:w="108" w:type="dxa"/>
            <w:bottom w:w="0" w:type="dxa"/>
            <w:right w:w="108" w:type="dxa"/>
          </w:tblCellMar>
        </w:tblPrEx>
        <w:trPr>
          <w:trHeight w:val="45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140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淮阜</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八公山</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汽修厂旁边物料仓库</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134.58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141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淮阜</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红星</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东区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污水处理设备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43.70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142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淮阜</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红星</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西区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污水处理设备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43.70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143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淮阜</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红星</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东区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污水隔油处理间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34.80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144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淮阜</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红星</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西区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污水隔油处理间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34.80 </w:t>
            </w:r>
          </w:p>
        </w:tc>
      </w:tr>
      <w:tr>
        <w:tblPrEx>
          <w:tblCellMar>
            <w:top w:w="0" w:type="dxa"/>
            <w:left w:w="108" w:type="dxa"/>
            <w:bottom w:w="0" w:type="dxa"/>
            <w:right w:w="108" w:type="dxa"/>
          </w:tblCellMar>
        </w:tblPrEx>
        <w:trPr>
          <w:trHeight w:val="45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145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界阜蚌</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辛集</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东区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闲置污水处理电器房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25.00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146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界阜蚌</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吕望</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员工食堂</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399.25 </w:t>
            </w:r>
          </w:p>
        </w:tc>
      </w:tr>
      <w:tr>
        <w:tblPrEx>
          <w:tblCellMar>
            <w:top w:w="0" w:type="dxa"/>
            <w:left w:w="108" w:type="dxa"/>
            <w:bottom w:w="0" w:type="dxa"/>
            <w:right w:w="108" w:type="dxa"/>
          </w:tblCellMar>
        </w:tblPrEx>
        <w:trPr>
          <w:trHeight w:val="45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147</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界阜蚌</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吕望</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外包</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刘老二烧鸡店铺仓库</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155.40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148</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界阜蚌</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吕望</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污水处理站控制房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44.44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149</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界阜蚌</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吕望</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污水处理站控制房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44.44 </w:t>
            </w:r>
          </w:p>
        </w:tc>
      </w:tr>
      <w:tr>
        <w:tblPrEx>
          <w:tblCellMar>
            <w:top w:w="0" w:type="dxa"/>
            <w:left w:w="108" w:type="dxa"/>
            <w:bottom w:w="0" w:type="dxa"/>
            <w:right w:w="108" w:type="dxa"/>
          </w:tblCellMar>
        </w:tblPrEx>
        <w:trPr>
          <w:trHeight w:val="45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界阜蚌</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吕望</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老污水处理站控制房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41.40 </w:t>
            </w:r>
          </w:p>
        </w:tc>
      </w:tr>
      <w:tr>
        <w:tblPrEx>
          <w:tblCellMar>
            <w:top w:w="0" w:type="dxa"/>
            <w:left w:w="108" w:type="dxa"/>
            <w:bottom w:w="0" w:type="dxa"/>
            <w:right w:w="108" w:type="dxa"/>
          </w:tblCellMar>
        </w:tblPrEx>
        <w:trPr>
          <w:trHeight w:val="45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界阜蚌</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吕望</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老污水处理站控制房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41.40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界阜蚌</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马集</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西区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员工车棚</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88.74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界阜蚌</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马集</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西区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员工车棚</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104.04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界阜蚌</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蒙城</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东区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隔油池设备房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31.52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界阜蚌</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蒙城</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西区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隔油池设备房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31.52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界阜蚌</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三角元</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仓库</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155.88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157</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界阜蚌</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三角元</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隔油设备间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31.20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158</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界阜蚌</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三角元</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隔油设备间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31.20 </w:t>
            </w:r>
          </w:p>
        </w:tc>
      </w:tr>
      <w:tr>
        <w:tblPrEx>
          <w:tblCellMar>
            <w:top w:w="0" w:type="dxa"/>
            <w:left w:w="108" w:type="dxa"/>
            <w:bottom w:w="0" w:type="dxa"/>
            <w:right w:w="108" w:type="dxa"/>
          </w:tblCellMar>
        </w:tblPrEx>
        <w:trPr>
          <w:trHeight w:val="45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159</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界阜蚌</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伍明</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东区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外包</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合作单位冷库（仓储）</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107.52 </w:t>
            </w:r>
          </w:p>
        </w:tc>
      </w:tr>
      <w:tr>
        <w:tblPrEx>
          <w:tblCellMar>
            <w:top w:w="0" w:type="dxa"/>
            <w:left w:w="108" w:type="dxa"/>
            <w:bottom w:w="0" w:type="dxa"/>
            <w:right w:w="108" w:type="dxa"/>
          </w:tblCellMar>
        </w:tblPrEx>
        <w:trPr>
          <w:trHeight w:val="45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界阜蚌</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伍明</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西区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外包</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合作单位冷库（仓储）</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107.52 </w:t>
            </w:r>
          </w:p>
        </w:tc>
      </w:tr>
      <w:tr>
        <w:tblPrEx>
          <w:tblCellMar>
            <w:top w:w="0" w:type="dxa"/>
            <w:left w:w="108" w:type="dxa"/>
            <w:bottom w:w="0" w:type="dxa"/>
            <w:right w:w="108" w:type="dxa"/>
          </w:tblCellMar>
        </w:tblPrEx>
        <w:trPr>
          <w:trHeight w:val="45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界阜蚌</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伍明</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东区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外包</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合作单位污水隔油设备间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31.20 </w:t>
            </w:r>
          </w:p>
        </w:tc>
      </w:tr>
      <w:tr>
        <w:tblPrEx>
          <w:tblCellMar>
            <w:top w:w="0" w:type="dxa"/>
            <w:left w:w="108" w:type="dxa"/>
            <w:bottom w:w="0" w:type="dxa"/>
            <w:right w:w="108" w:type="dxa"/>
          </w:tblCellMar>
        </w:tblPrEx>
        <w:trPr>
          <w:trHeight w:val="45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界阜蚌</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伍明</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西区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外包</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合作单位污水隔油设备间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31.20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界阜蚌</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长春</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东区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老式污水处理设备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27.40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界阜蚌</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长春</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西区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老式污水处理设备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27.40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滁马</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仓镇</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污水站设备房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43.82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滁马</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仓镇</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污水站设备房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43.82 </w:t>
            </w:r>
          </w:p>
        </w:tc>
      </w:tr>
      <w:tr>
        <w:tblPrEx>
          <w:tblCellMar>
            <w:top w:w="0" w:type="dxa"/>
            <w:left w:w="108" w:type="dxa"/>
            <w:bottom w:w="0" w:type="dxa"/>
            <w:right w:w="108" w:type="dxa"/>
          </w:tblCellMar>
        </w:tblPrEx>
        <w:trPr>
          <w:trHeight w:val="6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167</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滁马</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釜山</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after="18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东区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污水站设备房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45.00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168</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滁马</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釜山</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西区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污水站设备房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45.00 </w:t>
            </w:r>
          </w:p>
        </w:tc>
      </w:tr>
      <w:tr>
        <w:tblPrEx>
          <w:tblCellMar>
            <w:top w:w="0" w:type="dxa"/>
            <w:left w:w="108" w:type="dxa"/>
            <w:bottom w:w="0" w:type="dxa"/>
            <w:right w:w="108" w:type="dxa"/>
          </w:tblCellMar>
        </w:tblPrEx>
        <w:trPr>
          <w:trHeight w:val="6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169</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滁马</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釜山</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after="18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东区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外包</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服务区升级改造期间临时仓库</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92.60 </w:t>
            </w:r>
          </w:p>
        </w:tc>
      </w:tr>
      <w:tr>
        <w:tblPrEx>
          <w:tblCellMar>
            <w:top w:w="0" w:type="dxa"/>
            <w:left w:w="108" w:type="dxa"/>
            <w:bottom w:w="0" w:type="dxa"/>
            <w:right w:w="108" w:type="dxa"/>
          </w:tblCellMar>
        </w:tblPrEx>
        <w:trPr>
          <w:trHeight w:val="45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170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滁马</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釜山</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西区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外包</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服务区升级改造期间临时仓库</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92.60 </w:t>
            </w:r>
          </w:p>
        </w:tc>
      </w:tr>
      <w:tr>
        <w:tblPrEx>
          <w:tblCellMar>
            <w:top w:w="0" w:type="dxa"/>
            <w:left w:w="108" w:type="dxa"/>
            <w:bottom w:w="0" w:type="dxa"/>
            <w:right w:w="108" w:type="dxa"/>
          </w:tblCellMar>
        </w:tblPrEx>
        <w:trPr>
          <w:trHeight w:val="6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171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滁马</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釜山</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after="18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东区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外包</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服务区升级改造期间，施工方临时厕所</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82.60 </w:t>
            </w:r>
          </w:p>
        </w:tc>
      </w:tr>
      <w:tr>
        <w:tblPrEx>
          <w:tblCellMar>
            <w:top w:w="0" w:type="dxa"/>
            <w:left w:w="108" w:type="dxa"/>
            <w:bottom w:w="0" w:type="dxa"/>
            <w:right w:w="108" w:type="dxa"/>
          </w:tblCellMar>
        </w:tblPrEx>
        <w:trPr>
          <w:trHeight w:val="6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172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滁马</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釜山</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after="18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东区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外包</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服务区升级改造期间，施工方临时库房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37.45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173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滁马</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太白</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西区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便利店仓库</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604.20 </w:t>
            </w:r>
          </w:p>
        </w:tc>
      </w:tr>
      <w:tr>
        <w:tblPrEx>
          <w:tblCellMar>
            <w:top w:w="0" w:type="dxa"/>
            <w:left w:w="108" w:type="dxa"/>
            <w:bottom w:w="0" w:type="dxa"/>
            <w:right w:w="108" w:type="dxa"/>
          </w:tblCellMar>
        </w:tblPrEx>
        <w:trPr>
          <w:trHeight w:val="45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174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滁马</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清溪</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污水站设备房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42.40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175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六安</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茶庵</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西区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油污分离设备房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28.50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176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六安</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茶庵</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东区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油污分离设备房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28.50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177</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六安</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河口</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东区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污水隔油设备间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40.73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178</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六安</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河口</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西区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污水隔油设备间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40.73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179</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六安</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芍陂</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西区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油污分离设备房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28.50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180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六安</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芍陂</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东区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油污分离设备房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28.50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181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六安</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天堂寨</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东区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废弃临时公厕</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82.00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182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六安</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徐集</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东区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污水处理设备房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115.00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183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六安</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徐集</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西区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污水处理设备房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115.00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184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六安</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天堂寨</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废弃临时公厕</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74.80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185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六安</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天堂寨</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油污分离房子</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26.60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186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六安</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天堂寨</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油污分离房子</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26.60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187</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六安</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西桥</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隔油池</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28.84 </w:t>
            </w:r>
          </w:p>
        </w:tc>
      </w:tr>
      <w:tr>
        <w:tblPrEx>
          <w:tblCellMar>
            <w:top w:w="0" w:type="dxa"/>
            <w:left w:w="108" w:type="dxa"/>
            <w:bottom w:w="0" w:type="dxa"/>
            <w:right w:w="108" w:type="dxa"/>
          </w:tblCellMar>
        </w:tblPrEx>
        <w:trPr>
          <w:trHeight w:val="45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188</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安庆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白帽</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隔油池油污处理设备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35.83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189</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安庆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白帽</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新式污水处理设备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48.69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190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安庆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白帽</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老式污水处理设备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66.70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191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安庆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白帽</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老式污水处理设备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62.20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192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安庆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白帽</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老式污水处理设备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62.20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193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安庆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白帽</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新式污水处理设备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48.69 </w:t>
            </w:r>
          </w:p>
        </w:tc>
      </w:tr>
      <w:tr>
        <w:tblPrEx>
          <w:tblCellMar>
            <w:top w:w="0" w:type="dxa"/>
            <w:left w:w="108" w:type="dxa"/>
            <w:bottom w:w="0" w:type="dxa"/>
            <w:right w:w="108" w:type="dxa"/>
          </w:tblCellMar>
        </w:tblPrEx>
        <w:trPr>
          <w:trHeight w:val="45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194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安庆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白帽</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隔油池油污处理设备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35.83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195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安庆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大龙山</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东区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临时公厕</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82.00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196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安庆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大龙山</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西区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临时公厕</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82.00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197</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安庆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公岭</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外包</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北区租赁仓库</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160.80 </w:t>
            </w:r>
          </w:p>
        </w:tc>
      </w:tr>
      <w:tr>
        <w:tblPrEx>
          <w:tblCellMar>
            <w:top w:w="0" w:type="dxa"/>
            <w:left w:w="108" w:type="dxa"/>
            <w:bottom w:w="0" w:type="dxa"/>
            <w:right w:w="108" w:type="dxa"/>
          </w:tblCellMar>
        </w:tblPrEx>
        <w:trPr>
          <w:trHeight w:val="45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198</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安庆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公岭</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北区室外变压器配电室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57.64 </w:t>
            </w:r>
          </w:p>
        </w:tc>
      </w:tr>
      <w:tr>
        <w:tblPrEx>
          <w:tblCellMar>
            <w:top w:w="0" w:type="dxa"/>
            <w:left w:w="108" w:type="dxa"/>
            <w:bottom w:w="0" w:type="dxa"/>
            <w:right w:w="108" w:type="dxa"/>
          </w:tblCellMar>
        </w:tblPrEx>
        <w:trPr>
          <w:trHeight w:val="45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199</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安庆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公岭</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南区室外变压器配电室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57.64 </w:t>
            </w:r>
          </w:p>
        </w:tc>
      </w:tr>
      <w:tr>
        <w:tblPrEx>
          <w:tblCellMar>
            <w:top w:w="0" w:type="dxa"/>
            <w:left w:w="108" w:type="dxa"/>
            <w:bottom w:w="0" w:type="dxa"/>
            <w:right w:w="108" w:type="dxa"/>
          </w:tblCellMar>
        </w:tblPrEx>
        <w:trPr>
          <w:trHeight w:val="6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安庆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公岭</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外包</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北区室外变压器配电室（充电桩变压器）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6.08 </w:t>
            </w:r>
          </w:p>
        </w:tc>
      </w:tr>
      <w:tr>
        <w:tblPrEx>
          <w:tblCellMar>
            <w:top w:w="0" w:type="dxa"/>
            <w:left w:w="108" w:type="dxa"/>
            <w:bottom w:w="0" w:type="dxa"/>
            <w:right w:w="108" w:type="dxa"/>
          </w:tblCellMar>
        </w:tblPrEx>
        <w:trPr>
          <w:trHeight w:val="6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安庆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公岭</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外包</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南区室外变压器配电室（充电桩变压器）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57.64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安庆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雷埠</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东区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污水隔油设备房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36.00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安庆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雷埠</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西区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污水隔油设备房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36.00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安庆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雷埠</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东区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污水处理站</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67.56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安庆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雷埠</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西区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污水处理站</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67.56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安庆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潜山</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西区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临时公厕</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82.00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207</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安庆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太湖</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老式办公住宿板房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243.04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208</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安庆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太湖</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老式办公住宿板房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340.96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209</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安庆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天柱山</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东区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外包</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污水站控制房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45.75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210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安庆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王河</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管理处</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污水隔油设备房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34.80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211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安庆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王河</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管理处</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污水隔油设备房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37.14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212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安庆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王河</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管理处</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污水处理设备房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43.78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213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安庆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王河</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管理处</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污水处理设备房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43.78 </w:t>
            </w:r>
          </w:p>
        </w:tc>
      </w:tr>
      <w:tr>
        <w:tblPrEx>
          <w:tblCellMar>
            <w:top w:w="0" w:type="dxa"/>
            <w:left w:w="108" w:type="dxa"/>
            <w:bottom w:w="0" w:type="dxa"/>
            <w:right w:w="108" w:type="dxa"/>
          </w:tblCellMar>
        </w:tblPrEx>
        <w:trPr>
          <w:trHeight w:val="45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214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安庆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王河</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管理处</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老式污水处理设备房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51.24 </w:t>
            </w:r>
          </w:p>
        </w:tc>
      </w:tr>
      <w:tr>
        <w:tblPrEx>
          <w:tblCellMar>
            <w:top w:w="0" w:type="dxa"/>
            <w:left w:w="108" w:type="dxa"/>
            <w:bottom w:w="0" w:type="dxa"/>
            <w:right w:w="108" w:type="dxa"/>
          </w:tblCellMar>
        </w:tblPrEx>
        <w:trPr>
          <w:trHeight w:val="6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215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安庆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王河</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管理处</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堆放服务区应急物资和管理处废旧资产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396.56 </w:t>
            </w:r>
          </w:p>
        </w:tc>
      </w:tr>
      <w:tr>
        <w:tblPrEx>
          <w:tblCellMar>
            <w:top w:w="0" w:type="dxa"/>
            <w:left w:w="108" w:type="dxa"/>
            <w:bottom w:w="0" w:type="dxa"/>
            <w:right w:w="108" w:type="dxa"/>
          </w:tblCellMar>
        </w:tblPrEx>
        <w:trPr>
          <w:trHeight w:val="6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216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安庆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王河</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管理处</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堆放服务区应急物资和管理处废旧资产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225.45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217</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安庆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香铺</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东区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外包</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隔油池处理设备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40.07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218</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安庆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香铺</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东区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污水处理设备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49.69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219</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安庆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香铺</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东区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中水回收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45.44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220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安庆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香铺</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西区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外包</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隔油池处理设备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40.07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221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安庆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香铺</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西区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中水回收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45.44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222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安庆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香铺</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西区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污水处理设备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49.69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223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芜湖</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仓头</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油水分离处理设备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37.00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224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芜湖</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仓头</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油水分离处理设备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37.00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225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芜湖</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寒亭</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污水设备房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45.26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226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芜湖</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寒亭</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污水设备房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45.26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227</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芜湖</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郎溪</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东区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新式污水处理设备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66.72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228</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芜湖</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郎溪</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东区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隔油处理设备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32.05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229</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芜湖</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郎溪</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西区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新式污水处理设备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66.72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230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芜湖</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郎溪</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西区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隔油处理设备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32.05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231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芜湖</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南陵</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污水隔油设备间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42.74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232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芜湖</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南陵</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污水隔油设备间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42.74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233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芜湖</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南陵家发</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东区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污水处理设备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62.00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234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芜湖</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南陵家发</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西区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污水处理设备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62.00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235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芜湖</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南漪湖</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东区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杂物房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47.46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236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芜湖</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南漪湖</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东区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污水处理设备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53.74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237</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芜湖</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南漪湖</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东区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污水处理设备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46.48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238</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芜湖</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南漪湖</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西区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污水处理设备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53.74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239</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芜湖</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南漪湖</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西区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污水处理设备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46.48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240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芜湖</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石涧</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新式污水处理设备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40.43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241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芜湖</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石涧</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新式污水处理设备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40.43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242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芜湖</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新竹</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东区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污水处理设备房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36.25 </w:t>
            </w:r>
          </w:p>
        </w:tc>
      </w:tr>
      <w:tr>
        <w:tblPrEx>
          <w:tblCellMar>
            <w:top w:w="0" w:type="dxa"/>
            <w:left w:w="108" w:type="dxa"/>
            <w:bottom w:w="0" w:type="dxa"/>
            <w:right w:w="108" w:type="dxa"/>
          </w:tblCellMar>
        </w:tblPrEx>
        <w:trPr>
          <w:trHeight w:val="45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243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芜湖</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月湾</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厨房油水分离器设备房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39.67 </w:t>
            </w:r>
          </w:p>
        </w:tc>
      </w:tr>
      <w:tr>
        <w:tblPrEx>
          <w:tblCellMar>
            <w:top w:w="0" w:type="dxa"/>
            <w:left w:w="108" w:type="dxa"/>
            <w:bottom w:w="0" w:type="dxa"/>
            <w:right w:w="108" w:type="dxa"/>
          </w:tblCellMar>
        </w:tblPrEx>
        <w:trPr>
          <w:trHeight w:val="45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244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芜湖</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月湾</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厨房油水分离器设备房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36.80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245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芜湖</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广德</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物管废品仓库</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215.30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246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芜湖</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广德</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物管废品仓库</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215.30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247</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芜湖</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广德</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物管废品仓库</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130.88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248</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芜湖</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广德</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物管废品仓库</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130.88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249</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芜湖</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广德</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外包</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粽子店临时仓库</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80.20 </w:t>
            </w:r>
          </w:p>
        </w:tc>
      </w:tr>
      <w:tr>
        <w:tblPrEx>
          <w:tblCellMar>
            <w:top w:w="0" w:type="dxa"/>
            <w:left w:w="108" w:type="dxa"/>
            <w:bottom w:w="0" w:type="dxa"/>
            <w:right w:w="108" w:type="dxa"/>
          </w:tblCellMar>
        </w:tblPrEx>
        <w:trPr>
          <w:trHeight w:val="45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250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芜湖</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广德</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外包</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中盛驿厨小吃临时仓库</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80.20 </w:t>
            </w:r>
          </w:p>
        </w:tc>
      </w:tr>
      <w:tr>
        <w:tblPrEx>
          <w:tblCellMar>
            <w:top w:w="0" w:type="dxa"/>
            <w:left w:w="108" w:type="dxa"/>
            <w:bottom w:w="0" w:type="dxa"/>
            <w:right w:w="108" w:type="dxa"/>
          </w:tblCellMar>
        </w:tblPrEx>
        <w:trPr>
          <w:trHeight w:val="45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251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芜湖</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广德</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外包</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中盛驿厨小吃临时仓库</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80.20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252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芜湖</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广德</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垃圾房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166.40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253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芜湖</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广德</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垃圾房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166.40 </w:t>
            </w: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合计：</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18"/>
                <w:szCs w:val="18"/>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18"/>
                <w:szCs w:val="18"/>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18"/>
                <w:szCs w:val="18"/>
              </w:rPr>
            </w:pP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 xml:space="preserve">18251.26 </w:t>
            </w:r>
          </w:p>
        </w:tc>
      </w:tr>
    </w:tbl>
    <w:p>
      <w:pPr>
        <w:pStyle w:val="4"/>
        <w:numPr>
          <w:ilvl w:val="0"/>
          <w:numId w:val="0"/>
        </w:numPr>
        <w:snapToGrid w:val="0"/>
        <w:spacing w:before="120" w:after="120" w:line="240" w:lineRule="auto"/>
        <w:rPr>
          <w:rFonts w:hAnsi="宋体" w:cs="宋体"/>
          <w:sz w:val="21"/>
          <w:szCs w:val="21"/>
        </w:rPr>
      </w:pPr>
    </w:p>
    <w:p>
      <w:pPr>
        <w:snapToGrid w:val="0"/>
        <w:spacing w:line="360" w:lineRule="auto"/>
        <w:jc w:val="left"/>
        <w:rPr>
          <w:rFonts w:ascii="宋体" w:hAnsi="宋体" w:cs="宋体"/>
          <w:color w:val="000000"/>
          <w:szCs w:val="21"/>
        </w:rPr>
      </w:pPr>
    </w:p>
    <w:p>
      <w:pPr>
        <w:pStyle w:val="3"/>
        <w:numPr>
          <w:ilvl w:val="0"/>
          <w:numId w:val="0"/>
        </w:numPr>
        <w:spacing w:before="312" w:after="312"/>
        <w:ind w:left="402"/>
        <w:rPr>
          <w:rFonts w:hint="eastAsia" w:ascii="Times New Roman" w:hAnsi="Times New Roman" w:eastAsia="宋体"/>
          <w:color w:val="000000"/>
        </w:rPr>
      </w:pPr>
      <w:r>
        <w:rPr>
          <w:rFonts w:hint="eastAsia" w:ascii="Times New Roman" w:hAnsi="Times New Roman" w:eastAsia="宋体"/>
          <w:color w:val="000000"/>
        </w:rPr>
        <w:br w:type="page"/>
      </w:r>
    </w:p>
    <w:tbl>
      <w:tblPr>
        <w:tblStyle w:val="14"/>
        <w:tblW w:w="8445" w:type="dxa"/>
        <w:tblInd w:w="93" w:type="dxa"/>
        <w:tblLayout w:type="autofit"/>
        <w:tblCellMar>
          <w:top w:w="0" w:type="dxa"/>
          <w:left w:w="108" w:type="dxa"/>
          <w:bottom w:w="0" w:type="dxa"/>
          <w:right w:w="108" w:type="dxa"/>
        </w:tblCellMar>
      </w:tblPr>
      <w:tblGrid>
        <w:gridCol w:w="615"/>
        <w:gridCol w:w="1200"/>
        <w:gridCol w:w="1185"/>
        <w:gridCol w:w="1155"/>
        <w:gridCol w:w="975"/>
        <w:gridCol w:w="1905"/>
        <w:gridCol w:w="1410"/>
      </w:tblGrid>
      <w:tr>
        <w:tblPrEx>
          <w:tblCellMar>
            <w:top w:w="0" w:type="dxa"/>
            <w:left w:w="108" w:type="dxa"/>
            <w:bottom w:w="0" w:type="dxa"/>
            <w:right w:w="108" w:type="dxa"/>
          </w:tblCellMar>
        </w:tblPrEx>
        <w:trPr>
          <w:trHeight w:val="705" w:hRule="atLeast"/>
        </w:trPr>
        <w:tc>
          <w:tcPr>
            <w:tcW w:w="844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服务区临建统计情况一览表（仅屋面）</w:t>
            </w:r>
          </w:p>
        </w:tc>
      </w:tr>
      <w:tr>
        <w:tblPrEx>
          <w:tblCellMar>
            <w:top w:w="0" w:type="dxa"/>
            <w:left w:w="108" w:type="dxa"/>
            <w:bottom w:w="0" w:type="dxa"/>
            <w:right w:w="108" w:type="dxa"/>
          </w:tblCellMar>
        </w:tblPrEx>
        <w:trPr>
          <w:trHeight w:val="11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序号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片区</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服务区</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位置（东/西、南/北）</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产权（自有/外包）</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用途</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更换面积</w:t>
            </w:r>
          </w:p>
        </w:tc>
      </w:tr>
      <w:tr>
        <w:tblPrEx>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池州</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牛头山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二楼平台防水</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40.00 </w:t>
            </w:r>
          </w:p>
        </w:tc>
      </w:tr>
      <w:tr>
        <w:tblPrEx>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池州</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牛头山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二楼平台防水</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40.00 </w:t>
            </w:r>
          </w:p>
        </w:tc>
      </w:tr>
      <w:tr>
        <w:tblPrEx>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池州</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升金湖</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东区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原餐厅燃料顶棚</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7.50 </w:t>
            </w:r>
          </w:p>
        </w:tc>
      </w:tr>
      <w:tr>
        <w:tblPrEx>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池州</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升金湖</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西区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原餐厅燃料顶棚</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11.50 </w:t>
            </w:r>
          </w:p>
        </w:tc>
      </w:tr>
      <w:tr>
        <w:tblPrEx>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池州</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升金湖</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东区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保洁室顶部</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28.00 </w:t>
            </w:r>
          </w:p>
        </w:tc>
      </w:tr>
      <w:tr>
        <w:tblPrEx>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池州</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升金湖</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西区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保洁室顶部</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28.00 </w:t>
            </w:r>
          </w:p>
        </w:tc>
      </w:tr>
      <w:tr>
        <w:tblPrEx>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池州</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顺安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阳台彩钢瓦夹芯</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252.00 </w:t>
            </w:r>
          </w:p>
        </w:tc>
      </w:tr>
      <w:tr>
        <w:tblPrEx>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池州</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顺安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阳台彩钢瓦夹芯</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280.00 </w:t>
            </w:r>
          </w:p>
        </w:tc>
      </w:tr>
      <w:tr>
        <w:tblPrEx>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合肥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周潭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商铺顶棚</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46.25 </w:t>
            </w:r>
          </w:p>
        </w:tc>
      </w:tr>
      <w:tr>
        <w:tblPrEx>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合肥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周潭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商铺顶棚</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43.75 </w:t>
            </w:r>
          </w:p>
        </w:tc>
      </w:tr>
      <w:tr>
        <w:tblPrEx>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淮阜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焦岗湖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便利店</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234.00 </w:t>
            </w:r>
          </w:p>
        </w:tc>
      </w:tr>
      <w:tr>
        <w:tblPrEx>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淮阜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焦岗湖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便利店</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276.00 </w:t>
            </w:r>
          </w:p>
        </w:tc>
      </w:tr>
      <w:tr>
        <w:tblPrEx>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淮阜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颍上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便利店屋面</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170.40 </w:t>
            </w:r>
          </w:p>
        </w:tc>
      </w:tr>
      <w:tr>
        <w:tblPrEx>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淮阜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颍上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洗手池屋面</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199.95 </w:t>
            </w:r>
          </w:p>
        </w:tc>
      </w:tr>
      <w:tr>
        <w:tblPrEx>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淮阜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颍上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便利店屋面</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170.40 </w:t>
            </w:r>
          </w:p>
        </w:tc>
      </w:tr>
      <w:tr>
        <w:tblPrEx>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淮阜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颍上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洗手池屋面</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199.95 </w:t>
            </w:r>
          </w:p>
        </w:tc>
      </w:tr>
      <w:tr>
        <w:tblPrEx>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淮阜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官塘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大厅正中心屋顶</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228.00 </w:t>
            </w:r>
          </w:p>
        </w:tc>
      </w:tr>
      <w:tr>
        <w:tblPrEx>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淮阜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官塘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大厅正中心屋顶</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228.00 </w:t>
            </w:r>
          </w:p>
        </w:tc>
      </w:tr>
      <w:tr>
        <w:tblPrEx>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界阜蚌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吕望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便利店、餐厅仓库顶棚</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500.00 </w:t>
            </w:r>
          </w:p>
        </w:tc>
      </w:tr>
      <w:tr>
        <w:tblPrEx>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界阜蚌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吕望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便利店、餐厅仓库顶棚</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500.00 </w:t>
            </w:r>
          </w:p>
        </w:tc>
      </w:tr>
      <w:tr>
        <w:tblPrEx>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滁马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太白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西区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便利店房顶</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348.60 </w:t>
            </w:r>
          </w:p>
        </w:tc>
      </w:tr>
      <w:tr>
        <w:tblPrEx>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滁马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太白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西区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走道</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210.00 </w:t>
            </w:r>
          </w:p>
        </w:tc>
      </w:tr>
      <w:tr>
        <w:tblPrEx>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滁马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太白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西区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房顶</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15.00 </w:t>
            </w:r>
          </w:p>
        </w:tc>
      </w:tr>
      <w:tr>
        <w:tblPrEx>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滁马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太白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东区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房顶</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207.60 </w:t>
            </w:r>
          </w:p>
        </w:tc>
      </w:tr>
      <w:tr>
        <w:tblPrEx>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滁马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太白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东区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走道</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100.00 </w:t>
            </w:r>
          </w:p>
        </w:tc>
      </w:tr>
      <w:tr>
        <w:tblPrEx>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安庆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公岭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北区大厅顶棚</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45.00 </w:t>
            </w:r>
          </w:p>
        </w:tc>
      </w:tr>
      <w:tr>
        <w:tblPrEx>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安庆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公岭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南区大厅顶棚</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45.00 </w:t>
            </w:r>
          </w:p>
        </w:tc>
      </w:tr>
      <w:tr>
        <w:tblPrEx>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安庆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公岭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北区便利店屋面</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150.00 </w:t>
            </w:r>
          </w:p>
        </w:tc>
      </w:tr>
      <w:tr>
        <w:tblPrEx>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安庆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公岭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南区便利店屋面</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150.00 </w:t>
            </w:r>
          </w:p>
        </w:tc>
      </w:tr>
      <w:tr>
        <w:tblPrEx>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芜湖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广德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公厕屋面</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187.775</w:t>
            </w:r>
          </w:p>
        </w:tc>
      </w:tr>
      <w:tr>
        <w:tblPrEx>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芜湖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广德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便利店仓库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屋面</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81.84</w:t>
            </w:r>
          </w:p>
        </w:tc>
      </w:tr>
      <w:tr>
        <w:tblPrEx>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芜湖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广德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便利店仓库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屋面</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81.84</w:t>
            </w:r>
          </w:p>
        </w:tc>
      </w:tr>
      <w:tr>
        <w:tblPrEx>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芜湖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广德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餐厅后堂屋面</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346.11</w:t>
            </w:r>
          </w:p>
        </w:tc>
      </w:tr>
      <w:tr>
        <w:tblPrEx>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芜湖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广德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餐厅后堂屋面</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346.11</w:t>
            </w:r>
          </w:p>
        </w:tc>
      </w:tr>
      <w:tr>
        <w:tblPrEx>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芜湖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广德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公厕屋面</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261.08</w:t>
            </w:r>
          </w:p>
        </w:tc>
      </w:tr>
      <w:tr>
        <w:tblPrEx>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18"/>
                <w:szCs w:val="18"/>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cs="宋体"/>
                <w:color w:val="000000"/>
                <w:sz w:val="18"/>
                <w:szCs w:val="18"/>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 xml:space="preserve">6059.66 </w:t>
            </w:r>
          </w:p>
        </w:tc>
      </w:tr>
    </w:tbl>
    <w:p>
      <w:pPr>
        <w:pStyle w:val="3"/>
        <w:numPr>
          <w:ilvl w:val="0"/>
          <w:numId w:val="0"/>
        </w:numPr>
        <w:spacing w:before="312" w:after="312"/>
        <w:ind w:left="402"/>
        <w:rPr>
          <w:rFonts w:hint="eastAsia" w:ascii="Times New Roman" w:hAnsi="Times New Roman" w:eastAsia="宋体"/>
          <w:color w:val="000000"/>
        </w:rPr>
      </w:pPr>
      <w:r>
        <w:rPr>
          <w:rFonts w:hint="eastAsia" w:ascii="Times New Roman" w:hAnsi="Times New Roman" w:eastAsia="宋体"/>
          <w:color w:val="000000"/>
        </w:rPr>
        <w:br w:type="page"/>
      </w:r>
    </w:p>
    <w:tbl>
      <w:tblPr>
        <w:tblStyle w:val="14"/>
        <w:tblW w:w="8415" w:type="dxa"/>
        <w:tblInd w:w="93" w:type="dxa"/>
        <w:tblLayout w:type="autofit"/>
        <w:tblCellMar>
          <w:top w:w="0" w:type="dxa"/>
          <w:left w:w="108" w:type="dxa"/>
          <w:bottom w:w="0" w:type="dxa"/>
          <w:right w:w="108" w:type="dxa"/>
        </w:tblCellMar>
      </w:tblPr>
      <w:tblGrid>
        <w:gridCol w:w="1080"/>
        <w:gridCol w:w="1080"/>
        <w:gridCol w:w="1080"/>
        <w:gridCol w:w="1080"/>
        <w:gridCol w:w="1080"/>
        <w:gridCol w:w="1770"/>
        <w:gridCol w:w="1245"/>
      </w:tblGrid>
      <w:tr>
        <w:trPr>
          <w:trHeight w:val="660" w:hRule="atLeast"/>
        </w:trPr>
        <w:tc>
          <w:tcPr>
            <w:tcW w:w="841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服务区临建统计情况一览表（拆除后无需恢复）</w:t>
            </w:r>
          </w:p>
        </w:tc>
      </w:tr>
      <w:tr>
        <w:tblPrEx>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片区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服务区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位置（东/西、南/北）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产权（自有/外包）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用途</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展开面积</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池州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花园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东区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临时公厕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82.00 </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池州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花园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西区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临时公厕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82.00 </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黄山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金沙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东区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老式污水处理设备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47.82 </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黄山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金沙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西区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老式污水处理设备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47.82 </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黄山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宁国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东区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老式污水设备房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47.00 </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黄山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宁国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西区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老式污水设备房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47.52 </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黄山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呈坎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东区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原污水处理设备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32.00 </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宿州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皇藏峪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东区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老污水设备房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37.70 </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宿州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皇藏峪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西区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老污水设备房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37.70 </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合肥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新桥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老式污水处理设备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70.84 </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合肥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新桥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老式污水处理设备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70.84 </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合肥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肥东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外包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竹木藤店仓库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336.00 </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合肥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肥东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外包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烤熟店仓库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139.76 </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合肥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肥东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外包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煎太太仓库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120.60 </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合肥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肥东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隔油池设备房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32.85 </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合肥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肥东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中水回收设备房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41.16 </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合肥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肥东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中水回收设备房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40.22 </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合肥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肥东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隔油池设备房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33.33 </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淮阜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焦岗湖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废弃保安亭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53.88 </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淮阜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焦岗湖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废弃保安亭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53.88 </w:t>
            </w:r>
          </w:p>
        </w:tc>
      </w:tr>
      <w:tr>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淮阜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焦岗湖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废弃污水处理设备配电房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52.00 </w:t>
            </w:r>
          </w:p>
        </w:tc>
      </w:tr>
      <w:tr>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淮阜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焦岗湖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废弃污水处理设备配电房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52.00 </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淮阜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焦岗湖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保洁休息室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45.75 </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淮阜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焦岗湖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保洁休息室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45.75 </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淮阜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颍上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旧疏导岗亭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39.40 </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淮阜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颍上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旧疏导岗亭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39.40 </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淮阜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颍上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旧污水站配电房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52.55 </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淮阜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颍上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旧垃圾房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51.15 </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淮阜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官塘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外包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绘驿香店临时仓库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61.12 </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界阜蚌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辛集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东区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闲置污水处理电器房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25.00 </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界阜蚌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吕望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老污水处理站控制房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41.40 </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界阜蚌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吕望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老污水处理站控制房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41.40 </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界阜蚌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长春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东区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老式污水处理设备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27.40 </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界阜蚌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长春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西区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老式污水处理设备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27.40 </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六安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茶庵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西区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油污分离设备房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28.50 </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六安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茶庵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东区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油污分离设备房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28.50 </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六安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芍陂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西区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油污分离设备房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28.50 </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六安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芍陂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东区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油污分离设备房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28.50 </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六安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天堂寨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东区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废弃临时公厕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82.00 </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六安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天堂寨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废弃临时公厕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74.80 </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安庆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潜山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西区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临时公厕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82.00 </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安庆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潜山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西区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临时公厕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82.00 </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安庆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王河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管理处</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老式污水处理设备房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51.24 </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安庆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香铺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东区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中水回收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45.44 </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安庆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香铺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西区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中水回收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45.44 </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芜湖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南漪湖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东区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自有</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杂物房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47.46 </w:t>
            </w:r>
          </w:p>
        </w:tc>
      </w:tr>
      <w:tr>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芜湖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新竹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东区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外包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外包单位库房（炸鸡星球）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77.85 </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芜湖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新竹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西区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外包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外包单位库房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82.80 </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芜湖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新竹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西区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外包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交警废弃警务室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161.00 </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 xml:space="preserve">3002.68 </w:t>
            </w:r>
          </w:p>
        </w:tc>
      </w:tr>
    </w:tbl>
    <w:p>
      <w:pPr>
        <w:pStyle w:val="2"/>
      </w:pPr>
    </w:p>
    <w:p/>
    <w:p/>
    <w:p/>
    <w:p/>
    <w:p/>
    <w:p/>
    <w:p/>
    <w:p/>
    <w:p/>
    <w:p/>
    <w:p/>
    <w:p/>
    <w:p/>
    <w:p/>
    <w:p/>
    <w:p/>
    <w:p/>
    <w:p/>
    <w:p/>
    <w:p/>
    <w:p/>
    <w:p/>
    <w:p/>
    <w:p/>
    <w:p/>
    <w:p/>
    <w:p/>
    <w:p/>
    <w:p/>
    <w:p>
      <w:pPr>
        <w:pStyle w:val="3"/>
        <w:spacing w:before="312" w:after="312"/>
      </w:pPr>
      <w:bookmarkStart w:id="56" w:name="_Toc17685_WPSOffice_Level1"/>
      <w:r>
        <w:t>响应文件格式</w:t>
      </w:r>
      <w:bookmarkEnd w:id="56"/>
    </w:p>
    <w:p>
      <w:pPr>
        <w:rPr>
          <w:rFonts w:ascii="Times New Roman" w:hAnsi="Times New Roman" w:eastAsia="黑体" w:cs="Times New Roman"/>
          <w:szCs w:val="21"/>
        </w:rPr>
      </w:pPr>
      <w:r>
        <w:rPr>
          <w:rFonts w:ascii="Times New Roman" w:hAnsi="Times New Roman" w:eastAsia="黑体" w:cs="Times New Roman"/>
          <w:szCs w:val="21"/>
        </w:rPr>
        <w:br w:type="page"/>
      </w:r>
    </w:p>
    <w:p>
      <w:pPr>
        <w:spacing w:line="440" w:lineRule="exact"/>
        <w:rPr>
          <w:rFonts w:ascii="Times New Roman" w:hAnsi="Times New Roman" w:eastAsia="黑体" w:cs="Times New Roman"/>
          <w:szCs w:val="21"/>
        </w:rPr>
      </w:pPr>
    </w:p>
    <w:p>
      <w:pPr>
        <w:spacing w:line="440" w:lineRule="exact"/>
        <w:rPr>
          <w:rFonts w:ascii="Times New Roman" w:hAnsi="Times New Roman" w:eastAsia="黑体" w:cs="Times New Roman"/>
          <w:szCs w:val="21"/>
        </w:rPr>
      </w:pPr>
    </w:p>
    <w:p>
      <w:pPr>
        <w:spacing w:line="440" w:lineRule="exact"/>
        <w:rPr>
          <w:rFonts w:ascii="Times New Roman" w:hAnsi="Times New Roman" w:eastAsia="黑体" w:cs="Times New Roman"/>
          <w:sz w:val="24"/>
        </w:rPr>
      </w:pPr>
      <w:r>
        <w:rPr>
          <w:rFonts w:ascii="Times New Roman" w:hAnsi="Times New Roman" w:eastAsia="黑体" w:cs="Times New Roman"/>
          <w:szCs w:val="21"/>
        </w:rPr>
        <w:t xml:space="preserve"> ______________________________</w:t>
      </w:r>
      <w:r>
        <w:rPr>
          <w:rFonts w:ascii="Times New Roman" w:hAnsi="Times New Roman" w:eastAsia="黑体" w:cs="Times New Roman"/>
          <w:sz w:val="28"/>
          <w:szCs w:val="28"/>
        </w:rPr>
        <w:t>(项目名称)</w:t>
      </w:r>
      <w:r>
        <w:rPr>
          <w:rFonts w:ascii="Times New Roman" w:hAnsi="Times New Roman" w:cs="Times New Roman"/>
          <w:sz w:val="28"/>
          <w:szCs w:val="28"/>
          <w:u w:val="single"/>
        </w:rPr>
        <w:t xml:space="preserve">     </w:t>
      </w:r>
      <w:r>
        <w:rPr>
          <w:rFonts w:ascii="Times New Roman" w:hAnsi="Times New Roman" w:eastAsia="黑体" w:cs="Times New Roman"/>
          <w:sz w:val="28"/>
          <w:szCs w:val="28"/>
        </w:rPr>
        <w:t>合同包询比</w:t>
      </w:r>
    </w:p>
    <w:p>
      <w:pPr>
        <w:spacing w:line="440" w:lineRule="exact"/>
        <w:rPr>
          <w:rFonts w:ascii="Times New Roman" w:hAnsi="Times New Roman" w:eastAsia="黑体" w:cs="Times New Roman"/>
          <w:sz w:val="20"/>
          <w:szCs w:val="20"/>
        </w:rPr>
      </w:pPr>
      <w:r>
        <w:rPr>
          <w:rFonts w:ascii="Times New Roman" w:hAnsi="Times New Roman" w:eastAsia="黑体" w:cs="Times New Roman"/>
          <w:sz w:val="20"/>
          <w:szCs w:val="20"/>
        </w:rPr>
        <w:t xml:space="preserve"> </w:t>
      </w:r>
    </w:p>
    <w:p>
      <w:pPr>
        <w:spacing w:line="440" w:lineRule="exact"/>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jc w:val="center"/>
        <w:rPr>
          <w:rFonts w:ascii="Times New Roman" w:hAnsi="Times New Roman" w:eastAsia="黑体" w:cs="Times New Roman"/>
          <w:sz w:val="50"/>
          <w:szCs w:val="50"/>
        </w:rPr>
      </w:pPr>
      <w:bookmarkStart w:id="57" w:name="_Toc32044_WPSOffice_Level1"/>
      <w:bookmarkStart w:id="58" w:name="_Toc1914_WPSOffice_Level1"/>
      <w:bookmarkStart w:id="59" w:name="_Toc10484_WPSOffice_Level1"/>
      <w:bookmarkStart w:id="60" w:name="_Toc17394_WPSOffice_Level1"/>
      <w:r>
        <w:rPr>
          <w:rFonts w:ascii="Times New Roman" w:hAnsi="Times New Roman" w:eastAsia="黑体" w:cs="Times New Roman"/>
          <w:sz w:val="50"/>
          <w:szCs w:val="50"/>
        </w:rPr>
        <w:t>响  应  文  件</w:t>
      </w:r>
      <w:bookmarkEnd w:id="57"/>
      <w:bookmarkEnd w:id="58"/>
      <w:bookmarkEnd w:id="59"/>
      <w:bookmarkEnd w:id="60"/>
    </w:p>
    <w:p>
      <w:pPr>
        <w:spacing w:line="440" w:lineRule="exact"/>
        <w:ind w:firstLine="3520" w:firstLineChars="1100"/>
        <w:rPr>
          <w:rFonts w:ascii="Times New Roman" w:hAnsi="Times New Roman" w:eastAsia="黑体" w:cs="Times New Roman"/>
          <w:sz w:val="32"/>
          <w:szCs w:val="32"/>
        </w:rPr>
      </w:pPr>
      <w:r>
        <w:rPr>
          <w:rFonts w:hint="eastAsia" w:ascii="Times New Roman" w:hAnsi="Times New Roman" w:eastAsia="黑体" w:cs="Times New Roman"/>
          <w:sz w:val="32"/>
          <w:szCs w:val="32"/>
        </w:rPr>
        <w:t>（报价文件）</w:t>
      </w: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jc w:val="center"/>
        <w:rPr>
          <w:rFonts w:ascii="Times New Roman" w:hAnsi="Times New Roman" w:eastAsia="黑体" w:cs="Times New Roman"/>
          <w:sz w:val="28"/>
          <w:szCs w:val="28"/>
        </w:rPr>
      </w:pPr>
      <w:bookmarkStart w:id="61" w:name="_Toc25232_WPSOffice_Level2"/>
      <w:bookmarkStart w:id="62" w:name="_Toc5520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(全称、盖单位章)</w:t>
      </w:r>
      <w:bookmarkEnd w:id="61"/>
      <w:bookmarkEnd w:id="62"/>
      <w:r>
        <w:rPr>
          <w:rFonts w:ascii="Times New Roman" w:hAnsi="Times New Roman" w:eastAsia="黑体" w:cs="Times New Roman"/>
          <w:sz w:val="28"/>
          <w:szCs w:val="28"/>
          <w:u w:val="single"/>
        </w:rPr>
        <w:t xml:space="preserve">           </w:t>
      </w:r>
    </w:p>
    <w:p>
      <w:pPr>
        <w:spacing w:line="440" w:lineRule="exact"/>
        <w:ind w:firstLine="2158" w:firstLineChars="771"/>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u w:val="single"/>
        </w:rPr>
        <w:t xml:space="preserve">          </w:t>
      </w:r>
      <w:bookmarkStart w:id="63" w:name="_Toc20076_WPSOffice_Level2"/>
      <w:bookmarkStart w:id="64" w:name="_Toc31577_WPSOffice_Level2"/>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bookmarkEnd w:id="63"/>
      <w:bookmarkEnd w:id="64"/>
    </w:p>
    <w:p>
      <w:pPr>
        <w:spacing w:line="440" w:lineRule="exact"/>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0"/>
          <w:szCs w:val="20"/>
        </w:rPr>
        <w:br w:type="page"/>
      </w:r>
      <w:bookmarkStart w:id="65" w:name="_Toc21974_WPSOffice_Level2"/>
      <w:bookmarkStart w:id="66" w:name="_Toc22351_WPSOffice_Level2"/>
      <w:r>
        <w:rPr>
          <w:rFonts w:ascii="Times New Roman" w:hAnsi="Times New Roman" w:eastAsia="黑体" w:cs="Times New Roman"/>
          <w:sz w:val="28"/>
          <w:szCs w:val="28"/>
        </w:rPr>
        <w:t>目     录</w:t>
      </w:r>
      <w:bookmarkEnd w:id="65"/>
      <w:bookmarkEnd w:id="66"/>
    </w:p>
    <w:p>
      <w:pPr>
        <w:spacing w:line="440" w:lineRule="exact"/>
        <w:rPr>
          <w:rFonts w:ascii="Times New Roman" w:hAnsi="Times New Roman" w:eastAsia="黑体" w:cs="Times New Roman"/>
          <w:sz w:val="20"/>
          <w:szCs w:val="20"/>
        </w:rPr>
      </w:pPr>
    </w:p>
    <w:p>
      <w:pPr>
        <w:spacing w:line="440" w:lineRule="exact"/>
        <w:ind w:left="1619" w:leftChars="771"/>
        <w:rPr>
          <w:rFonts w:ascii="Times New Roman" w:hAnsi="Times New Roman" w:eastAsia="黑体" w:cs="Times New Roman"/>
          <w:sz w:val="24"/>
        </w:rPr>
      </w:pPr>
      <w:bookmarkStart w:id="67" w:name="_Toc23368_WPSOffice_Level1"/>
      <w:bookmarkStart w:id="68" w:name="_Toc6353_WPSOffice_Level1"/>
      <w:bookmarkStart w:id="69" w:name="_Toc11424_WPSOffice_Level1"/>
      <w:bookmarkStart w:id="70" w:name="_Toc30529_WPSOffice_Level1"/>
      <w:bookmarkStart w:id="71" w:name="_Toc12670_WPSOffice_Level1"/>
      <w:r>
        <w:rPr>
          <w:rFonts w:ascii="Times New Roman" w:hAnsi="Times New Roman" w:eastAsia="黑体" w:cs="Times New Roman"/>
          <w:sz w:val="24"/>
        </w:rPr>
        <w:t>一、报价函</w:t>
      </w:r>
      <w:bookmarkEnd w:id="67"/>
      <w:bookmarkEnd w:id="68"/>
      <w:bookmarkEnd w:id="69"/>
      <w:bookmarkEnd w:id="70"/>
    </w:p>
    <w:p>
      <w:pPr>
        <w:spacing w:line="440" w:lineRule="exact"/>
        <w:ind w:left="1619" w:leftChars="771"/>
        <w:rPr>
          <w:rFonts w:ascii="Times New Roman" w:hAnsi="Times New Roman" w:eastAsia="黑体" w:cs="Times New Roman"/>
          <w:sz w:val="24"/>
        </w:rPr>
      </w:pPr>
      <w:bookmarkStart w:id="72" w:name="_Toc21229_WPSOffice_Level1"/>
      <w:bookmarkStart w:id="73" w:name="_Toc5317_WPSOffice_Level1"/>
      <w:bookmarkStart w:id="74" w:name="_Toc32729_WPSOffice_Level1"/>
      <w:bookmarkStart w:id="75" w:name="_Toc31927_WPSOffice_Level1"/>
      <w:r>
        <w:rPr>
          <w:rFonts w:ascii="Times New Roman" w:hAnsi="Times New Roman" w:eastAsia="黑体" w:cs="Times New Roman"/>
          <w:sz w:val="24"/>
        </w:rPr>
        <w:t>二、法定代表人身份证明及授权委托书</w:t>
      </w:r>
      <w:bookmarkEnd w:id="72"/>
      <w:bookmarkEnd w:id="73"/>
      <w:bookmarkEnd w:id="74"/>
      <w:bookmarkEnd w:id="75"/>
    </w:p>
    <w:p>
      <w:pPr>
        <w:spacing w:line="440" w:lineRule="exact"/>
        <w:ind w:left="1619" w:leftChars="771"/>
        <w:rPr>
          <w:rFonts w:hint="default" w:ascii="Times New Roman" w:hAnsi="Times New Roman" w:eastAsia="黑体" w:cs="Times New Roman"/>
          <w:sz w:val="24"/>
          <w:lang w:val="en-US" w:eastAsia="zh-CN"/>
        </w:rPr>
      </w:pPr>
      <w:r>
        <w:rPr>
          <w:rFonts w:hint="eastAsia" w:ascii="Times New Roman" w:hAnsi="Times New Roman" w:eastAsia="黑体" w:cs="Times New Roman"/>
          <w:sz w:val="24"/>
          <w:lang w:val="en-US" w:eastAsia="zh-CN"/>
        </w:rPr>
        <w:t>三</w:t>
      </w:r>
      <w:r>
        <w:rPr>
          <w:rFonts w:ascii="Times New Roman" w:hAnsi="Times New Roman" w:eastAsia="黑体" w:cs="Times New Roman"/>
          <w:sz w:val="24"/>
        </w:rPr>
        <w:t>、</w:t>
      </w:r>
      <w:r>
        <w:rPr>
          <w:rFonts w:hint="eastAsia" w:ascii="Times New Roman" w:hAnsi="Times New Roman" w:eastAsia="黑体" w:cs="Times New Roman"/>
          <w:sz w:val="24"/>
          <w:lang w:val="en-US" w:eastAsia="zh-CN"/>
        </w:rPr>
        <w:t>已标价工程量清单</w:t>
      </w:r>
    </w:p>
    <w:p>
      <w:pPr>
        <w:pStyle w:val="2"/>
      </w:pPr>
    </w:p>
    <w:bookmarkEnd w:id="71"/>
    <w:p>
      <w:pPr>
        <w:spacing w:line="440" w:lineRule="exact"/>
        <w:ind w:left="1619" w:leftChars="771"/>
        <w:rPr>
          <w:rFonts w:ascii="Times New Roman" w:hAnsi="Times New Roman" w:eastAsia="黑体" w:cs="Times New Roman"/>
          <w:sz w:val="24"/>
        </w:rPr>
      </w:pPr>
    </w:p>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0"/>
          <w:szCs w:val="20"/>
        </w:rPr>
        <w:br w:type="page"/>
      </w:r>
      <w:bookmarkStart w:id="76" w:name="_Toc3972_WPSOffice_Level1"/>
      <w:bookmarkStart w:id="77" w:name="_Toc1017_WPSOffice_Level1"/>
      <w:bookmarkStart w:id="78" w:name="_Toc1687_WPSOffice_Level1"/>
      <w:bookmarkStart w:id="79" w:name="_Toc2765_WPSOffice_Level1"/>
      <w:bookmarkStart w:id="80" w:name="_Toc18312_WPSOffice_Level1"/>
      <w:r>
        <w:rPr>
          <w:rFonts w:ascii="Times New Roman" w:hAnsi="Times New Roman" w:eastAsia="黑体" w:cs="Times New Roman"/>
          <w:sz w:val="28"/>
          <w:szCs w:val="28"/>
        </w:rPr>
        <w:t>一、报价函</w:t>
      </w:r>
      <w:bookmarkEnd w:id="76"/>
      <w:bookmarkEnd w:id="77"/>
      <w:bookmarkEnd w:id="78"/>
      <w:bookmarkEnd w:id="79"/>
      <w:bookmarkEnd w:id="80"/>
    </w:p>
    <w:p>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(采购人名称)：</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1．我方已仔细研究了</w:t>
      </w:r>
      <w:r>
        <w:rPr>
          <w:rFonts w:ascii="Times New Roman" w:hAnsi="Times New Roman" w:cs="Times New Roman"/>
          <w:sz w:val="24"/>
          <w:u w:val="single"/>
        </w:rPr>
        <w:t xml:space="preserve">      </w:t>
      </w:r>
      <w:r>
        <w:rPr>
          <w:rFonts w:ascii="Times New Roman" w:hAnsi="Times New Roman" w:cs="Times New Roman"/>
          <w:sz w:val="24"/>
        </w:rPr>
        <w:t>(项目名称)</w:t>
      </w:r>
      <w:r>
        <w:rPr>
          <w:rFonts w:ascii="Times New Roman" w:hAnsi="Times New Roman" w:cs="Times New Roman"/>
          <w:sz w:val="24"/>
          <w:u w:val="single"/>
        </w:rPr>
        <w:t xml:space="preserve">     </w:t>
      </w:r>
      <w:r>
        <w:rPr>
          <w:rFonts w:ascii="Times New Roman" w:hAnsi="Times New Roman" w:cs="Times New Roman"/>
          <w:sz w:val="24"/>
        </w:rPr>
        <w:t>合同包询比文件的全部内容(含补遗书第__号至第__号)，在考察工程现场后，</w:t>
      </w:r>
      <w:r>
        <w:rPr>
          <w:rFonts w:hint="default" w:ascii="Times New Roman" w:hAnsi="Times New Roman" w:cs="Times New Roman"/>
          <w:color w:val="auto"/>
          <w:sz w:val="24"/>
          <w:highlight w:val="none"/>
        </w:rPr>
        <w:t>愿意以人民币(大写)</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(小写：¥</w:t>
      </w:r>
      <w:r>
        <w:rPr>
          <w:rFonts w:hint="eastAsia" w:ascii="Times New Roman" w:hAnsi="Times New Roman" w:cs="Times New Roman"/>
          <w:color w:val="auto"/>
          <w:sz w:val="24"/>
          <w:highlight w:val="none"/>
          <w:lang w:val="en-US" w:eastAsia="zh-CN"/>
        </w:rPr>
        <w:t xml:space="preserve"> </w:t>
      </w:r>
      <w:r>
        <w:rPr>
          <w:rFonts w:hint="eastAsia"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rPr>
        <w:t>)的总报价</w:t>
      </w:r>
      <w:r>
        <w:rPr>
          <w:rFonts w:ascii="Times New Roman" w:hAnsi="Times New Roman" w:cs="Times New Roman"/>
          <w:sz w:val="24"/>
        </w:rPr>
        <w:t>，按合同约定实施和完成承包工程，修补工程中的任何缺陷，工程质量目标达到</w:t>
      </w:r>
      <w:r>
        <w:rPr>
          <w:rFonts w:ascii="Times New Roman" w:hAnsi="Times New Roman" w:cs="Times New Roman"/>
          <w:sz w:val="24"/>
          <w:u w:val="single"/>
        </w:rPr>
        <w:t xml:space="preserve">     </w:t>
      </w:r>
      <w:r>
        <w:rPr>
          <w:rFonts w:ascii="Times New Roman" w:hAnsi="Times New Roman" w:cs="Times New Roman"/>
          <w:sz w:val="24"/>
        </w:rPr>
        <w:t>。</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2．我方承诺在响应有效期内不修改、撤销响应文件。</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3．随同本报价函提交响应保证金一份，金额为人民币(大写)</w:t>
      </w:r>
      <w:r>
        <w:rPr>
          <w:rFonts w:ascii="Times New Roman" w:hAnsi="Times New Roman" w:cs="Times New Roman"/>
          <w:sz w:val="24"/>
          <w:u w:val="single"/>
        </w:rPr>
        <w:t xml:space="preserve">      </w:t>
      </w:r>
      <w:r>
        <w:rPr>
          <w:rFonts w:ascii="Times New Roman" w:hAnsi="Times New Roman" w:cs="Times New Roman"/>
          <w:sz w:val="24"/>
        </w:rPr>
        <w:t>元(¥</w:t>
      </w:r>
      <w:r>
        <w:rPr>
          <w:rFonts w:ascii="Times New Roman" w:hAnsi="Times New Roman" w:cs="Times New Roman"/>
          <w:sz w:val="24"/>
          <w:u w:val="single"/>
        </w:rPr>
        <w:t xml:space="preserve">      </w:t>
      </w:r>
      <w:r>
        <w:rPr>
          <w:rFonts w:ascii="Times New Roman" w:hAnsi="Times New Roman" w:cs="Times New Roman"/>
          <w:sz w:val="24"/>
        </w:rPr>
        <w:t xml:space="preserve"> )。</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4．如我方成交：</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(1)我方承诺在收到成交通知书后，在成交通知书规定的期限内与你方签订合同。</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(2)我方承诺按照询比文件规定向你方递交履约担保。</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(3)我方承诺在合同约定的期限内完成并移交全部合同工程。</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5．我方在此声明，所递交的响应文件及有关资料内容完整、真实和准确。</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6．在合同协议书正式签署生效之前，本报价函连同你方的成交通知书将构成我们双方之间共同遵守的文件，对双方具有约束力。</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7．我方理解，你方不一定</w:t>
      </w:r>
      <w:r>
        <w:rPr>
          <w:rFonts w:hint="eastAsia" w:ascii="Times New Roman" w:hAnsi="Times New Roman" w:cs="Times New Roman"/>
          <w:sz w:val="24"/>
        </w:rPr>
        <w:t>接受</w:t>
      </w:r>
      <w:r>
        <w:rPr>
          <w:rFonts w:ascii="Times New Roman" w:hAnsi="Times New Roman" w:cs="Times New Roman"/>
          <w:sz w:val="24"/>
        </w:rPr>
        <w:t>任何报价。同时也理解，你方不负担我方的任何报价费用。</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8.____________。</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法定代表人</w:t>
      </w:r>
      <w:r>
        <w:rPr>
          <w:rFonts w:hint="eastAsia" w:ascii="Times New Roman" w:hAnsi="Times New Roman" w:cs="Times New Roman"/>
          <w:sz w:val="24"/>
        </w:rPr>
        <w:t>或委托代理人</w:t>
      </w:r>
      <w:r>
        <w:rPr>
          <w:rFonts w:ascii="Times New Roman" w:hAnsi="Times New Roman" w:cs="Times New Roman"/>
          <w:sz w:val="24"/>
        </w:rPr>
        <w:t>：</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r>
        <w:rPr>
          <w:rFonts w:ascii="Times New Roman" w:hAnsi="Times New Roman" w:cs="Times New Roman"/>
          <w:sz w:val="24"/>
        </w:rPr>
        <w:t xml:space="preserve"> </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网址：</w:t>
      </w:r>
      <w:r>
        <w:rPr>
          <w:rFonts w:ascii="Times New Roman" w:hAnsi="Times New Roman" w:cs="Times New Roman"/>
          <w:sz w:val="24"/>
          <w:u w:val="single"/>
        </w:rPr>
        <w:t xml:space="preserve">                                     </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电话：</w:t>
      </w:r>
      <w:r>
        <w:rPr>
          <w:rFonts w:ascii="Times New Roman" w:hAnsi="Times New Roman" w:cs="Times New Roman"/>
          <w:sz w:val="24"/>
          <w:u w:val="single"/>
        </w:rPr>
        <w:t xml:space="preserve">                                     </w:t>
      </w:r>
      <w:r>
        <w:rPr>
          <w:rFonts w:ascii="Times New Roman" w:hAnsi="Times New Roman" w:cs="Times New Roman"/>
          <w:sz w:val="24"/>
        </w:rPr>
        <w:t xml:space="preserve"> </w:t>
      </w:r>
    </w:p>
    <w:p>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r>
        <w:rPr>
          <w:rFonts w:ascii="Times New Roman" w:hAnsi="Times New Roman" w:cs="Times New Roman"/>
          <w:sz w:val="24"/>
          <w:u w:val="single"/>
        </w:rPr>
        <w:t xml:space="preserve">                                  </w:t>
      </w:r>
    </w:p>
    <w:p>
      <w:pPr>
        <w:spacing w:line="400" w:lineRule="exact"/>
        <w:ind w:firstLine="4740" w:firstLineChars="1975"/>
        <w:rPr>
          <w:rFonts w:ascii="Times New Roman"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pPr>
        <w:spacing w:line="400" w:lineRule="exact"/>
        <w:ind w:firstLine="4740" w:firstLineChars="1975"/>
        <w:rPr>
          <w:rFonts w:ascii="Times New Roman" w:hAnsi="Times New Roman" w:cs="Times New Roman"/>
          <w:sz w:val="24"/>
        </w:rPr>
      </w:pPr>
    </w:p>
    <w:p>
      <w:pPr>
        <w:rPr>
          <w:rFonts w:ascii="Times New Roman" w:hAnsi="Times New Roman" w:cs="Times New Roman"/>
          <w:sz w:val="24"/>
        </w:rPr>
      </w:pPr>
      <w:r>
        <w:rPr>
          <w:rFonts w:ascii="Times New Roman" w:hAnsi="Times New Roman" w:cs="Times New Roman"/>
          <w:sz w:val="24"/>
        </w:rPr>
        <w:br w:type="page"/>
      </w:r>
    </w:p>
    <w:p>
      <w:pPr>
        <w:spacing w:line="440" w:lineRule="exact"/>
        <w:jc w:val="center"/>
        <w:rPr>
          <w:rFonts w:ascii="Times New Roman" w:hAnsi="Times New Roman" w:eastAsia="黑体" w:cs="Times New Roman"/>
          <w:sz w:val="20"/>
          <w:szCs w:val="20"/>
        </w:rPr>
      </w:pPr>
    </w:p>
    <w:p>
      <w:pPr>
        <w:spacing w:line="440" w:lineRule="exact"/>
        <w:jc w:val="center"/>
        <w:rPr>
          <w:rFonts w:ascii="Times New Roman" w:hAnsi="Times New Roman" w:eastAsia="黑体" w:cs="Times New Roman"/>
          <w:sz w:val="28"/>
          <w:szCs w:val="28"/>
        </w:rPr>
      </w:pPr>
      <w:bookmarkStart w:id="81" w:name="_Toc18668_WPSOffice_Level1"/>
      <w:bookmarkStart w:id="82" w:name="_Toc1996_WPSOffice_Level1"/>
      <w:bookmarkStart w:id="83" w:name="_Toc32350_WPSOffice_Level1"/>
      <w:bookmarkStart w:id="84" w:name="_Toc4951_WPSOffice_Level1"/>
      <w:bookmarkStart w:id="85" w:name="_Toc14563_WPSOffice_Level1"/>
      <w:r>
        <w:rPr>
          <w:rFonts w:ascii="Times New Roman" w:hAnsi="Times New Roman" w:eastAsia="黑体" w:cs="Times New Roman"/>
          <w:sz w:val="28"/>
          <w:szCs w:val="28"/>
        </w:rPr>
        <w:t>二、法定代表人身份证明及授权委托书</w:t>
      </w:r>
      <w:bookmarkEnd w:id="81"/>
      <w:bookmarkEnd w:id="82"/>
      <w:bookmarkEnd w:id="83"/>
      <w:bookmarkEnd w:id="84"/>
      <w:bookmarkEnd w:id="85"/>
    </w:p>
    <w:p>
      <w:pPr>
        <w:spacing w:line="440" w:lineRule="exact"/>
        <w:rPr>
          <w:rFonts w:ascii="Times New Roman" w:hAnsi="Times New Roman" w:cs="Times New Roman"/>
          <w:sz w:val="20"/>
          <w:szCs w:val="20"/>
        </w:rPr>
      </w:pPr>
    </w:p>
    <w:p>
      <w:pPr>
        <w:spacing w:line="440" w:lineRule="exact"/>
        <w:jc w:val="center"/>
        <w:rPr>
          <w:rFonts w:ascii="Times New Roman" w:hAnsi="Times New Roman" w:cs="Times New Roman"/>
          <w:sz w:val="28"/>
          <w:szCs w:val="28"/>
        </w:rPr>
      </w:pPr>
      <w:bookmarkStart w:id="86" w:name="_Toc5153_WPSOffice_Level2"/>
      <w:bookmarkStart w:id="87" w:name="_Toc20803_WPSOffice_Level2"/>
      <w:r>
        <w:rPr>
          <w:rFonts w:ascii="Times New Roman" w:hAnsi="Times New Roman" w:eastAsia="黑体" w:cs="Times New Roman"/>
          <w:bCs/>
          <w:sz w:val="28"/>
          <w:szCs w:val="28"/>
        </w:rPr>
        <w:t>2-1 法定代表人身份证明</w:t>
      </w:r>
      <w:bookmarkEnd w:id="86"/>
      <w:bookmarkEnd w:id="87"/>
    </w:p>
    <w:p>
      <w:pPr>
        <w:spacing w:line="440" w:lineRule="exact"/>
        <w:rPr>
          <w:rFonts w:ascii="Times New Roman" w:hAnsi="Times New Roman" w:cs="Times New Roman"/>
          <w:sz w:val="20"/>
          <w:szCs w:val="20"/>
        </w:rPr>
      </w:pPr>
    </w:p>
    <w:p>
      <w:pPr>
        <w:spacing w:line="440" w:lineRule="exact"/>
        <w:rPr>
          <w:rFonts w:ascii="Times New Roman" w:hAnsi="Times New Roman" w:cs="Times New Roman"/>
          <w:sz w:val="24"/>
        </w:rPr>
      </w:pPr>
      <w:r>
        <w:rPr>
          <w:rFonts w:ascii="Times New Roman" w:hAnsi="Times New Roman" w:cs="Times New Roman"/>
          <w:sz w:val="24"/>
        </w:rPr>
        <w:t>供应商名称：</w:t>
      </w:r>
      <w:r>
        <w:rPr>
          <w:rFonts w:ascii="Times New Roman" w:hAnsi="Times New Roman" w:cs="Times New Roman"/>
          <w:sz w:val="24"/>
          <w:u w:val="single"/>
        </w:rPr>
        <w:t xml:space="preserve">                            </w:t>
      </w:r>
      <w:r>
        <w:rPr>
          <w:rFonts w:ascii="Times New Roman" w:hAnsi="Times New Roman" w:cs="Times New Roman"/>
          <w:sz w:val="24"/>
        </w:rPr>
        <w:t xml:space="preserve"> </w:t>
      </w:r>
    </w:p>
    <w:p>
      <w:pPr>
        <w:spacing w:line="440" w:lineRule="exact"/>
        <w:rPr>
          <w:rFonts w:ascii="Times New Roman" w:hAnsi="Times New Roman" w:cs="Times New Roman"/>
          <w:sz w:val="24"/>
        </w:rPr>
      </w:pPr>
      <w:r>
        <w:rPr>
          <w:rFonts w:ascii="Times New Roman" w:hAnsi="Times New Roman" w:cs="Times New Roman"/>
          <w:sz w:val="24"/>
        </w:rPr>
        <w:t>单位性质：</w:t>
      </w:r>
      <w:r>
        <w:rPr>
          <w:rFonts w:ascii="Times New Roman" w:hAnsi="Times New Roman" w:cs="Times New Roman"/>
          <w:sz w:val="24"/>
          <w:u w:val="single"/>
        </w:rPr>
        <w:t xml:space="preserve">                               </w:t>
      </w:r>
      <w:r>
        <w:rPr>
          <w:rFonts w:ascii="Times New Roman" w:hAnsi="Times New Roman" w:cs="Times New Roman"/>
          <w:sz w:val="24"/>
        </w:rPr>
        <w:t xml:space="preserve"> </w:t>
      </w:r>
    </w:p>
    <w:p>
      <w:pPr>
        <w:spacing w:line="440" w:lineRule="exact"/>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r>
        <w:rPr>
          <w:rFonts w:ascii="Times New Roman" w:hAnsi="Times New Roman" w:cs="Times New Roman"/>
          <w:sz w:val="24"/>
        </w:rPr>
        <w:t>成立时间：</w:t>
      </w:r>
      <w:r>
        <w:rPr>
          <w:rFonts w:ascii="Times New Roman" w:hAnsi="Times New Roman" w:cs="Times New Roman"/>
          <w:sz w:val="24"/>
          <w:u w:val="single"/>
        </w:rPr>
        <w:t xml:space="preserve">         </w:t>
      </w:r>
      <w:r>
        <w:rPr>
          <w:rFonts w:ascii="Times New Roman" w:hAnsi="Times New Roman" w:cs="Times New Roman"/>
          <w:sz w:val="24"/>
        </w:rPr>
        <w:t xml:space="preserve"> 年</w:t>
      </w:r>
      <w:r>
        <w:rPr>
          <w:rFonts w:ascii="Times New Roman" w:hAnsi="Times New Roman" w:cs="Times New Roman"/>
          <w:sz w:val="24"/>
          <w:u w:val="single"/>
        </w:rPr>
        <w:t xml:space="preserve">       </w:t>
      </w:r>
      <w:r>
        <w:rPr>
          <w:rFonts w:ascii="Times New Roman" w:hAnsi="Times New Roman" w:cs="Times New Roman"/>
          <w:sz w:val="24"/>
        </w:rPr>
        <w:t xml:space="preserve"> 月</w:t>
      </w:r>
      <w:r>
        <w:rPr>
          <w:rFonts w:ascii="Times New Roman" w:hAnsi="Times New Roman" w:cs="Times New Roman"/>
          <w:sz w:val="24"/>
          <w:u w:val="single"/>
        </w:rPr>
        <w:t xml:space="preserve">       </w:t>
      </w:r>
      <w:r>
        <w:rPr>
          <w:rFonts w:ascii="Times New Roman" w:hAnsi="Times New Roman" w:cs="Times New Roman"/>
          <w:sz w:val="24"/>
        </w:rPr>
        <w:t xml:space="preserve"> 日</w:t>
      </w:r>
    </w:p>
    <w:p>
      <w:pPr>
        <w:spacing w:line="440" w:lineRule="exact"/>
        <w:rPr>
          <w:rFonts w:ascii="Times New Roman" w:hAnsi="Times New Roman" w:cs="Times New Roman"/>
          <w:sz w:val="24"/>
        </w:rPr>
      </w:pPr>
      <w:r>
        <w:rPr>
          <w:rFonts w:ascii="Times New Roman" w:hAnsi="Times New Roman" w:cs="Times New Roman"/>
          <w:sz w:val="24"/>
        </w:rPr>
        <w:t>经营期限：</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r>
        <w:rPr>
          <w:rFonts w:ascii="Times New Roman" w:hAnsi="Times New Roman" w:cs="Times New Roman"/>
          <w:sz w:val="24"/>
        </w:rPr>
        <w:t>姓名：</w:t>
      </w:r>
      <w:r>
        <w:rPr>
          <w:rFonts w:ascii="Times New Roman" w:hAnsi="Times New Roman" w:cs="Times New Roman"/>
          <w:sz w:val="24"/>
          <w:u w:val="single"/>
        </w:rPr>
        <w:t xml:space="preserve">  </w:t>
      </w:r>
      <w:r>
        <w:rPr>
          <w:rFonts w:ascii="Times New Roman" w:hAnsi="Times New Roman" w:cs="Times New Roman"/>
          <w:bCs/>
          <w:sz w:val="24"/>
          <w:u w:val="single"/>
        </w:rPr>
        <w:t xml:space="preserve">                </w:t>
      </w:r>
      <w:r>
        <w:rPr>
          <w:rFonts w:ascii="Times New Roman" w:hAnsi="Times New Roman" w:cs="Times New Roman"/>
          <w:sz w:val="24"/>
        </w:rPr>
        <w:t xml:space="preserve"> 性别：</w:t>
      </w:r>
      <w:r>
        <w:rPr>
          <w:rFonts w:ascii="Times New Roman" w:hAnsi="Times New Roman" w:cs="Times New Roman"/>
          <w:sz w:val="24"/>
          <w:u w:val="single"/>
        </w:rPr>
        <w:t xml:space="preserve">     </w:t>
      </w:r>
      <w:r>
        <w:rPr>
          <w:rFonts w:ascii="Times New Roman" w:hAnsi="Times New Roman" w:cs="Times New Roman"/>
          <w:sz w:val="24"/>
        </w:rPr>
        <w:t xml:space="preserve"> 年龄：</w:t>
      </w:r>
      <w:r>
        <w:rPr>
          <w:rFonts w:ascii="Times New Roman" w:hAnsi="Times New Roman" w:cs="Times New Roman"/>
          <w:sz w:val="24"/>
          <w:u w:val="single"/>
        </w:rPr>
        <w:t xml:space="preserve">        </w:t>
      </w:r>
      <w:r>
        <w:rPr>
          <w:rFonts w:ascii="Times New Roman" w:hAnsi="Times New Roman" w:cs="Times New Roman"/>
          <w:sz w:val="24"/>
        </w:rPr>
        <w:t>职务：</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r>
        <w:rPr>
          <w:rFonts w:ascii="Times New Roman" w:hAnsi="Times New Roman" w:cs="Times New Roman"/>
          <w:sz w:val="24"/>
        </w:rPr>
        <w:t>系</w:t>
      </w:r>
      <w:r>
        <w:rPr>
          <w:rFonts w:ascii="Times New Roman" w:hAnsi="Times New Roman" w:cs="Times New Roman"/>
          <w:sz w:val="24"/>
          <w:u w:val="single"/>
        </w:rPr>
        <w:t xml:space="preserve">                             </w:t>
      </w:r>
      <w:r>
        <w:rPr>
          <w:rFonts w:ascii="Times New Roman" w:hAnsi="Times New Roman" w:cs="Times New Roman"/>
          <w:sz w:val="24"/>
        </w:rPr>
        <w:t xml:space="preserve"> (供应商名称)的法定代表人。</w:t>
      </w:r>
    </w:p>
    <w:p>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w:t>
      </w:r>
      <w:r>
        <w:rPr>
          <w:rFonts w:hint="eastAsia" w:ascii="Times New Roman" w:hAnsi="Times New Roman" w:cs="Times New Roman"/>
          <w:sz w:val="24"/>
        </w:rPr>
        <w:t>身份证正反面复印件</w:t>
      </w:r>
    </w:p>
    <w:p>
      <w:pPr>
        <w:spacing w:line="440" w:lineRule="exact"/>
        <w:ind w:firstLine="480" w:firstLineChars="200"/>
        <w:rPr>
          <w:rFonts w:ascii="Times New Roman" w:hAnsi="Times New Roman" w:cs="Times New Roman"/>
          <w:sz w:val="24"/>
        </w:rPr>
      </w:pPr>
    </w:p>
    <w:p>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 xml:space="preserve"> 日           </w:t>
      </w: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ind w:left="315" w:hanging="315" w:hangingChars="150"/>
        <w:rPr>
          <w:rFonts w:ascii="Times New Roman" w:hAnsi="Times New Roman" w:eastAsia="黑体" w:cs="Times New Roman"/>
          <w:szCs w:val="21"/>
        </w:rPr>
      </w:pPr>
    </w:p>
    <w:p>
      <w:pPr>
        <w:topLinePunct/>
        <w:spacing w:line="440" w:lineRule="exact"/>
        <w:ind w:left="315" w:hanging="315" w:hangingChars="150"/>
        <w:rPr>
          <w:rFonts w:ascii="Times New Roman" w:hAnsi="Times New Roman" w:eastAsia="黑体" w:cs="Times New Roman"/>
          <w:bCs/>
          <w:szCs w:val="21"/>
        </w:rPr>
      </w:pPr>
    </w:p>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4"/>
        </w:rPr>
        <w:br w:type="page"/>
      </w:r>
      <w:bookmarkStart w:id="88" w:name="_Toc19768_WPSOffice_Level2"/>
      <w:bookmarkStart w:id="89" w:name="_Toc12035_WPSOffice_Level2"/>
      <w:r>
        <w:rPr>
          <w:rFonts w:ascii="Times New Roman" w:hAnsi="Times New Roman" w:eastAsia="黑体" w:cs="Times New Roman"/>
          <w:bCs/>
          <w:sz w:val="28"/>
          <w:szCs w:val="28"/>
        </w:rPr>
        <w:t xml:space="preserve">2-2 </w:t>
      </w:r>
      <w:r>
        <w:rPr>
          <w:rFonts w:ascii="Times New Roman" w:hAnsi="Times New Roman" w:eastAsia="黑体" w:cs="Times New Roman"/>
          <w:sz w:val="28"/>
          <w:szCs w:val="28"/>
        </w:rPr>
        <w:t>授权委托书</w:t>
      </w:r>
      <w:bookmarkEnd w:id="88"/>
      <w:bookmarkEnd w:id="89"/>
    </w:p>
    <w:p>
      <w:pPr>
        <w:spacing w:line="440" w:lineRule="exact"/>
        <w:rPr>
          <w:rFonts w:ascii="Times New Roman" w:hAnsi="Times New Roman" w:eastAsia="黑体" w:cs="Times New Roman"/>
          <w:sz w:val="24"/>
        </w:rPr>
      </w:pPr>
    </w:p>
    <w:p>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ascii="Times New Roman" w:hAnsi="Times New Roman" w:cs="Times New Roman"/>
          <w:sz w:val="24"/>
          <w:u w:val="single"/>
        </w:rPr>
        <w:t xml:space="preserve">             </w:t>
      </w:r>
      <w:r>
        <w:rPr>
          <w:rFonts w:ascii="Times New Roman" w:hAnsi="Times New Roman" w:cs="Times New Roman"/>
          <w:sz w:val="24"/>
        </w:rPr>
        <w:t>(姓名)系</w:t>
      </w:r>
      <w:r>
        <w:rPr>
          <w:rFonts w:ascii="Times New Roman" w:hAnsi="Times New Roman" w:cs="Times New Roman"/>
          <w:sz w:val="24"/>
          <w:u w:val="single"/>
        </w:rPr>
        <w:t xml:space="preserve">          </w:t>
      </w:r>
      <w:r>
        <w:rPr>
          <w:rFonts w:ascii="Times New Roman" w:hAnsi="Times New Roman" w:cs="Times New Roman"/>
          <w:sz w:val="24"/>
        </w:rPr>
        <w:t>(供应商名称)的法定代表人，现委托</w:t>
      </w:r>
      <w:r>
        <w:rPr>
          <w:rFonts w:ascii="Times New Roman" w:hAnsi="Times New Roman" w:cs="Times New Roman"/>
          <w:sz w:val="24"/>
          <w:u w:val="single"/>
        </w:rPr>
        <w:t xml:space="preserve">        </w:t>
      </w:r>
      <w:r>
        <w:rPr>
          <w:rFonts w:ascii="Times New Roman" w:hAnsi="Times New Roman" w:cs="Times New Roman"/>
          <w:sz w:val="24"/>
        </w:rPr>
        <w:t>(姓名)为我方代理人。代理人根据授权，以我方名义签署、澄清、说明、补正、递交、撤回、修改</w:t>
      </w:r>
      <w:r>
        <w:rPr>
          <w:rFonts w:ascii="Times New Roman" w:hAnsi="Times New Roman" w:cs="Times New Roman"/>
          <w:sz w:val="24"/>
          <w:u w:val="single"/>
        </w:rPr>
        <w:t xml:space="preserve">                     </w:t>
      </w:r>
      <w:r>
        <w:rPr>
          <w:rFonts w:ascii="Times New Roman" w:hAnsi="Times New Roman" w:cs="Times New Roman"/>
          <w:sz w:val="24"/>
        </w:rPr>
        <w:t>(项目名称)</w:t>
      </w:r>
      <w:r>
        <w:rPr>
          <w:rFonts w:ascii="Times New Roman" w:hAnsi="Times New Roman" w:cs="Times New Roman"/>
          <w:sz w:val="24"/>
          <w:u w:val="single"/>
        </w:rPr>
        <w:t xml:space="preserve">     </w:t>
      </w:r>
      <w:r>
        <w:rPr>
          <w:rFonts w:ascii="Times New Roman" w:hAnsi="Times New Roman" w:cs="Times New Roman"/>
          <w:sz w:val="24"/>
        </w:rPr>
        <w:t>合同包响应文件、签订合同和处理有关事宜，其法律后果由我方承担。</w:t>
      </w:r>
    </w:p>
    <w:p>
      <w:pPr>
        <w:spacing w:line="440" w:lineRule="exact"/>
        <w:rPr>
          <w:rFonts w:ascii="Times New Roman" w:hAnsi="Times New Roman" w:cs="Times New Roman"/>
          <w:sz w:val="24"/>
        </w:rPr>
      </w:pPr>
      <w:r>
        <w:rPr>
          <w:rFonts w:ascii="Times New Roman" w:hAnsi="Times New Roman" w:cs="Times New Roman"/>
          <w:sz w:val="24"/>
        </w:rPr>
        <w:t xml:space="preserve">    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附：法定代表人身份证明</w:t>
      </w:r>
      <w:r>
        <w:rPr>
          <w:rFonts w:hint="eastAsia" w:ascii="Times New Roman" w:hAnsi="Times New Roman" w:cs="Times New Roman"/>
          <w:sz w:val="24"/>
        </w:rPr>
        <w:t>、委托代理人的身份证正反面复印件</w:t>
      </w:r>
    </w:p>
    <w:p>
      <w:pPr>
        <w:spacing w:line="440" w:lineRule="exact"/>
        <w:ind w:firstLine="480" w:firstLineChars="200"/>
        <w:rPr>
          <w:rFonts w:ascii="Times New Roman" w:hAnsi="Times New Roman" w:cs="Times New Roman"/>
          <w:sz w:val="24"/>
        </w:rPr>
      </w:pP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委托代理人：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p>
    <w:p>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p/>
    <w:p/>
    <w:p/>
    <w:p/>
    <w:p/>
    <w:p>
      <w:r>
        <w:br w:type="page"/>
      </w:r>
    </w:p>
    <w:p>
      <w:pPr>
        <w:spacing w:line="440" w:lineRule="exact"/>
        <w:jc w:val="center"/>
        <w:rPr>
          <w:rFonts w:hint="default"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三</w:t>
      </w:r>
      <w:r>
        <w:rPr>
          <w:rFonts w:ascii="Times New Roman" w:hAnsi="Times New Roman" w:eastAsia="黑体" w:cs="Times New Roman"/>
          <w:sz w:val="28"/>
          <w:szCs w:val="28"/>
        </w:rPr>
        <w:t>、</w:t>
      </w:r>
      <w:r>
        <w:rPr>
          <w:rFonts w:hint="eastAsia" w:ascii="Times New Roman" w:hAnsi="Times New Roman" w:eastAsia="黑体" w:cs="Times New Roman"/>
          <w:sz w:val="28"/>
          <w:szCs w:val="28"/>
          <w:lang w:val="en-US" w:eastAsia="zh-CN"/>
        </w:rPr>
        <w:t>已标价工程量清单</w:t>
      </w:r>
    </w:p>
    <w:p/>
    <w:tbl>
      <w:tblPr>
        <w:tblStyle w:val="14"/>
        <w:tblpPr w:leftFromText="180" w:rightFromText="180" w:vertAnchor="text" w:horzAnchor="page" w:tblpX="704" w:tblpY="290"/>
        <w:tblOverlap w:val="never"/>
        <w:tblW w:w="10830" w:type="dxa"/>
        <w:tblInd w:w="0" w:type="dxa"/>
        <w:tblLayout w:type="fixed"/>
        <w:tblCellMar>
          <w:top w:w="15" w:type="dxa"/>
          <w:left w:w="15" w:type="dxa"/>
          <w:bottom w:w="15" w:type="dxa"/>
          <w:right w:w="15" w:type="dxa"/>
        </w:tblCellMar>
      </w:tblPr>
      <w:tblGrid>
        <w:gridCol w:w="758"/>
        <w:gridCol w:w="1292"/>
        <w:gridCol w:w="1003"/>
        <w:gridCol w:w="2201"/>
        <w:gridCol w:w="1095"/>
        <w:gridCol w:w="1313"/>
        <w:gridCol w:w="1418"/>
        <w:gridCol w:w="1750"/>
      </w:tblGrid>
      <w:tr>
        <w:tblPrEx>
          <w:tblCellMar>
            <w:top w:w="15" w:type="dxa"/>
            <w:left w:w="15" w:type="dxa"/>
            <w:bottom w:w="15" w:type="dxa"/>
            <w:right w:w="15" w:type="dxa"/>
          </w:tblCellMar>
        </w:tblPrEx>
        <w:trPr>
          <w:trHeight w:val="286" w:hRule="atLeast"/>
        </w:trPr>
        <w:tc>
          <w:tcPr>
            <w:tcW w:w="758" w:type="dxa"/>
            <w:tcBorders>
              <w:top w:val="single" w:color="000000" w:sz="12" w:space="0"/>
              <w:left w:val="single" w:color="000000" w:sz="12" w:space="0"/>
              <w:bottom w:val="single" w:color="000000" w:sz="4" w:space="0"/>
              <w:right w:val="single" w:color="000000" w:sz="4" w:space="0"/>
            </w:tcBorders>
            <w:shd w:val="clear" w:color="FFFFFF" w:fill="FFFFFF"/>
            <w:noWrap w:val="0"/>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lang w:bidi="ar"/>
              </w:rPr>
              <w:t>序号</w:t>
            </w:r>
          </w:p>
        </w:tc>
        <w:tc>
          <w:tcPr>
            <w:tcW w:w="1292" w:type="dxa"/>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项目编码</w:t>
            </w:r>
          </w:p>
        </w:tc>
        <w:tc>
          <w:tcPr>
            <w:tcW w:w="1003" w:type="dxa"/>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清单名称</w:t>
            </w:r>
          </w:p>
        </w:tc>
        <w:tc>
          <w:tcPr>
            <w:tcW w:w="2201" w:type="dxa"/>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清单特征</w:t>
            </w:r>
          </w:p>
        </w:tc>
        <w:tc>
          <w:tcPr>
            <w:tcW w:w="1095" w:type="dxa"/>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单位</w:t>
            </w:r>
          </w:p>
        </w:tc>
        <w:tc>
          <w:tcPr>
            <w:tcW w:w="1313" w:type="dxa"/>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工程量</w:t>
            </w:r>
          </w:p>
        </w:tc>
        <w:tc>
          <w:tcPr>
            <w:tcW w:w="1418" w:type="dxa"/>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综合单价</w:t>
            </w:r>
          </w:p>
        </w:tc>
        <w:tc>
          <w:tcPr>
            <w:tcW w:w="1750" w:type="dxa"/>
            <w:tcBorders>
              <w:top w:val="single" w:color="000000" w:sz="12" w:space="0"/>
              <w:left w:val="single" w:color="000000" w:sz="4" w:space="0"/>
              <w:bottom w:val="single" w:color="000000" w:sz="4" w:space="0"/>
              <w:right w:val="single" w:color="000000" w:sz="12" w:space="0"/>
            </w:tcBorders>
            <w:shd w:val="clear" w:color="FFFFFF" w:fill="FFFFFF"/>
            <w:noWrap w:val="0"/>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综合合价</w:t>
            </w:r>
          </w:p>
        </w:tc>
      </w:tr>
      <w:tr>
        <w:tblPrEx>
          <w:tblCellMar>
            <w:top w:w="15" w:type="dxa"/>
            <w:left w:w="15" w:type="dxa"/>
            <w:bottom w:w="15" w:type="dxa"/>
            <w:right w:w="15" w:type="dxa"/>
          </w:tblCellMar>
        </w:tblPrEx>
        <w:trPr>
          <w:trHeight w:val="4846" w:hRule="atLeast"/>
        </w:trPr>
        <w:tc>
          <w:tcPr>
            <w:tcW w:w="758"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010605002002</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7.5厚双层彩钢岩棉夹芯板</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1、名称：7.5厚双层彩钢岩棉夹芯板</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2、部位：墙面、屋面</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3、包含拆除原有墙板、屋面板</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4、报价需考虑与原有屋面、墙面的接缝防水处理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包括并不限于设计费、高速运输费、安全措施费、防水处理、垃圾清运等所有费用，报价为全费用单价，中标后单价不予调整（投标时充分考虑原有轻钢结构的保护，不得损坏，拆除后的废弃夹芯板由中标单位自行运出服务区，运距自行考虑）</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m2</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Cs w:val="21"/>
              </w:rPr>
            </w:pPr>
            <w:r>
              <w:rPr>
                <w:rFonts w:hint="eastAsia" w:ascii="宋体" w:hAnsi="宋体" w:cs="宋体"/>
                <w:color w:val="000000"/>
                <w:kern w:val="0"/>
                <w:szCs w:val="21"/>
                <w:lang w:bidi="ar"/>
              </w:rPr>
              <w:t>18251.260</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cs="宋体"/>
                <w:color w:val="000000"/>
                <w:szCs w:val="21"/>
              </w:rPr>
            </w:pPr>
          </w:p>
        </w:tc>
        <w:tc>
          <w:tcPr>
            <w:tcW w:w="1750" w:type="dxa"/>
            <w:tcBorders>
              <w:top w:val="single" w:color="000000" w:sz="4" w:space="0"/>
              <w:left w:val="single" w:color="000000" w:sz="4" w:space="0"/>
              <w:bottom w:val="single" w:color="000000" w:sz="4" w:space="0"/>
              <w:right w:val="single" w:color="000000" w:sz="12" w:space="0"/>
            </w:tcBorders>
            <w:noWrap w:val="0"/>
            <w:vAlign w:val="center"/>
          </w:tcPr>
          <w:p>
            <w:pPr>
              <w:jc w:val="right"/>
              <w:rPr>
                <w:rFonts w:hint="eastAsia" w:ascii="宋体" w:hAnsi="宋体" w:cs="宋体"/>
                <w:color w:val="000000"/>
                <w:szCs w:val="21"/>
              </w:rPr>
            </w:pPr>
          </w:p>
        </w:tc>
      </w:tr>
      <w:tr>
        <w:tblPrEx>
          <w:tblCellMar>
            <w:top w:w="15" w:type="dxa"/>
            <w:left w:w="15" w:type="dxa"/>
            <w:bottom w:w="15" w:type="dxa"/>
            <w:right w:w="15" w:type="dxa"/>
          </w:tblCellMar>
        </w:tblPrEx>
        <w:trPr>
          <w:trHeight w:val="4846" w:hRule="atLeast"/>
        </w:trPr>
        <w:tc>
          <w:tcPr>
            <w:tcW w:w="758"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010605002003</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7.5厚双层彩钢岩棉夹芯板</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1、名称：7.5厚双层彩钢岩棉夹芯板</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2、部位：屋面</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3、包含拆除原有屋面板</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4、报价需考虑与原有屋面、墙面的接缝防水处理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包括并不限于设计费、高速运输费、安全措施费、防水处理、垃圾清运等所有费用，报价为全费用单价，中标后单价不予调整（投标时应充分考虑到确保经营场所正常营业的相关措施费用，拆除后的废弃夹芯板由中标单位自行运出服务区，运距自行考虑）</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m2</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Cs w:val="21"/>
              </w:rPr>
            </w:pPr>
            <w:r>
              <w:rPr>
                <w:rFonts w:hint="eastAsia" w:ascii="宋体" w:hAnsi="宋体" w:cs="宋体"/>
                <w:color w:val="000000"/>
                <w:kern w:val="0"/>
                <w:szCs w:val="21"/>
                <w:lang w:bidi="ar"/>
              </w:rPr>
              <w:t>6059.660</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cs="宋体"/>
                <w:color w:val="000000"/>
                <w:szCs w:val="21"/>
              </w:rPr>
            </w:pPr>
          </w:p>
        </w:tc>
        <w:tc>
          <w:tcPr>
            <w:tcW w:w="1750" w:type="dxa"/>
            <w:tcBorders>
              <w:top w:val="single" w:color="000000" w:sz="4" w:space="0"/>
              <w:left w:val="single" w:color="000000" w:sz="4" w:space="0"/>
              <w:bottom w:val="single" w:color="000000" w:sz="4" w:space="0"/>
              <w:right w:val="single" w:color="000000" w:sz="12" w:space="0"/>
            </w:tcBorders>
            <w:noWrap w:val="0"/>
            <w:vAlign w:val="center"/>
          </w:tcPr>
          <w:p>
            <w:pPr>
              <w:jc w:val="right"/>
              <w:rPr>
                <w:rFonts w:hint="eastAsia" w:ascii="宋体" w:hAnsi="宋体" w:cs="宋体"/>
                <w:color w:val="000000"/>
                <w:szCs w:val="21"/>
              </w:rPr>
            </w:pPr>
          </w:p>
        </w:tc>
      </w:tr>
      <w:tr>
        <w:tblPrEx>
          <w:tblCellMar>
            <w:top w:w="15" w:type="dxa"/>
            <w:left w:w="15" w:type="dxa"/>
            <w:bottom w:w="15" w:type="dxa"/>
            <w:right w:w="15" w:type="dxa"/>
          </w:tblCellMar>
        </w:tblPrEx>
        <w:trPr>
          <w:trHeight w:val="3316" w:hRule="atLeast"/>
        </w:trPr>
        <w:tc>
          <w:tcPr>
            <w:tcW w:w="758"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010605002004</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拆除原有彩钢板</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1、名称：拆除原有彩钢板墙板、屋面板及附属轻钢结构</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2、部位：墙面、屋面</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3、包括并不限于高速运输费、安全措施费垃圾清运等所有费用，报价为全费用单价，中标后单价不予调整（拆除后的废弃夹芯板由中标单位自行运出服务区，运距自行考虑）</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m2</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Cs w:val="21"/>
              </w:rPr>
            </w:pPr>
            <w:r>
              <w:rPr>
                <w:rFonts w:hint="eastAsia" w:ascii="宋体" w:hAnsi="宋体" w:cs="宋体"/>
                <w:color w:val="000000"/>
                <w:kern w:val="0"/>
                <w:szCs w:val="21"/>
                <w:lang w:bidi="ar"/>
              </w:rPr>
              <w:t>3002.680</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cs="宋体"/>
                <w:color w:val="000000"/>
                <w:szCs w:val="21"/>
              </w:rPr>
            </w:pPr>
          </w:p>
        </w:tc>
        <w:tc>
          <w:tcPr>
            <w:tcW w:w="1750" w:type="dxa"/>
            <w:tcBorders>
              <w:top w:val="single" w:color="000000" w:sz="4" w:space="0"/>
              <w:left w:val="single" w:color="000000" w:sz="4" w:space="0"/>
              <w:bottom w:val="single" w:color="000000" w:sz="4" w:space="0"/>
              <w:right w:val="single" w:color="000000" w:sz="12" w:space="0"/>
            </w:tcBorders>
            <w:noWrap w:val="0"/>
            <w:vAlign w:val="center"/>
          </w:tcPr>
          <w:p>
            <w:pPr>
              <w:jc w:val="right"/>
              <w:rPr>
                <w:rFonts w:hint="eastAsia" w:ascii="宋体" w:hAnsi="宋体" w:cs="宋体"/>
                <w:color w:val="000000"/>
                <w:szCs w:val="21"/>
              </w:rPr>
            </w:pPr>
          </w:p>
        </w:tc>
      </w:tr>
      <w:tr>
        <w:tblPrEx>
          <w:tblCellMar>
            <w:top w:w="15" w:type="dxa"/>
            <w:left w:w="15" w:type="dxa"/>
            <w:bottom w:w="15" w:type="dxa"/>
            <w:right w:w="15" w:type="dxa"/>
          </w:tblCellMar>
        </w:tblPrEx>
        <w:trPr>
          <w:trHeight w:val="271" w:hRule="atLeast"/>
        </w:trPr>
        <w:tc>
          <w:tcPr>
            <w:tcW w:w="758" w:type="dxa"/>
            <w:tcBorders>
              <w:top w:val="single" w:color="000000" w:sz="4" w:space="0"/>
              <w:left w:val="single" w:color="000000" w:sz="12" w:space="0"/>
              <w:bottom w:val="single" w:color="000000" w:sz="12" w:space="0"/>
              <w:right w:val="single" w:color="000000" w:sz="4" w:space="0"/>
            </w:tcBorders>
            <w:noWrap w:val="0"/>
            <w:vAlign w:val="top"/>
          </w:tcPr>
          <w:p>
            <w:pPr>
              <w:jc w:val="left"/>
              <w:rPr>
                <w:rFonts w:hint="eastAsia" w:ascii="宋体" w:hAnsi="宋体" w:cs="宋体"/>
                <w:color w:val="000000"/>
                <w:szCs w:val="21"/>
              </w:rPr>
            </w:pPr>
          </w:p>
        </w:tc>
        <w:tc>
          <w:tcPr>
            <w:tcW w:w="1292" w:type="dxa"/>
            <w:tcBorders>
              <w:top w:val="single" w:color="000000" w:sz="4" w:space="0"/>
              <w:left w:val="single" w:color="000000" w:sz="4" w:space="0"/>
              <w:bottom w:val="single" w:color="000000" w:sz="12" w:space="0"/>
              <w:right w:val="single" w:color="000000" w:sz="4" w:space="0"/>
            </w:tcBorders>
            <w:noWrap w:val="0"/>
            <w:vAlign w:val="top"/>
          </w:tcPr>
          <w:p>
            <w:pPr>
              <w:widowControl/>
              <w:jc w:val="left"/>
              <w:textAlignment w:val="top"/>
              <w:rPr>
                <w:rFonts w:hint="eastAsia" w:ascii="宋体" w:hAnsi="宋体" w:cs="宋体"/>
                <w:color w:val="000000"/>
                <w:szCs w:val="21"/>
              </w:rPr>
            </w:pPr>
            <w:r>
              <w:rPr>
                <w:rFonts w:hint="eastAsia" w:ascii="宋体" w:hAnsi="宋体" w:cs="宋体"/>
                <w:color w:val="000000"/>
                <w:kern w:val="0"/>
                <w:szCs w:val="21"/>
                <w:lang w:bidi="ar"/>
              </w:rPr>
              <w:t>合计：</w:t>
            </w:r>
          </w:p>
        </w:tc>
        <w:tc>
          <w:tcPr>
            <w:tcW w:w="1003" w:type="dxa"/>
            <w:tcBorders>
              <w:top w:val="single" w:color="000000" w:sz="4" w:space="0"/>
              <w:left w:val="single" w:color="000000" w:sz="4" w:space="0"/>
              <w:bottom w:val="single" w:color="000000" w:sz="12" w:space="0"/>
              <w:right w:val="single" w:color="000000" w:sz="4" w:space="0"/>
            </w:tcBorders>
            <w:noWrap w:val="0"/>
            <w:vAlign w:val="top"/>
          </w:tcPr>
          <w:p>
            <w:pPr>
              <w:jc w:val="left"/>
              <w:rPr>
                <w:rFonts w:hint="eastAsia" w:ascii="宋体" w:hAnsi="宋体" w:cs="宋体"/>
                <w:color w:val="000000"/>
                <w:szCs w:val="21"/>
              </w:rPr>
            </w:pPr>
          </w:p>
        </w:tc>
        <w:tc>
          <w:tcPr>
            <w:tcW w:w="2201" w:type="dxa"/>
            <w:tcBorders>
              <w:top w:val="single" w:color="000000" w:sz="4" w:space="0"/>
              <w:left w:val="single" w:color="000000" w:sz="4" w:space="0"/>
              <w:bottom w:val="single" w:color="000000" w:sz="12" w:space="0"/>
              <w:right w:val="single" w:color="000000" w:sz="4" w:space="0"/>
            </w:tcBorders>
            <w:noWrap w:val="0"/>
            <w:vAlign w:val="top"/>
          </w:tcPr>
          <w:p>
            <w:pPr>
              <w:jc w:val="left"/>
              <w:rPr>
                <w:rFonts w:hint="eastAsia" w:ascii="宋体" w:hAnsi="宋体" w:cs="宋体"/>
                <w:color w:val="000000"/>
                <w:szCs w:val="21"/>
              </w:rPr>
            </w:pPr>
          </w:p>
        </w:tc>
        <w:tc>
          <w:tcPr>
            <w:tcW w:w="1095" w:type="dxa"/>
            <w:tcBorders>
              <w:top w:val="single" w:color="000000" w:sz="4" w:space="0"/>
              <w:left w:val="single" w:color="000000" w:sz="4" w:space="0"/>
              <w:bottom w:val="single" w:color="000000" w:sz="12" w:space="0"/>
              <w:right w:val="single" w:color="000000" w:sz="4" w:space="0"/>
            </w:tcBorders>
            <w:noWrap w:val="0"/>
            <w:vAlign w:val="top"/>
          </w:tcPr>
          <w:p>
            <w:pPr>
              <w:jc w:val="left"/>
              <w:rPr>
                <w:rFonts w:hint="eastAsia" w:ascii="宋体" w:hAnsi="宋体" w:cs="宋体"/>
                <w:color w:val="000000"/>
                <w:szCs w:val="21"/>
              </w:rPr>
            </w:pPr>
          </w:p>
        </w:tc>
        <w:tc>
          <w:tcPr>
            <w:tcW w:w="1313" w:type="dxa"/>
            <w:tcBorders>
              <w:top w:val="single" w:color="000000" w:sz="4" w:space="0"/>
              <w:left w:val="single" w:color="000000" w:sz="4" w:space="0"/>
              <w:bottom w:val="single" w:color="000000" w:sz="12" w:space="0"/>
              <w:right w:val="single" w:color="000000" w:sz="4" w:space="0"/>
            </w:tcBorders>
            <w:noWrap w:val="0"/>
            <w:vAlign w:val="top"/>
          </w:tcPr>
          <w:p>
            <w:pPr>
              <w:jc w:val="left"/>
              <w:rPr>
                <w:rFonts w:hint="eastAsia" w:ascii="宋体" w:hAnsi="宋体" w:cs="宋体"/>
                <w:color w:val="000000"/>
                <w:szCs w:val="21"/>
              </w:rPr>
            </w:pPr>
          </w:p>
        </w:tc>
        <w:tc>
          <w:tcPr>
            <w:tcW w:w="1418" w:type="dxa"/>
            <w:tcBorders>
              <w:top w:val="single" w:color="000000" w:sz="4" w:space="0"/>
              <w:left w:val="single" w:color="000000" w:sz="4" w:space="0"/>
              <w:bottom w:val="single" w:color="000000" w:sz="12" w:space="0"/>
              <w:right w:val="single" w:color="000000" w:sz="4" w:space="0"/>
            </w:tcBorders>
            <w:noWrap w:val="0"/>
            <w:vAlign w:val="top"/>
          </w:tcPr>
          <w:p>
            <w:pPr>
              <w:jc w:val="left"/>
              <w:rPr>
                <w:rFonts w:hint="eastAsia" w:ascii="宋体" w:hAnsi="宋体" w:cs="宋体"/>
                <w:color w:val="000000"/>
                <w:szCs w:val="21"/>
              </w:rPr>
            </w:pPr>
          </w:p>
        </w:tc>
        <w:tc>
          <w:tcPr>
            <w:tcW w:w="1750" w:type="dxa"/>
            <w:tcBorders>
              <w:top w:val="single" w:color="000000" w:sz="4" w:space="0"/>
              <w:left w:val="single" w:color="000000" w:sz="4" w:space="0"/>
              <w:bottom w:val="single" w:color="000000" w:sz="12" w:space="0"/>
              <w:right w:val="single" w:color="000000" w:sz="12" w:space="0"/>
            </w:tcBorders>
            <w:noWrap w:val="0"/>
            <w:vAlign w:val="center"/>
          </w:tcPr>
          <w:p>
            <w:pPr>
              <w:jc w:val="right"/>
              <w:rPr>
                <w:rFonts w:hint="eastAsia" w:ascii="宋体" w:hAnsi="宋体" w:cs="宋体"/>
                <w:color w:val="000000"/>
                <w:szCs w:val="21"/>
              </w:rPr>
            </w:pPr>
          </w:p>
        </w:tc>
      </w:tr>
    </w:tbl>
    <w:p>
      <w:r>
        <w:br w:type="page"/>
      </w:r>
    </w:p>
    <w:p/>
    <w:p/>
    <w:p/>
    <w:p/>
    <w:p/>
    <w:p/>
    <w:p>
      <w:pPr>
        <w:spacing w:line="440" w:lineRule="exact"/>
        <w:rPr>
          <w:rFonts w:ascii="Times New Roman" w:hAnsi="Times New Roman" w:eastAsia="黑体" w:cs="Times New Roman"/>
          <w:sz w:val="24"/>
        </w:rPr>
      </w:pPr>
      <w:bookmarkStart w:id="90" w:name="_Toc27600_WPSOffice_Level2"/>
      <w:bookmarkStart w:id="91" w:name="_Toc2807_WPSOffice_Level2"/>
      <w:r>
        <w:rPr>
          <w:rFonts w:ascii="Times New Roman" w:hAnsi="Times New Roman" w:eastAsia="黑体" w:cs="Times New Roman"/>
          <w:szCs w:val="21"/>
        </w:rPr>
        <w:t xml:space="preserve"> ______________________________</w:t>
      </w:r>
      <w:r>
        <w:rPr>
          <w:rFonts w:ascii="Times New Roman" w:hAnsi="Times New Roman" w:eastAsia="黑体" w:cs="Times New Roman"/>
          <w:sz w:val="28"/>
          <w:szCs w:val="28"/>
        </w:rPr>
        <w:t>(项目名称)</w:t>
      </w:r>
      <w:r>
        <w:rPr>
          <w:rFonts w:ascii="Times New Roman" w:hAnsi="Times New Roman" w:cs="Times New Roman"/>
          <w:sz w:val="28"/>
          <w:szCs w:val="28"/>
          <w:u w:val="single"/>
        </w:rPr>
        <w:t xml:space="preserve">     </w:t>
      </w:r>
      <w:r>
        <w:rPr>
          <w:rFonts w:ascii="Times New Roman" w:hAnsi="Times New Roman" w:eastAsia="黑体" w:cs="Times New Roman"/>
          <w:sz w:val="28"/>
          <w:szCs w:val="28"/>
        </w:rPr>
        <w:t>合同包询比</w:t>
      </w:r>
    </w:p>
    <w:p>
      <w:pPr>
        <w:spacing w:line="440" w:lineRule="exact"/>
        <w:rPr>
          <w:rFonts w:ascii="Times New Roman" w:hAnsi="Times New Roman" w:eastAsia="黑体" w:cs="Times New Roman"/>
          <w:sz w:val="20"/>
          <w:szCs w:val="20"/>
        </w:rPr>
      </w:pPr>
      <w:r>
        <w:rPr>
          <w:rFonts w:ascii="Times New Roman" w:hAnsi="Times New Roman" w:eastAsia="黑体" w:cs="Times New Roman"/>
          <w:sz w:val="20"/>
          <w:szCs w:val="20"/>
        </w:rPr>
        <w:t xml:space="preserve"> </w:t>
      </w:r>
    </w:p>
    <w:p>
      <w:pPr>
        <w:spacing w:line="440" w:lineRule="exact"/>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jc w:val="center"/>
        <w:rPr>
          <w:rFonts w:ascii="Times New Roman" w:hAnsi="Times New Roman" w:eastAsia="黑体" w:cs="Times New Roman"/>
          <w:sz w:val="50"/>
          <w:szCs w:val="50"/>
        </w:rPr>
      </w:pPr>
      <w:r>
        <w:rPr>
          <w:rFonts w:ascii="Times New Roman" w:hAnsi="Times New Roman" w:eastAsia="黑体" w:cs="Times New Roman"/>
          <w:sz w:val="50"/>
          <w:szCs w:val="50"/>
        </w:rPr>
        <w:t>响  应  文  件</w:t>
      </w:r>
    </w:p>
    <w:p>
      <w:pPr>
        <w:spacing w:line="440" w:lineRule="exact"/>
        <w:ind w:firstLine="3520" w:firstLineChars="1100"/>
        <w:rPr>
          <w:rFonts w:ascii="Times New Roman" w:hAnsi="Times New Roman" w:eastAsia="黑体" w:cs="Times New Roman"/>
          <w:sz w:val="32"/>
          <w:szCs w:val="32"/>
        </w:rPr>
      </w:pPr>
      <w:r>
        <w:rPr>
          <w:rFonts w:hint="eastAsia" w:ascii="Times New Roman" w:hAnsi="Times New Roman" w:eastAsia="黑体" w:cs="Times New Roman"/>
          <w:sz w:val="32"/>
          <w:szCs w:val="32"/>
        </w:rPr>
        <w:t>（技术文件）</w:t>
      </w: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(全称、盖单位章)           </w:t>
      </w:r>
    </w:p>
    <w:p>
      <w:pPr>
        <w:spacing w:line="440" w:lineRule="exact"/>
        <w:ind w:firstLine="2158" w:firstLineChars="771"/>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p>
    <w:p>
      <w:pPr>
        <w:topLinePunct/>
        <w:spacing w:line="440" w:lineRule="exact"/>
        <w:jc w:val="center"/>
        <w:rPr>
          <w:rFonts w:ascii="Times New Roman" w:hAnsi="Times New Roman" w:eastAsia="黑体" w:cs="Times New Roman"/>
          <w:sz w:val="28"/>
          <w:szCs w:val="28"/>
        </w:rPr>
      </w:pPr>
    </w:p>
    <w:p>
      <w:pPr>
        <w:topLinePunct/>
        <w:spacing w:line="440" w:lineRule="exact"/>
        <w:jc w:val="center"/>
        <w:rPr>
          <w:rFonts w:ascii="Times New Roman" w:hAnsi="Times New Roman" w:eastAsia="黑体" w:cs="Times New Roman"/>
          <w:sz w:val="28"/>
          <w:szCs w:val="28"/>
        </w:rPr>
      </w:pPr>
    </w:p>
    <w:p>
      <w:pPr>
        <w:topLinePunct/>
        <w:spacing w:line="440" w:lineRule="exact"/>
        <w:jc w:val="center"/>
        <w:rPr>
          <w:rFonts w:ascii="Times New Roman" w:hAnsi="Times New Roman" w:eastAsia="黑体" w:cs="Times New Roman"/>
          <w:sz w:val="28"/>
          <w:szCs w:val="28"/>
        </w:rPr>
      </w:pPr>
    </w:p>
    <w:p>
      <w:pPr>
        <w:topLinePunct/>
        <w:spacing w:line="440" w:lineRule="exact"/>
        <w:jc w:val="center"/>
        <w:rPr>
          <w:rFonts w:ascii="Times New Roman" w:hAnsi="Times New Roman" w:eastAsia="黑体" w:cs="Times New Roman"/>
          <w:sz w:val="28"/>
          <w:szCs w:val="28"/>
        </w:rPr>
      </w:pPr>
    </w:p>
    <w:p>
      <w:pPr>
        <w:topLinePunct/>
        <w:spacing w:line="440" w:lineRule="exact"/>
        <w:jc w:val="center"/>
        <w:rPr>
          <w:rFonts w:ascii="Times New Roman" w:hAnsi="Times New Roman" w:eastAsia="黑体" w:cs="Times New Roman"/>
          <w:sz w:val="28"/>
          <w:szCs w:val="28"/>
        </w:rPr>
      </w:pPr>
    </w:p>
    <w:p>
      <w:pPr>
        <w:topLinePunct/>
        <w:spacing w:line="440" w:lineRule="exact"/>
        <w:jc w:val="center"/>
        <w:rPr>
          <w:rFonts w:ascii="Times New Roman" w:hAnsi="Times New Roman" w:eastAsia="黑体" w:cs="Times New Roman"/>
          <w:sz w:val="28"/>
          <w:szCs w:val="28"/>
        </w:rPr>
      </w:pPr>
    </w:p>
    <w:p>
      <w:pPr>
        <w:topLinePunct/>
        <w:spacing w:line="440" w:lineRule="exact"/>
        <w:jc w:val="center"/>
        <w:rPr>
          <w:rFonts w:ascii="Times New Roman" w:hAnsi="Times New Roman" w:eastAsia="黑体" w:cs="Times New Roman"/>
          <w:sz w:val="28"/>
          <w:szCs w:val="28"/>
        </w:rPr>
      </w:pPr>
    </w:p>
    <w:p>
      <w:pPr>
        <w:topLinePunct/>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目     录</w:t>
      </w:r>
    </w:p>
    <w:p>
      <w:pPr>
        <w:spacing w:line="440" w:lineRule="exact"/>
        <w:rPr>
          <w:rFonts w:ascii="Times New Roman" w:hAnsi="Times New Roman" w:eastAsia="黑体" w:cs="Times New Roman"/>
          <w:sz w:val="20"/>
          <w:szCs w:val="20"/>
        </w:rPr>
      </w:pPr>
    </w:p>
    <w:p>
      <w:pPr>
        <w:numPr>
          <w:ilvl w:val="0"/>
          <w:numId w:val="5"/>
        </w:numPr>
        <w:spacing w:line="440" w:lineRule="exact"/>
        <w:ind w:left="1619" w:leftChars="771"/>
        <w:rPr>
          <w:rFonts w:ascii="Times New Roman" w:hAnsi="Times New Roman" w:eastAsia="黑体" w:cs="Times New Roman"/>
          <w:sz w:val="24"/>
        </w:rPr>
      </w:pPr>
      <w:r>
        <w:rPr>
          <w:rFonts w:hint="eastAsia" w:ascii="Times New Roman" w:hAnsi="Times New Roman" w:eastAsia="黑体" w:cs="Times New Roman"/>
          <w:sz w:val="24"/>
        </w:rPr>
        <w:t>供应商基本情况</w:t>
      </w:r>
    </w:p>
    <w:p>
      <w:pPr>
        <w:spacing w:line="440" w:lineRule="exact"/>
        <w:ind w:left="1619" w:leftChars="771"/>
        <w:rPr>
          <w:rFonts w:ascii="Times New Roman" w:hAnsi="Times New Roman" w:eastAsia="黑体" w:cs="Times New Roman"/>
          <w:sz w:val="24"/>
        </w:rPr>
      </w:pPr>
      <w:r>
        <w:rPr>
          <w:rFonts w:hint="eastAsia" w:ascii="Times New Roman" w:hAnsi="Times New Roman" w:eastAsia="黑体" w:cs="Times New Roman"/>
          <w:sz w:val="24"/>
        </w:rPr>
        <w:t>二、近年类似业绩情况</w:t>
      </w:r>
    </w:p>
    <w:p>
      <w:pPr>
        <w:spacing w:line="440" w:lineRule="exact"/>
        <w:ind w:left="1619" w:leftChars="771"/>
        <w:rPr>
          <w:rFonts w:ascii="Times New Roman" w:hAnsi="Times New Roman" w:eastAsia="黑体" w:cs="Times New Roman"/>
          <w:sz w:val="24"/>
        </w:rPr>
      </w:pPr>
      <w:r>
        <w:rPr>
          <w:rFonts w:hint="eastAsia" w:ascii="Times New Roman" w:hAnsi="Times New Roman" w:eastAsia="黑体" w:cs="Times New Roman"/>
          <w:sz w:val="24"/>
        </w:rPr>
        <w:t>三、拟委任的主要人员</w:t>
      </w:r>
    </w:p>
    <w:p>
      <w:pPr>
        <w:spacing w:line="440" w:lineRule="exact"/>
        <w:ind w:left="1619" w:leftChars="771"/>
        <w:rPr>
          <w:rFonts w:ascii="Times New Roman" w:hAnsi="Times New Roman" w:eastAsia="黑体" w:cs="Times New Roman"/>
          <w:sz w:val="24"/>
        </w:rPr>
      </w:pPr>
      <w:r>
        <w:rPr>
          <w:rFonts w:hint="eastAsia" w:ascii="Times New Roman" w:hAnsi="Times New Roman" w:eastAsia="黑体" w:cs="Times New Roman"/>
          <w:sz w:val="24"/>
        </w:rPr>
        <w:t>四</w:t>
      </w:r>
      <w:r>
        <w:rPr>
          <w:rFonts w:ascii="Times New Roman" w:hAnsi="Times New Roman" w:eastAsia="黑体" w:cs="Times New Roman"/>
          <w:sz w:val="24"/>
        </w:rPr>
        <w:t>、</w:t>
      </w:r>
      <w:r>
        <w:rPr>
          <w:rFonts w:hint="eastAsia" w:ascii="Times New Roman" w:hAnsi="Times New Roman" w:eastAsia="黑体" w:cs="Times New Roman"/>
          <w:sz w:val="24"/>
        </w:rPr>
        <w:t>响应保证金</w:t>
      </w:r>
    </w:p>
    <w:p>
      <w:pPr>
        <w:spacing w:line="440" w:lineRule="exact"/>
        <w:ind w:left="1619" w:leftChars="771"/>
        <w:rPr>
          <w:rFonts w:ascii="Times New Roman" w:hAnsi="Times New Roman" w:eastAsia="黑体" w:cs="Times New Roman"/>
          <w:sz w:val="24"/>
        </w:rPr>
      </w:pPr>
      <w:r>
        <w:rPr>
          <w:rFonts w:hint="eastAsia" w:ascii="Times New Roman" w:hAnsi="Times New Roman" w:eastAsia="黑体" w:cs="Times New Roman"/>
          <w:sz w:val="24"/>
        </w:rPr>
        <w:t>五、施工组织设计</w:t>
      </w:r>
    </w:p>
    <w:p>
      <w:pPr>
        <w:spacing w:line="440" w:lineRule="exact"/>
        <w:ind w:left="1619" w:leftChars="771"/>
        <w:rPr>
          <w:rFonts w:ascii="Times New Roman" w:hAnsi="Times New Roman" w:eastAsia="黑体" w:cs="Times New Roman"/>
          <w:sz w:val="24"/>
        </w:rPr>
      </w:pPr>
    </w:p>
    <w:p>
      <w:pPr>
        <w:spacing w:line="440" w:lineRule="exact"/>
        <w:ind w:left="1619" w:leftChars="771"/>
        <w:rPr>
          <w:rFonts w:ascii="Times New Roman" w:hAnsi="Times New Roman" w:eastAsia="黑体" w:cs="Times New Roman"/>
          <w:sz w:val="24"/>
        </w:rPr>
      </w:pPr>
    </w:p>
    <w:p>
      <w:pPr>
        <w:spacing w:line="440" w:lineRule="exact"/>
        <w:ind w:left="1619" w:leftChars="771"/>
        <w:rPr>
          <w:rFonts w:ascii="Times New Roman" w:hAnsi="Times New Roman" w:eastAsia="黑体" w:cs="Times New Roman"/>
          <w:sz w:val="24"/>
        </w:rPr>
      </w:pPr>
    </w:p>
    <w:p>
      <w:pPr>
        <w:spacing w:line="440" w:lineRule="exact"/>
        <w:ind w:left="1619" w:leftChars="771"/>
        <w:rPr>
          <w:rFonts w:ascii="Times New Roman" w:hAnsi="Times New Roman" w:eastAsia="黑体" w:cs="Times New Roman"/>
          <w:sz w:val="24"/>
        </w:rPr>
      </w:pPr>
    </w:p>
    <w:p>
      <w:pPr>
        <w:spacing w:line="440" w:lineRule="exact"/>
        <w:ind w:left="1619" w:leftChars="771"/>
        <w:rPr>
          <w:rFonts w:ascii="Times New Roman" w:hAnsi="Times New Roman" w:eastAsia="黑体" w:cs="Times New Roman"/>
          <w:sz w:val="24"/>
        </w:rPr>
      </w:pPr>
    </w:p>
    <w:p>
      <w:pPr>
        <w:spacing w:line="440" w:lineRule="exact"/>
        <w:ind w:left="1619" w:leftChars="771"/>
        <w:rPr>
          <w:rFonts w:ascii="Times New Roman" w:hAnsi="Times New Roman" w:eastAsia="黑体" w:cs="Times New Roman"/>
          <w:sz w:val="24"/>
        </w:rPr>
      </w:pPr>
    </w:p>
    <w:p>
      <w:pPr>
        <w:spacing w:line="440" w:lineRule="exact"/>
        <w:ind w:left="1619" w:leftChars="771"/>
        <w:rPr>
          <w:rFonts w:ascii="Times New Roman" w:hAnsi="Times New Roman" w:eastAsia="黑体" w:cs="Times New Roman"/>
          <w:sz w:val="24"/>
        </w:rPr>
      </w:pPr>
    </w:p>
    <w:p>
      <w:pPr>
        <w:spacing w:line="440" w:lineRule="exact"/>
        <w:ind w:left="1619" w:leftChars="771"/>
        <w:rPr>
          <w:rFonts w:ascii="Times New Roman" w:hAnsi="Times New Roman" w:eastAsia="黑体" w:cs="Times New Roman"/>
          <w:sz w:val="24"/>
        </w:rPr>
      </w:pPr>
    </w:p>
    <w:p>
      <w:pPr>
        <w:spacing w:line="440" w:lineRule="exact"/>
        <w:ind w:left="1619" w:leftChars="771"/>
        <w:rPr>
          <w:rFonts w:ascii="Times New Roman" w:hAnsi="Times New Roman" w:eastAsia="黑体" w:cs="Times New Roman"/>
          <w:sz w:val="24"/>
        </w:rPr>
      </w:pPr>
    </w:p>
    <w:p>
      <w:pPr>
        <w:spacing w:line="440" w:lineRule="exact"/>
        <w:ind w:left="1619" w:leftChars="771"/>
        <w:rPr>
          <w:rFonts w:ascii="Times New Roman" w:hAnsi="Times New Roman" w:eastAsia="黑体" w:cs="Times New Roman"/>
          <w:sz w:val="24"/>
        </w:rPr>
      </w:pPr>
    </w:p>
    <w:p>
      <w:pPr>
        <w:spacing w:line="440" w:lineRule="exact"/>
        <w:ind w:left="1619" w:leftChars="771"/>
        <w:rPr>
          <w:rFonts w:ascii="Times New Roman" w:hAnsi="Times New Roman" w:eastAsia="黑体" w:cs="Times New Roman"/>
          <w:sz w:val="24"/>
        </w:rPr>
      </w:pPr>
    </w:p>
    <w:p>
      <w:pPr>
        <w:spacing w:line="440" w:lineRule="exact"/>
        <w:ind w:left="1619" w:leftChars="771"/>
        <w:rPr>
          <w:rFonts w:ascii="Times New Roman" w:hAnsi="Times New Roman" w:eastAsia="黑体" w:cs="Times New Roman"/>
          <w:sz w:val="24"/>
        </w:rPr>
      </w:pPr>
    </w:p>
    <w:p>
      <w:pPr>
        <w:spacing w:line="440" w:lineRule="exact"/>
        <w:ind w:left="1619" w:leftChars="771"/>
        <w:rPr>
          <w:rFonts w:ascii="Times New Roman" w:hAnsi="Times New Roman" w:eastAsia="黑体" w:cs="Times New Roman"/>
          <w:sz w:val="24"/>
        </w:rPr>
      </w:pPr>
    </w:p>
    <w:p>
      <w:pPr>
        <w:spacing w:line="440" w:lineRule="exact"/>
        <w:ind w:left="1619" w:leftChars="771"/>
        <w:rPr>
          <w:rFonts w:ascii="Times New Roman" w:hAnsi="Times New Roman" w:eastAsia="黑体" w:cs="Times New Roman"/>
          <w:sz w:val="24"/>
        </w:rPr>
      </w:pPr>
    </w:p>
    <w:p>
      <w:pPr>
        <w:spacing w:line="440" w:lineRule="exact"/>
        <w:ind w:left="1619" w:leftChars="771"/>
        <w:rPr>
          <w:rFonts w:ascii="Times New Roman" w:hAnsi="Times New Roman" w:eastAsia="黑体" w:cs="Times New Roman"/>
          <w:sz w:val="24"/>
        </w:rPr>
      </w:pPr>
    </w:p>
    <w:p>
      <w:pPr>
        <w:spacing w:line="440" w:lineRule="exact"/>
        <w:ind w:left="1619" w:leftChars="771"/>
        <w:rPr>
          <w:rFonts w:ascii="Times New Roman" w:hAnsi="Times New Roman" w:eastAsia="黑体" w:cs="Times New Roman"/>
          <w:sz w:val="24"/>
        </w:rPr>
      </w:pPr>
    </w:p>
    <w:p>
      <w:pPr>
        <w:spacing w:line="440" w:lineRule="exact"/>
        <w:ind w:left="1619" w:leftChars="771"/>
        <w:rPr>
          <w:rFonts w:ascii="Times New Roman" w:hAnsi="Times New Roman" w:eastAsia="黑体" w:cs="Times New Roman"/>
          <w:sz w:val="24"/>
        </w:rPr>
      </w:pPr>
    </w:p>
    <w:p>
      <w:pPr>
        <w:spacing w:line="440" w:lineRule="exact"/>
        <w:ind w:left="1619" w:leftChars="771"/>
        <w:rPr>
          <w:rFonts w:ascii="Times New Roman" w:hAnsi="Times New Roman" w:eastAsia="黑体" w:cs="Times New Roman"/>
          <w:sz w:val="24"/>
        </w:rPr>
      </w:pPr>
    </w:p>
    <w:p>
      <w:pPr>
        <w:spacing w:line="440" w:lineRule="exact"/>
        <w:ind w:left="1619" w:leftChars="771"/>
        <w:rPr>
          <w:rFonts w:ascii="Times New Roman" w:hAnsi="Times New Roman" w:eastAsia="黑体" w:cs="Times New Roman"/>
          <w:sz w:val="24"/>
        </w:rPr>
      </w:pPr>
    </w:p>
    <w:p>
      <w:pPr>
        <w:spacing w:line="440" w:lineRule="exact"/>
        <w:ind w:left="1619" w:leftChars="771"/>
        <w:rPr>
          <w:rFonts w:ascii="Times New Roman" w:hAnsi="Times New Roman" w:eastAsia="黑体" w:cs="Times New Roman"/>
          <w:sz w:val="24"/>
        </w:rPr>
      </w:pPr>
    </w:p>
    <w:p>
      <w:pPr>
        <w:spacing w:line="440" w:lineRule="exact"/>
        <w:ind w:left="1619" w:leftChars="771"/>
        <w:rPr>
          <w:rFonts w:ascii="Times New Roman" w:hAnsi="Times New Roman" w:eastAsia="黑体" w:cs="Times New Roman"/>
          <w:sz w:val="24"/>
        </w:rPr>
      </w:pPr>
    </w:p>
    <w:p>
      <w:pPr>
        <w:spacing w:line="440" w:lineRule="exact"/>
        <w:ind w:left="1619" w:leftChars="771"/>
        <w:rPr>
          <w:rFonts w:ascii="Times New Roman" w:hAnsi="Times New Roman" w:eastAsia="黑体" w:cs="Times New Roman"/>
          <w:sz w:val="24"/>
        </w:rPr>
      </w:pPr>
    </w:p>
    <w:p>
      <w:pPr>
        <w:spacing w:line="440" w:lineRule="exact"/>
        <w:ind w:left="1619" w:leftChars="771"/>
        <w:rPr>
          <w:rFonts w:ascii="Times New Roman" w:hAnsi="Times New Roman" w:eastAsia="黑体" w:cs="Times New Roman"/>
          <w:sz w:val="24"/>
        </w:rPr>
      </w:pPr>
    </w:p>
    <w:p>
      <w:pPr>
        <w:spacing w:line="440" w:lineRule="exact"/>
        <w:ind w:left="1619" w:leftChars="771"/>
        <w:rPr>
          <w:rFonts w:ascii="Times New Roman" w:hAnsi="Times New Roman" w:eastAsia="黑体" w:cs="Times New Roman"/>
          <w:sz w:val="24"/>
        </w:rPr>
      </w:pPr>
    </w:p>
    <w:p>
      <w:pPr>
        <w:spacing w:line="440" w:lineRule="exact"/>
        <w:ind w:left="1619" w:leftChars="771"/>
        <w:rPr>
          <w:rFonts w:ascii="Times New Roman" w:hAnsi="Times New Roman" w:eastAsia="黑体" w:cs="Times New Roman"/>
          <w:sz w:val="24"/>
        </w:rPr>
      </w:pPr>
    </w:p>
    <w:p>
      <w:pPr>
        <w:topLinePunct/>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一、</w:t>
      </w:r>
      <w:r>
        <w:rPr>
          <w:rFonts w:ascii="Times New Roman" w:hAnsi="Times New Roman" w:eastAsia="黑体" w:cs="Times New Roman"/>
          <w:sz w:val="28"/>
          <w:szCs w:val="28"/>
        </w:rPr>
        <w:t>供应商基本情况</w:t>
      </w:r>
      <w:bookmarkEnd w:id="90"/>
      <w:bookmarkEnd w:id="91"/>
    </w:p>
    <w:p>
      <w:pPr>
        <w:topLinePunct/>
        <w:spacing w:line="440" w:lineRule="exact"/>
        <w:jc w:val="center"/>
        <w:rPr>
          <w:rFonts w:ascii="Times New Roman" w:hAnsi="Times New Roman" w:cs="Times New Roman"/>
          <w:sz w:val="23"/>
          <w:szCs w:val="23"/>
        </w:rPr>
      </w:pPr>
    </w:p>
    <w:tbl>
      <w:tblPr>
        <w:tblStyle w:val="14"/>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电 话</w:t>
            </w: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217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电</w:t>
            </w:r>
            <w:r>
              <w:rPr>
                <w:rFonts w:hint="eastAsia" w:ascii="Times New Roman" w:hAnsi="Times New Roman" w:cs="Times New Roman"/>
                <w:szCs w:val="21"/>
              </w:rPr>
              <w:t xml:space="preserve"> </w:t>
            </w:r>
            <w:r>
              <w:rPr>
                <w:rFonts w:ascii="Times New Roman" w:hAnsi="Times New Roman" w:cs="Times New Roman"/>
                <w:szCs w:val="21"/>
              </w:rPr>
              <w:t>话</w:t>
            </w: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  务</w:t>
            </w:r>
          </w:p>
        </w:tc>
        <w:tc>
          <w:tcPr>
            <w:tcW w:w="217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217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imes New Roman" w:hAnsi="Times New Roman" w:cs="Times New Roman"/>
                <w:szCs w:val="21"/>
              </w:rPr>
            </w:pPr>
          </w:p>
          <w:p>
            <w:pPr>
              <w:topLinePunct/>
              <w:spacing w:line="440" w:lineRule="exact"/>
              <w:jc w:val="center"/>
              <w:rPr>
                <w:rFonts w:ascii="Times New Roman" w:hAnsi="Times New Roman" w:cs="Times New Roman"/>
                <w:szCs w:val="21"/>
              </w:rPr>
            </w:pPr>
          </w:p>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bl>
    <w:p>
      <w:pPr>
        <w:widowControl/>
        <w:autoSpaceDE w:val="0"/>
        <w:autoSpaceDN w:val="0"/>
        <w:spacing w:line="360" w:lineRule="atLeast"/>
        <w:ind w:left="180"/>
        <w:textAlignment w:val="bottom"/>
        <w:rPr>
          <w:rFonts w:ascii="Times New Roman" w:hAnsi="Times New Roman" w:cs="Times New Roman"/>
          <w:sz w:val="20"/>
          <w:szCs w:val="20"/>
        </w:rPr>
      </w:pPr>
      <w:r>
        <w:rPr>
          <w:rFonts w:ascii="Times New Roman" w:hAnsi="Times New Roman" w:eastAsia="黑体" w:cs="Times New Roman"/>
          <w:szCs w:val="21"/>
        </w:rPr>
        <w:t>注：</w:t>
      </w:r>
    </w:p>
    <w:p>
      <w:pPr>
        <w:widowControl/>
        <w:autoSpaceDE w:val="0"/>
        <w:autoSpaceDN w:val="0"/>
        <w:spacing w:line="360" w:lineRule="atLeast"/>
        <w:ind w:left="420" w:leftChars="200"/>
        <w:textAlignment w:val="bottom"/>
        <w:rPr>
          <w:rFonts w:ascii="Times New Roman" w:hAnsi="Times New Roman" w:eastAsia="黑体" w:cs="Times New Roman"/>
          <w:szCs w:val="21"/>
        </w:rPr>
      </w:pPr>
      <w:r>
        <w:rPr>
          <w:rFonts w:ascii="Times New Roman" w:hAnsi="Times New Roman" w:eastAsia="黑体" w:cs="Times New Roman"/>
          <w:szCs w:val="21"/>
        </w:rPr>
        <w:t>在本表后应附企业法人营业执照、资质证书</w:t>
      </w:r>
      <w:r>
        <w:rPr>
          <w:rFonts w:hint="eastAsia" w:ascii="Times New Roman" w:hAnsi="Times New Roman" w:eastAsia="黑体" w:cs="Times New Roman"/>
          <w:szCs w:val="21"/>
        </w:rPr>
        <w:t>（如有）</w:t>
      </w:r>
      <w:r>
        <w:rPr>
          <w:rFonts w:ascii="Times New Roman" w:hAnsi="Times New Roman" w:eastAsia="黑体" w:cs="Times New Roman"/>
          <w:szCs w:val="21"/>
        </w:rPr>
        <w:t>、安全生产许可证</w:t>
      </w:r>
      <w:r>
        <w:rPr>
          <w:rFonts w:hint="eastAsia" w:ascii="Times New Roman" w:hAnsi="Times New Roman" w:eastAsia="黑体" w:cs="Times New Roman"/>
          <w:szCs w:val="21"/>
        </w:rPr>
        <w:t>（如有）</w:t>
      </w:r>
      <w:r>
        <w:rPr>
          <w:rFonts w:ascii="Times New Roman" w:hAnsi="Times New Roman" w:eastAsia="黑体" w:cs="Times New Roman"/>
          <w:szCs w:val="21"/>
        </w:rPr>
        <w:t>及资格审查要求的其他证件复印件。</w:t>
      </w:r>
    </w:p>
    <w:p>
      <w:pPr>
        <w:widowControl/>
        <w:autoSpaceDE w:val="0"/>
        <w:autoSpaceDN w:val="0"/>
        <w:spacing w:line="360" w:lineRule="atLeast"/>
        <w:ind w:left="420" w:leftChars="200"/>
        <w:textAlignment w:val="bottom"/>
        <w:rPr>
          <w:rFonts w:ascii="Times New Roman" w:hAnsi="Times New Roman" w:eastAsia="黑体" w:cs="Times New Roman"/>
          <w:szCs w:val="21"/>
        </w:rPr>
      </w:pPr>
    </w:p>
    <w:p>
      <w:pPr>
        <w:widowControl/>
        <w:rPr>
          <w:rFonts w:ascii="Times New Roman" w:hAnsi="Times New Roman" w:eastAsia="黑体" w:cs="Times New Roman"/>
          <w:sz w:val="24"/>
        </w:rPr>
      </w:pPr>
      <w:r>
        <w:rPr>
          <w:rFonts w:ascii="Times New Roman" w:hAnsi="Times New Roman" w:eastAsia="黑体" w:cs="Times New Roman"/>
          <w:szCs w:val="21"/>
        </w:rPr>
        <w:br w:type="page"/>
      </w:r>
    </w:p>
    <w:p>
      <w:pPr>
        <w:spacing w:line="440" w:lineRule="exact"/>
        <w:ind w:left="420"/>
        <w:jc w:val="center"/>
        <w:outlineLvl w:val="1"/>
        <w:rPr>
          <w:rFonts w:ascii="Times New Roman" w:hAnsi="Times New Roman" w:eastAsia="黑体" w:cs="Times New Roman"/>
          <w:sz w:val="28"/>
          <w:szCs w:val="28"/>
        </w:rPr>
      </w:pPr>
      <w:bookmarkStart w:id="92" w:name="_Toc17671_WPSOffice_Level1"/>
      <w:bookmarkStart w:id="93" w:name="_Toc24551_WPSOffice_Level1"/>
      <w:bookmarkStart w:id="94" w:name="_Toc29313_WPSOffice_Level1"/>
      <w:bookmarkStart w:id="95" w:name="_Toc4739_WPSOffice_Level1"/>
      <w:bookmarkStart w:id="96" w:name="_Toc24001_WPSOffice_Level1"/>
      <w:bookmarkStart w:id="97" w:name="_Toc8003_WPSOffice_Level1"/>
      <w:bookmarkStart w:id="98" w:name="_Toc1987_WPSOffice_Level1"/>
      <w:r>
        <w:rPr>
          <w:rFonts w:hint="eastAsia" w:ascii="Times New Roman" w:hAnsi="Times New Roman" w:eastAsia="黑体" w:cs="Times New Roman"/>
          <w:sz w:val="28"/>
          <w:szCs w:val="28"/>
        </w:rPr>
        <w:t>二</w:t>
      </w:r>
      <w:r>
        <w:rPr>
          <w:rFonts w:ascii="Times New Roman" w:hAnsi="Times New Roman" w:eastAsia="黑体" w:cs="Times New Roman"/>
          <w:sz w:val="28"/>
          <w:szCs w:val="28"/>
        </w:rPr>
        <w:t>、</w:t>
      </w:r>
      <w:r>
        <w:rPr>
          <w:rFonts w:hint="eastAsia" w:ascii="Times New Roman" w:hAnsi="Times New Roman" w:eastAsia="黑体" w:cs="Times New Roman"/>
          <w:sz w:val="28"/>
          <w:szCs w:val="28"/>
        </w:rPr>
        <w:t>近年类似业绩情况</w:t>
      </w:r>
      <w:bookmarkEnd w:id="92"/>
      <w:bookmarkEnd w:id="93"/>
    </w:p>
    <w:p>
      <w:pPr>
        <w:widowControl/>
        <w:autoSpaceDE w:val="0"/>
        <w:autoSpaceDN w:val="0"/>
        <w:spacing w:line="360" w:lineRule="atLeast"/>
        <w:textAlignment w:val="bottom"/>
        <w:rPr>
          <w:rFonts w:ascii="Times New Roman" w:hAnsi="Times New Roman" w:eastAsia="黑体" w:cs="Times New Roman"/>
          <w:szCs w:val="21"/>
        </w:rPr>
      </w:pPr>
    </w:p>
    <w:p>
      <w:pPr>
        <w:widowControl/>
        <w:autoSpaceDE w:val="0"/>
        <w:autoSpaceDN w:val="0"/>
        <w:spacing w:line="360" w:lineRule="atLeast"/>
        <w:textAlignment w:val="bottom"/>
        <w:rPr>
          <w:rFonts w:ascii="Times New Roman" w:hAnsi="Times New Roman" w:eastAsia="黑体" w:cs="Times New Roman"/>
          <w:szCs w:val="21"/>
        </w:rPr>
      </w:pPr>
      <w:r>
        <w:rPr>
          <w:rFonts w:hint="eastAsia" w:ascii="Times New Roman" w:hAnsi="Times New Roman" w:eastAsia="黑体" w:cs="Times New Roman"/>
          <w:szCs w:val="21"/>
        </w:rPr>
        <w:t>1、业绩证明材料：</w:t>
      </w:r>
      <w:r>
        <w:rPr>
          <w:rFonts w:hint="eastAsia" w:ascii="Times New Roman" w:hAnsi="Times New Roman" w:eastAsia="黑体" w:cs="Times New Roman"/>
          <w:szCs w:val="21"/>
          <w:u w:val="single"/>
        </w:rPr>
        <w:t xml:space="preserve">                              </w:t>
      </w:r>
      <w:r>
        <w:rPr>
          <w:rFonts w:ascii="Times New Roman" w:hAnsi="Times New Roman" w:eastAsia="黑体" w:cs="Times New Roman"/>
          <w:szCs w:val="21"/>
        </w:rPr>
        <w:t>。</w:t>
      </w:r>
    </w:p>
    <w:p>
      <w:pPr>
        <w:pStyle w:val="2"/>
        <w:rPr>
          <w:rFonts w:eastAsia="黑体"/>
        </w:rPr>
      </w:pPr>
      <w:r>
        <w:rPr>
          <w:rFonts w:hint="eastAsia" w:ascii="Times New Roman" w:hAnsi="Times New Roman" w:eastAsia="黑体" w:cs="Times New Roman"/>
          <w:szCs w:val="21"/>
        </w:rPr>
        <w:t>2、如近年来，供应商法人机构发生合法变更或重组或法人名称变更时，应提供相关部门的合法批件或其他相关证明材料来证明其所附业绩的继承性。</w:t>
      </w:r>
    </w:p>
    <w:p>
      <w:pPr>
        <w:widowControl/>
        <w:autoSpaceDE w:val="0"/>
        <w:autoSpaceDN w:val="0"/>
        <w:spacing w:line="360" w:lineRule="atLeast"/>
        <w:jc w:val="center"/>
        <w:textAlignment w:val="bottom"/>
        <w:rPr>
          <w:rFonts w:ascii="Times New Roman" w:hAnsi="Times New Roman" w:eastAsia="黑体" w:cs="Times New Roman"/>
          <w:sz w:val="28"/>
          <w:szCs w:val="28"/>
        </w:rPr>
      </w:pPr>
    </w:p>
    <w:p>
      <w:pPr>
        <w:pStyle w:val="2"/>
      </w:pPr>
    </w:p>
    <w:p>
      <w:pPr>
        <w:widowControl/>
        <w:autoSpaceDE w:val="0"/>
        <w:autoSpaceDN w:val="0"/>
        <w:spacing w:line="360" w:lineRule="atLeast"/>
        <w:jc w:val="center"/>
        <w:textAlignment w:val="bottom"/>
        <w:rPr>
          <w:rFonts w:ascii="Times New Roman" w:hAnsi="Times New Roman" w:eastAsia="黑体" w:cs="Times New Roman"/>
          <w:sz w:val="28"/>
          <w:szCs w:val="28"/>
        </w:rPr>
      </w:pPr>
    </w:p>
    <w:p>
      <w:pPr>
        <w:widowControl/>
        <w:autoSpaceDE w:val="0"/>
        <w:autoSpaceDN w:val="0"/>
        <w:spacing w:line="360" w:lineRule="atLeast"/>
        <w:jc w:val="center"/>
        <w:textAlignment w:val="bottom"/>
        <w:rPr>
          <w:rFonts w:ascii="Times New Roman" w:hAnsi="Times New Roman" w:eastAsia="黑体" w:cs="Times New Roman"/>
          <w:sz w:val="28"/>
          <w:szCs w:val="28"/>
        </w:rPr>
      </w:pPr>
    </w:p>
    <w:p>
      <w:pPr>
        <w:widowControl/>
        <w:autoSpaceDE w:val="0"/>
        <w:autoSpaceDN w:val="0"/>
        <w:spacing w:line="360" w:lineRule="atLeast"/>
        <w:jc w:val="center"/>
        <w:textAlignment w:val="bottom"/>
        <w:rPr>
          <w:rFonts w:ascii="Times New Roman" w:hAnsi="Times New Roman" w:eastAsia="黑体" w:cs="Times New Roman"/>
          <w:sz w:val="28"/>
          <w:szCs w:val="28"/>
        </w:rPr>
      </w:pPr>
    </w:p>
    <w:p>
      <w:pPr>
        <w:widowControl/>
        <w:autoSpaceDE w:val="0"/>
        <w:autoSpaceDN w:val="0"/>
        <w:spacing w:line="360" w:lineRule="atLeast"/>
        <w:jc w:val="center"/>
        <w:textAlignment w:val="bottom"/>
        <w:rPr>
          <w:rFonts w:ascii="Times New Roman" w:hAnsi="Times New Roman" w:eastAsia="黑体" w:cs="Times New Roman"/>
          <w:sz w:val="28"/>
          <w:szCs w:val="28"/>
        </w:rPr>
      </w:pPr>
    </w:p>
    <w:p>
      <w:pPr>
        <w:widowControl/>
        <w:autoSpaceDE w:val="0"/>
        <w:autoSpaceDN w:val="0"/>
        <w:spacing w:line="360" w:lineRule="atLeast"/>
        <w:jc w:val="center"/>
        <w:textAlignment w:val="bottom"/>
        <w:rPr>
          <w:rFonts w:ascii="Times New Roman" w:hAnsi="Times New Roman" w:eastAsia="黑体" w:cs="Times New Roman"/>
          <w:sz w:val="28"/>
          <w:szCs w:val="28"/>
        </w:rPr>
      </w:pPr>
    </w:p>
    <w:p>
      <w:pPr>
        <w:widowControl/>
        <w:autoSpaceDE w:val="0"/>
        <w:autoSpaceDN w:val="0"/>
        <w:spacing w:line="360" w:lineRule="atLeast"/>
        <w:jc w:val="center"/>
        <w:textAlignment w:val="bottom"/>
        <w:rPr>
          <w:rFonts w:ascii="Times New Roman" w:hAnsi="Times New Roman" w:eastAsia="黑体" w:cs="Times New Roman"/>
          <w:sz w:val="28"/>
          <w:szCs w:val="28"/>
        </w:rPr>
      </w:pPr>
    </w:p>
    <w:p>
      <w:pPr>
        <w:widowControl/>
        <w:autoSpaceDE w:val="0"/>
        <w:autoSpaceDN w:val="0"/>
        <w:spacing w:line="360" w:lineRule="atLeast"/>
        <w:jc w:val="center"/>
        <w:textAlignment w:val="bottom"/>
        <w:rPr>
          <w:rFonts w:ascii="Times New Roman" w:hAnsi="Times New Roman" w:eastAsia="黑体" w:cs="Times New Roman"/>
          <w:sz w:val="28"/>
          <w:szCs w:val="28"/>
        </w:rPr>
      </w:pPr>
    </w:p>
    <w:p>
      <w:pPr>
        <w:widowControl/>
        <w:autoSpaceDE w:val="0"/>
        <w:autoSpaceDN w:val="0"/>
        <w:spacing w:line="360" w:lineRule="atLeast"/>
        <w:jc w:val="center"/>
        <w:textAlignment w:val="bottom"/>
        <w:rPr>
          <w:rFonts w:ascii="Times New Roman" w:hAnsi="Times New Roman" w:eastAsia="黑体" w:cs="Times New Roman"/>
          <w:sz w:val="28"/>
          <w:szCs w:val="28"/>
        </w:rPr>
      </w:pPr>
    </w:p>
    <w:p>
      <w:pPr>
        <w:widowControl/>
        <w:autoSpaceDE w:val="0"/>
        <w:autoSpaceDN w:val="0"/>
        <w:spacing w:line="360" w:lineRule="atLeast"/>
        <w:jc w:val="center"/>
        <w:textAlignment w:val="bottom"/>
        <w:rPr>
          <w:rFonts w:ascii="Times New Roman" w:hAnsi="Times New Roman" w:eastAsia="黑体" w:cs="Times New Roman"/>
          <w:sz w:val="28"/>
          <w:szCs w:val="28"/>
        </w:rPr>
      </w:pPr>
    </w:p>
    <w:p>
      <w:pPr>
        <w:widowControl/>
        <w:autoSpaceDE w:val="0"/>
        <w:autoSpaceDN w:val="0"/>
        <w:spacing w:line="360" w:lineRule="atLeast"/>
        <w:jc w:val="center"/>
        <w:textAlignment w:val="bottom"/>
        <w:rPr>
          <w:rFonts w:ascii="Times New Roman" w:hAnsi="Times New Roman" w:eastAsia="黑体" w:cs="Times New Roman"/>
          <w:sz w:val="28"/>
          <w:szCs w:val="28"/>
        </w:rPr>
      </w:pPr>
    </w:p>
    <w:p>
      <w:pPr>
        <w:widowControl/>
        <w:autoSpaceDE w:val="0"/>
        <w:autoSpaceDN w:val="0"/>
        <w:spacing w:line="360" w:lineRule="atLeast"/>
        <w:jc w:val="center"/>
        <w:textAlignment w:val="bottom"/>
        <w:rPr>
          <w:rFonts w:ascii="Times New Roman" w:hAnsi="Times New Roman" w:eastAsia="黑体" w:cs="Times New Roman"/>
          <w:sz w:val="28"/>
          <w:szCs w:val="28"/>
        </w:rPr>
      </w:pPr>
    </w:p>
    <w:p>
      <w:pPr>
        <w:widowControl/>
        <w:autoSpaceDE w:val="0"/>
        <w:autoSpaceDN w:val="0"/>
        <w:spacing w:line="360" w:lineRule="atLeast"/>
        <w:jc w:val="center"/>
        <w:textAlignment w:val="bottom"/>
        <w:rPr>
          <w:rFonts w:ascii="Times New Roman" w:hAnsi="Times New Roman" w:eastAsia="黑体" w:cs="Times New Roman"/>
          <w:sz w:val="28"/>
          <w:szCs w:val="28"/>
        </w:rPr>
      </w:pPr>
    </w:p>
    <w:p>
      <w:pPr>
        <w:widowControl/>
        <w:autoSpaceDE w:val="0"/>
        <w:autoSpaceDN w:val="0"/>
        <w:spacing w:line="360" w:lineRule="atLeast"/>
        <w:jc w:val="center"/>
        <w:textAlignment w:val="bottom"/>
        <w:rPr>
          <w:rFonts w:ascii="Times New Roman" w:hAnsi="Times New Roman" w:eastAsia="黑体" w:cs="Times New Roman"/>
          <w:sz w:val="28"/>
          <w:szCs w:val="28"/>
        </w:rPr>
      </w:pPr>
    </w:p>
    <w:p>
      <w:pPr>
        <w:widowControl/>
        <w:autoSpaceDE w:val="0"/>
        <w:autoSpaceDN w:val="0"/>
        <w:spacing w:line="360" w:lineRule="atLeast"/>
        <w:jc w:val="center"/>
        <w:textAlignment w:val="bottom"/>
        <w:rPr>
          <w:rFonts w:ascii="Times New Roman" w:hAnsi="Times New Roman" w:eastAsia="黑体" w:cs="Times New Roman"/>
          <w:sz w:val="28"/>
          <w:szCs w:val="28"/>
        </w:rPr>
      </w:pPr>
    </w:p>
    <w:p>
      <w:pPr>
        <w:widowControl/>
        <w:autoSpaceDE w:val="0"/>
        <w:autoSpaceDN w:val="0"/>
        <w:spacing w:line="360" w:lineRule="atLeast"/>
        <w:jc w:val="center"/>
        <w:textAlignment w:val="bottom"/>
        <w:rPr>
          <w:rFonts w:ascii="Times New Roman" w:hAnsi="Times New Roman" w:eastAsia="黑体" w:cs="Times New Roman"/>
          <w:sz w:val="28"/>
          <w:szCs w:val="28"/>
        </w:rPr>
      </w:pPr>
    </w:p>
    <w:p>
      <w:pPr>
        <w:widowControl/>
        <w:autoSpaceDE w:val="0"/>
        <w:autoSpaceDN w:val="0"/>
        <w:spacing w:line="360" w:lineRule="atLeast"/>
        <w:jc w:val="center"/>
        <w:textAlignment w:val="bottom"/>
        <w:rPr>
          <w:rFonts w:ascii="Times New Roman" w:hAnsi="Times New Roman" w:eastAsia="黑体" w:cs="Times New Roman"/>
          <w:sz w:val="28"/>
          <w:szCs w:val="28"/>
        </w:rPr>
      </w:pPr>
    </w:p>
    <w:p>
      <w:pPr>
        <w:widowControl/>
        <w:autoSpaceDE w:val="0"/>
        <w:autoSpaceDN w:val="0"/>
        <w:spacing w:line="360" w:lineRule="atLeast"/>
        <w:textAlignment w:val="bottom"/>
        <w:rPr>
          <w:rFonts w:ascii="Times New Roman" w:hAnsi="Times New Roman" w:eastAsia="黑体" w:cs="Times New Roman"/>
          <w:sz w:val="28"/>
          <w:szCs w:val="28"/>
        </w:rPr>
      </w:pPr>
    </w:p>
    <w:p>
      <w:pPr>
        <w:widowControl/>
        <w:autoSpaceDE w:val="0"/>
        <w:autoSpaceDN w:val="0"/>
        <w:spacing w:line="360" w:lineRule="atLeast"/>
        <w:jc w:val="center"/>
        <w:textAlignment w:val="bottom"/>
        <w:rPr>
          <w:rFonts w:ascii="Times New Roman" w:hAnsi="Times New Roman" w:eastAsia="黑体" w:cs="Times New Roman"/>
          <w:sz w:val="28"/>
          <w:szCs w:val="28"/>
        </w:rPr>
      </w:pPr>
      <w:r>
        <w:rPr>
          <w:rFonts w:hint="eastAsia" w:ascii="Times New Roman" w:hAnsi="Times New Roman" w:eastAsia="黑体" w:cs="Times New Roman"/>
          <w:sz w:val="28"/>
          <w:szCs w:val="28"/>
        </w:rPr>
        <w:t>三、</w:t>
      </w:r>
      <w:r>
        <w:rPr>
          <w:rFonts w:ascii="Times New Roman" w:hAnsi="Times New Roman" w:eastAsia="黑体" w:cs="Times New Roman"/>
          <w:sz w:val="28"/>
          <w:szCs w:val="28"/>
        </w:rPr>
        <w:t>拟委任的主要人</w:t>
      </w:r>
      <w:bookmarkEnd w:id="94"/>
      <w:r>
        <w:rPr>
          <w:rFonts w:ascii="Times New Roman" w:hAnsi="Times New Roman" w:eastAsia="黑体" w:cs="Times New Roman"/>
          <w:sz w:val="28"/>
          <w:szCs w:val="28"/>
        </w:rPr>
        <w:t>员</w:t>
      </w:r>
      <w:bookmarkEnd w:id="95"/>
      <w:bookmarkEnd w:id="96"/>
      <w:bookmarkEnd w:id="97"/>
      <w:bookmarkEnd w:id="98"/>
    </w:p>
    <w:p>
      <w:pPr>
        <w:widowControl/>
        <w:jc w:val="center"/>
        <w:rPr>
          <w:rFonts w:ascii="Times New Roman" w:hAnsi="Times New Roman" w:eastAsia="黑体" w:cs="Times New Roman"/>
          <w:sz w:val="28"/>
          <w:szCs w:val="28"/>
        </w:rPr>
      </w:pPr>
      <w:r>
        <w:rPr>
          <w:rFonts w:ascii="黑体" w:hAnsi="宋体" w:eastAsia="黑体" w:cs="黑体"/>
          <w:color w:val="000000"/>
          <w:kern w:val="0"/>
          <w:sz w:val="30"/>
          <w:szCs w:val="30"/>
          <w:lang w:bidi="ar"/>
        </w:rPr>
        <w:t>本项目主要人员配置情况一览表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1840"/>
        <w:gridCol w:w="1420"/>
        <w:gridCol w:w="2440"/>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r>
              <w:rPr>
                <w:rFonts w:hint="eastAsia" w:ascii="Times New Roman" w:hAnsi="Times New Roman" w:eastAsia="黑体" w:cs="Times New Roman"/>
                <w:sz w:val="28"/>
                <w:szCs w:val="28"/>
              </w:rPr>
              <w:t>序号</w:t>
            </w:r>
          </w:p>
        </w:tc>
        <w:tc>
          <w:tcPr>
            <w:tcW w:w="1840"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r>
              <w:rPr>
                <w:rFonts w:hint="eastAsia" w:ascii="Times New Roman" w:hAnsi="Times New Roman" w:eastAsia="黑体" w:cs="Times New Roman"/>
                <w:sz w:val="28"/>
                <w:szCs w:val="28"/>
              </w:rPr>
              <w:t>姓名</w:t>
            </w:r>
          </w:p>
        </w:tc>
        <w:tc>
          <w:tcPr>
            <w:tcW w:w="1420"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r>
              <w:rPr>
                <w:rFonts w:hint="eastAsia" w:ascii="Times New Roman" w:hAnsi="Times New Roman" w:eastAsia="黑体" w:cs="Times New Roman"/>
                <w:sz w:val="28"/>
                <w:szCs w:val="28"/>
              </w:rPr>
              <w:t>身份证号</w:t>
            </w:r>
          </w:p>
        </w:tc>
        <w:tc>
          <w:tcPr>
            <w:tcW w:w="2440"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r>
              <w:rPr>
                <w:rFonts w:hint="eastAsia" w:ascii="Times New Roman" w:hAnsi="Times New Roman" w:eastAsia="黑体" w:cs="Times New Roman"/>
                <w:sz w:val="28"/>
                <w:szCs w:val="28"/>
              </w:rPr>
              <w:t>本项目中任职</w:t>
            </w:r>
          </w:p>
        </w:tc>
        <w:tc>
          <w:tcPr>
            <w:tcW w:w="1725"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r>
              <w:rPr>
                <w:rFonts w:ascii="Times New Roman" w:hAnsi="Times New Roman" w:eastAsia="黑体" w:cs="Times New Roman"/>
                <w:sz w:val="28"/>
                <w:szCs w:val="28"/>
              </w:rPr>
              <w:t>职称、资格</w:t>
            </w:r>
          </w:p>
          <w:p>
            <w:pPr>
              <w:widowControl/>
              <w:autoSpaceDE w:val="0"/>
              <w:autoSpaceDN w:val="0"/>
              <w:spacing w:line="360" w:lineRule="atLeast"/>
              <w:jc w:val="center"/>
              <w:textAlignment w:val="bottom"/>
              <w:rPr>
                <w:rFonts w:ascii="Times New Roman" w:hAnsi="Times New Roman" w:eastAsia="黑体" w:cs="Times New Roman"/>
                <w:sz w:val="28"/>
                <w:szCs w:val="28"/>
              </w:rPr>
            </w:pPr>
            <w:r>
              <w:rPr>
                <w:rFonts w:ascii="Times New Roman" w:hAnsi="Times New Roman" w:eastAsia="黑体" w:cs="Times New Roman"/>
                <w:sz w:val="28"/>
                <w:szCs w:val="28"/>
              </w:rPr>
              <w:t>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r>
              <w:rPr>
                <w:rFonts w:hint="eastAsia" w:ascii="Times New Roman" w:hAnsi="Times New Roman" w:eastAsia="黑体" w:cs="Times New Roman"/>
                <w:sz w:val="28"/>
                <w:szCs w:val="28"/>
              </w:rPr>
              <w:t>1</w:t>
            </w:r>
          </w:p>
        </w:tc>
        <w:tc>
          <w:tcPr>
            <w:tcW w:w="1840"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p>
        </w:tc>
        <w:tc>
          <w:tcPr>
            <w:tcW w:w="1420"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p>
        </w:tc>
        <w:tc>
          <w:tcPr>
            <w:tcW w:w="2440"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p>
        </w:tc>
        <w:tc>
          <w:tcPr>
            <w:tcW w:w="1725"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r>
              <w:rPr>
                <w:rFonts w:hint="eastAsia" w:ascii="Times New Roman" w:hAnsi="Times New Roman" w:eastAsia="黑体" w:cs="Times New Roman"/>
                <w:sz w:val="28"/>
                <w:szCs w:val="28"/>
              </w:rPr>
              <w:t>2</w:t>
            </w:r>
          </w:p>
        </w:tc>
        <w:tc>
          <w:tcPr>
            <w:tcW w:w="1840"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p>
        </w:tc>
        <w:tc>
          <w:tcPr>
            <w:tcW w:w="1420"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p>
        </w:tc>
        <w:tc>
          <w:tcPr>
            <w:tcW w:w="2440"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p>
        </w:tc>
        <w:tc>
          <w:tcPr>
            <w:tcW w:w="1725"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r>
              <w:rPr>
                <w:rFonts w:hint="eastAsia" w:ascii="Times New Roman" w:hAnsi="Times New Roman" w:eastAsia="黑体" w:cs="Times New Roman"/>
                <w:sz w:val="28"/>
                <w:szCs w:val="28"/>
              </w:rPr>
              <w:t>3</w:t>
            </w:r>
          </w:p>
        </w:tc>
        <w:tc>
          <w:tcPr>
            <w:tcW w:w="1840"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p>
        </w:tc>
        <w:tc>
          <w:tcPr>
            <w:tcW w:w="1420"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p>
        </w:tc>
        <w:tc>
          <w:tcPr>
            <w:tcW w:w="2440"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p>
        </w:tc>
        <w:tc>
          <w:tcPr>
            <w:tcW w:w="1725"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r>
              <w:rPr>
                <w:rFonts w:hint="eastAsia" w:ascii="Times New Roman" w:hAnsi="Times New Roman" w:eastAsia="黑体" w:cs="Times New Roman"/>
                <w:sz w:val="28"/>
                <w:szCs w:val="28"/>
              </w:rPr>
              <w:t>...</w:t>
            </w:r>
          </w:p>
        </w:tc>
        <w:tc>
          <w:tcPr>
            <w:tcW w:w="1840"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p>
        </w:tc>
        <w:tc>
          <w:tcPr>
            <w:tcW w:w="1420"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p>
        </w:tc>
        <w:tc>
          <w:tcPr>
            <w:tcW w:w="2440"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p>
        </w:tc>
        <w:tc>
          <w:tcPr>
            <w:tcW w:w="1725"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p>
        </w:tc>
      </w:tr>
    </w:tbl>
    <w:p>
      <w:pPr>
        <w:widowControl/>
        <w:autoSpaceDE w:val="0"/>
        <w:autoSpaceDN w:val="0"/>
        <w:spacing w:line="360" w:lineRule="atLeast"/>
        <w:textAlignment w:val="bottom"/>
        <w:rPr>
          <w:rFonts w:ascii="Times New Roman" w:hAnsi="Times New Roman" w:eastAsia="黑体" w:cs="Times New Roman"/>
          <w:sz w:val="28"/>
          <w:szCs w:val="28"/>
        </w:rPr>
      </w:pPr>
    </w:p>
    <w:p>
      <w:pPr>
        <w:widowControl/>
        <w:autoSpaceDE w:val="0"/>
        <w:autoSpaceDN w:val="0"/>
        <w:spacing w:line="360" w:lineRule="atLeast"/>
        <w:textAlignment w:val="bottom"/>
        <w:rPr>
          <w:rFonts w:ascii="Times New Roman" w:hAnsi="Times New Roman" w:eastAsia="黑体" w:cs="Times New Roman"/>
          <w:sz w:val="28"/>
          <w:szCs w:val="28"/>
        </w:rPr>
      </w:pPr>
    </w:p>
    <w:p>
      <w:pPr>
        <w:widowControl/>
        <w:autoSpaceDE w:val="0"/>
        <w:autoSpaceDN w:val="0"/>
        <w:spacing w:line="360" w:lineRule="atLeast"/>
        <w:textAlignment w:val="bottom"/>
        <w:rPr>
          <w:rFonts w:ascii="Times New Roman" w:hAnsi="Times New Roman" w:eastAsia="黑体" w:cs="Times New Roman"/>
          <w:sz w:val="28"/>
          <w:szCs w:val="28"/>
        </w:rPr>
      </w:pPr>
    </w:p>
    <w:p>
      <w:pPr>
        <w:widowControl/>
        <w:autoSpaceDE w:val="0"/>
        <w:autoSpaceDN w:val="0"/>
        <w:spacing w:line="360" w:lineRule="atLeast"/>
        <w:textAlignment w:val="bottom"/>
        <w:rPr>
          <w:rFonts w:ascii="Times New Roman" w:hAnsi="Times New Roman" w:eastAsia="黑体" w:cs="Times New Roman"/>
          <w:sz w:val="28"/>
          <w:szCs w:val="28"/>
        </w:rPr>
      </w:pPr>
    </w:p>
    <w:p>
      <w:pPr>
        <w:widowControl/>
        <w:autoSpaceDE w:val="0"/>
        <w:autoSpaceDN w:val="0"/>
        <w:spacing w:line="360" w:lineRule="atLeast"/>
        <w:textAlignment w:val="bottom"/>
        <w:rPr>
          <w:rFonts w:ascii="Times New Roman" w:hAnsi="Times New Roman" w:eastAsia="黑体" w:cs="Times New Roman"/>
          <w:sz w:val="28"/>
          <w:szCs w:val="28"/>
        </w:rPr>
      </w:pPr>
    </w:p>
    <w:p>
      <w:pPr>
        <w:widowControl/>
        <w:autoSpaceDE w:val="0"/>
        <w:autoSpaceDN w:val="0"/>
        <w:spacing w:line="360" w:lineRule="atLeast"/>
        <w:textAlignment w:val="bottom"/>
        <w:rPr>
          <w:rFonts w:ascii="Times New Roman" w:hAnsi="Times New Roman" w:eastAsia="黑体" w:cs="Times New Roman"/>
          <w:sz w:val="28"/>
          <w:szCs w:val="28"/>
        </w:rPr>
      </w:pPr>
    </w:p>
    <w:p>
      <w:pPr>
        <w:widowControl/>
        <w:autoSpaceDE w:val="0"/>
        <w:autoSpaceDN w:val="0"/>
        <w:spacing w:line="360" w:lineRule="atLeast"/>
        <w:textAlignment w:val="bottom"/>
        <w:rPr>
          <w:rFonts w:ascii="Times New Roman" w:hAnsi="Times New Roman" w:eastAsia="黑体" w:cs="Times New Roman"/>
          <w:sz w:val="28"/>
          <w:szCs w:val="28"/>
        </w:rPr>
      </w:pPr>
    </w:p>
    <w:p>
      <w:pPr>
        <w:widowControl/>
        <w:autoSpaceDE w:val="0"/>
        <w:autoSpaceDN w:val="0"/>
        <w:spacing w:line="360" w:lineRule="atLeast"/>
        <w:textAlignment w:val="bottom"/>
        <w:rPr>
          <w:rFonts w:ascii="Times New Roman" w:hAnsi="Times New Roman" w:eastAsia="黑体" w:cs="Times New Roman"/>
          <w:sz w:val="28"/>
          <w:szCs w:val="28"/>
        </w:rPr>
      </w:pPr>
    </w:p>
    <w:p>
      <w:pPr>
        <w:widowControl/>
        <w:autoSpaceDE w:val="0"/>
        <w:autoSpaceDN w:val="0"/>
        <w:spacing w:line="360" w:lineRule="atLeast"/>
        <w:textAlignment w:val="bottom"/>
        <w:rPr>
          <w:rFonts w:ascii="Times New Roman" w:hAnsi="Times New Roman" w:eastAsia="黑体" w:cs="Times New Roman"/>
          <w:sz w:val="28"/>
          <w:szCs w:val="28"/>
        </w:rPr>
      </w:pPr>
    </w:p>
    <w:p>
      <w:pPr>
        <w:widowControl/>
        <w:autoSpaceDE w:val="0"/>
        <w:autoSpaceDN w:val="0"/>
        <w:spacing w:line="360" w:lineRule="atLeast"/>
        <w:textAlignment w:val="bottom"/>
        <w:rPr>
          <w:rFonts w:ascii="Times New Roman" w:hAnsi="Times New Roman" w:eastAsia="黑体" w:cs="Times New Roman"/>
          <w:sz w:val="28"/>
          <w:szCs w:val="28"/>
        </w:rPr>
      </w:pPr>
    </w:p>
    <w:p>
      <w:pPr>
        <w:widowControl/>
        <w:autoSpaceDE w:val="0"/>
        <w:autoSpaceDN w:val="0"/>
        <w:spacing w:line="360" w:lineRule="atLeast"/>
        <w:textAlignment w:val="bottom"/>
        <w:rPr>
          <w:rFonts w:ascii="Times New Roman" w:hAnsi="Times New Roman" w:eastAsia="黑体" w:cs="Times New Roman"/>
          <w:sz w:val="28"/>
          <w:szCs w:val="28"/>
        </w:rPr>
      </w:pPr>
    </w:p>
    <w:p>
      <w:pPr>
        <w:widowControl/>
        <w:autoSpaceDE w:val="0"/>
        <w:autoSpaceDN w:val="0"/>
        <w:spacing w:line="360" w:lineRule="atLeast"/>
        <w:textAlignment w:val="bottom"/>
        <w:rPr>
          <w:rFonts w:ascii="Times New Roman" w:hAnsi="Times New Roman" w:eastAsia="黑体" w:cs="Times New Roman"/>
          <w:sz w:val="28"/>
          <w:szCs w:val="28"/>
        </w:rPr>
      </w:pPr>
    </w:p>
    <w:p>
      <w:pPr>
        <w:widowControl/>
        <w:autoSpaceDE w:val="0"/>
        <w:autoSpaceDN w:val="0"/>
        <w:spacing w:line="360" w:lineRule="atLeast"/>
        <w:textAlignment w:val="bottom"/>
        <w:rPr>
          <w:rFonts w:ascii="Times New Roman" w:hAnsi="Times New Roman" w:eastAsia="黑体" w:cs="Times New Roman"/>
          <w:sz w:val="28"/>
          <w:szCs w:val="28"/>
        </w:rPr>
      </w:pPr>
    </w:p>
    <w:p>
      <w:pPr>
        <w:widowControl/>
        <w:autoSpaceDE w:val="0"/>
        <w:autoSpaceDN w:val="0"/>
        <w:spacing w:line="360" w:lineRule="atLeast"/>
        <w:textAlignment w:val="bottom"/>
        <w:rPr>
          <w:rFonts w:ascii="Times New Roman" w:hAnsi="Times New Roman" w:eastAsia="黑体" w:cs="Times New Roman"/>
          <w:sz w:val="28"/>
          <w:szCs w:val="28"/>
        </w:rPr>
      </w:pPr>
    </w:p>
    <w:p>
      <w:pPr>
        <w:pStyle w:val="2"/>
        <w:widowControl/>
        <w:autoSpaceDE w:val="0"/>
        <w:autoSpaceDN w:val="0"/>
        <w:spacing w:line="360" w:lineRule="atLeast"/>
        <w:ind w:left="180"/>
        <w:jc w:val="center"/>
        <w:textAlignment w:val="bottom"/>
        <w:rPr>
          <w:rFonts w:ascii="Times New Roman" w:hAnsi="Times New Roman" w:eastAsia="黑体" w:cs="Times New Roman"/>
          <w:sz w:val="28"/>
          <w:szCs w:val="28"/>
        </w:rPr>
      </w:pPr>
      <w:bookmarkStart w:id="99" w:name="_Toc24686_WPSOffice_Level2"/>
      <w:bookmarkStart w:id="100" w:name="_Toc6185_WPSOffice_Level2"/>
      <w:r>
        <w:rPr>
          <w:rFonts w:ascii="Times New Roman" w:hAnsi="Times New Roman" w:eastAsia="黑体" w:cs="Times New Roman"/>
          <w:sz w:val="28"/>
          <w:szCs w:val="28"/>
        </w:rPr>
        <w:t>拟委任的</w:t>
      </w:r>
      <w:r>
        <w:rPr>
          <w:rFonts w:hint="eastAsia" w:ascii="Times New Roman" w:hAnsi="Times New Roman" w:eastAsia="黑体" w:cs="Times New Roman"/>
          <w:sz w:val="28"/>
          <w:szCs w:val="28"/>
        </w:rPr>
        <w:t>主要人员</w:t>
      </w:r>
      <w:r>
        <w:rPr>
          <w:rFonts w:ascii="Times New Roman" w:hAnsi="Times New Roman" w:eastAsia="黑体" w:cs="Times New Roman"/>
          <w:sz w:val="28"/>
          <w:szCs w:val="28"/>
        </w:rPr>
        <w:t>资历表</w:t>
      </w:r>
      <w:bookmarkEnd w:id="99"/>
      <w:bookmarkEnd w:id="100"/>
    </w:p>
    <w:tbl>
      <w:tblPr>
        <w:tblStyle w:val="14"/>
        <w:tblW w:w="8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83"/>
        <w:gridCol w:w="48"/>
        <w:gridCol w:w="1392"/>
        <w:gridCol w:w="1016"/>
        <w:gridCol w:w="1322"/>
        <w:gridCol w:w="323"/>
        <w:gridCol w:w="1478"/>
        <w:gridCol w:w="369"/>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2" w:hRule="atLeast"/>
        </w:trPr>
        <w:tc>
          <w:tcPr>
            <w:tcW w:w="1183" w:type="dxa"/>
            <w:vAlign w:val="center"/>
          </w:tcPr>
          <w:p>
            <w:pPr>
              <w:widowControl/>
              <w:autoSpaceDE w:val="0"/>
              <w:autoSpaceDN w:val="0"/>
              <w:spacing w:before="40" w:after="40" w:line="280" w:lineRule="atLeast"/>
              <w:jc w:val="center"/>
              <w:textAlignment w:val="bottom"/>
              <w:rPr>
                <w:rFonts w:ascii="Times New Roman" w:hAnsi="Times New Roman" w:cs="Times New Roman"/>
                <w:szCs w:val="21"/>
              </w:rPr>
            </w:pPr>
            <w:r>
              <w:rPr>
                <w:rFonts w:ascii="Times New Roman" w:hAnsi="Times New Roman" w:cs="Times New Roman"/>
                <w:szCs w:val="21"/>
              </w:rPr>
              <w:t>姓    名</w:t>
            </w:r>
          </w:p>
        </w:tc>
        <w:tc>
          <w:tcPr>
            <w:tcW w:w="1440" w:type="dxa"/>
            <w:gridSpan w:val="2"/>
            <w:vAlign w:val="center"/>
          </w:tcPr>
          <w:p>
            <w:pPr>
              <w:widowControl/>
              <w:autoSpaceDE w:val="0"/>
              <w:autoSpaceDN w:val="0"/>
              <w:spacing w:before="40" w:after="40" w:line="280" w:lineRule="atLeast"/>
              <w:jc w:val="center"/>
              <w:textAlignment w:val="bottom"/>
              <w:rPr>
                <w:rFonts w:ascii="Times New Roman" w:hAnsi="Times New Roman" w:cs="Times New Roman"/>
                <w:szCs w:val="21"/>
              </w:rPr>
            </w:pPr>
          </w:p>
        </w:tc>
        <w:tc>
          <w:tcPr>
            <w:tcW w:w="1016" w:type="dxa"/>
            <w:vAlign w:val="center"/>
          </w:tcPr>
          <w:p>
            <w:pPr>
              <w:widowControl/>
              <w:autoSpaceDE w:val="0"/>
              <w:autoSpaceDN w:val="0"/>
              <w:spacing w:before="40" w:after="40" w:line="280" w:lineRule="atLeast"/>
              <w:jc w:val="center"/>
              <w:textAlignment w:val="bottom"/>
              <w:rPr>
                <w:rFonts w:ascii="Times New Roman" w:hAnsi="Times New Roman" w:cs="Times New Roman"/>
                <w:szCs w:val="21"/>
              </w:rPr>
            </w:pPr>
            <w:r>
              <w:rPr>
                <w:rFonts w:ascii="Times New Roman" w:hAnsi="Times New Roman" w:cs="Times New Roman"/>
                <w:szCs w:val="21"/>
              </w:rPr>
              <w:t>年    龄</w:t>
            </w:r>
          </w:p>
        </w:tc>
        <w:tc>
          <w:tcPr>
            <w:tcW w:w="1322" w:type="dxa"/>
          </w:tcPr>
          <w:p>
            <w:pPr>
              <w:widowControl/>
              <w:autoSpaceDE w:val="0"/>
              <w:autoSpaceDN w:val="0"/>
              <w:spacing w:before="40" w:after="40" w:line="280" w:lineRule="atLeast"/>
              <w:jc w:val="center"/>
              <w:textAlignment w:val="bottom"/>
              <w:rPr>
                <w:rFonts w:ascii="Times New Roman" w:hAnsi="Times New Roman" w:cs="Times New Roman"/>
                <w:szCs w:val="21"/>
              </w:rPr>
            </w:pPr>
          </w:p>
        </w:tc>
        <w:tc>
          <w:tcPr>
            <w:tcW w:w="1801" w:type="dxa"/>
            <w:gridSpan w:val="2"/>
          </w:tcPr>
          <w:p>
            <w:pPr>
              <w:widowControl/>
              <w:autoSpaceDE w:val="0"/>
              <w:autoSpaceDN w:val="0"/>
              <w:spacing w:before="40" w:after="40" w:line="280" w:lineRule="atLeast"/>
              <w:jc w:val="center"/>
              <w:textAlignment w:val="bottom"/>
              <w:rPr>
                <w:rFonts w:ascii="Times New Roman" w:hAnsi="Times New Roman" w:cs="Times New Roman"/>
                <w:szCs w:val="21"/>
              </w:rPr>
            </w:pPr>
            <w:r>
              <w:rPr>
                <w:rFonts w:ascii="Times New Roman" w:hAnsi="Times New Roman" w:cs="Times New Roman"/>
                <w:szCs w:val="21"/>
              </w:rPr>
              <w:t>专    业</w:t>
            </w:r>
          </w:p>
        </w:tc>
        <w:tc>
          <w:tcPr>
            <w:tcW w:w="1598" w:type="dxa"/>
            <w:gridSpan w:val="2"/>
          </w:tcPr>
          <w:p>
            <w:pPr>
              <w:widowControl/>
              <w:autoSpaceDE w:val="0"/>
              <w:autoSpaceDN w:val="0"/>
              <w:spacing w:before="40" w:after="40" w:line="280" w:lineRule="atLeast"/>
              <w:textAlignment w:val="bottom"/>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6" w:hRule="atLeast"/>
        </w:trPr>
        <w:tc>
          <w:tcPr>
            <w:tcW w:w="1183" w:type="dxa"/>
            <w:vAlign w:val="center"/>
          </w:tcPr>
          <w:p>
            <w:pPr>
              <w:widowControl/>
              <w:autoSpaceDE w:val="0"/>
              <w:autoSpaceDN w:val="0"/>
              <w:spacing w:before="40" w:after="40" w:line="280" w:lineRule="atLeast"/>
              <w:jc w:val="center"/>
              <w:textAlignment w:val="bottom"/>
              <w:rPr>
                <w:rFonts w:ascii="Times New Roman" w:hAnsi="Times New Roman" w:cs="Times New Roman"/>
                <w:szCs w:val="21"/>
              </w:rPr>
            </w:pPr>
            <w:r>
              <w:rPr>
                <w:rFonts w:ascii="Times New Roman" w:hAnsi="Times New Roman" w:cs="Times New Roman"/>
                <w:szCs w:val="21"/>
              </w:rPr>
              <w:t>职    称</w:t>
            </w:r>
          </w:p>
        </w:tc>
        <w:tc>
          <w:tcPr>
            <w:tcW w:w="1440" w:type="dxa"/>
            <w:gridSpan w:val="2"/>
            <w:vAlign w:val="center"/>
          </w:tcPr>
          <w:p>
            <w:pPr>
              <w:widowControl/>
              <w:autoSpaceDE w:val="0"/>
              <w:autoSpaceDN w:val="0"/>
              <w:spacing w:before="40" w:after="40" w:line="280" w:lineRule="atLeast"/>
              <w:jc w:val="center"/>
              <w:textAlignment w:val="bottom"/>
              <w:rPr>
                <w:rFonts w:ascii="Times New Roman" w:hAnsi="Times New Roman" w:cs="Times New Roman"/>
                <w:szCs w:val="21"/>
              </w:rPr>
            </w:pPr>
          </w:p>
        </w:tc>
        <w:tc>
          <w:tcPr>
            <w:tcW w:w="1016" w:type="dxa"/>
            <w:vAlign w:val="center"/>
          </w:tcPr>
          <w:p>
            <w:pPr>
              <w:widowControl/>
              <w:autoSpaceDE w:val="0"/>
              <w:autoSpaceDN w:val="0"/>
              <w:spacing w:before="40" w:after="40" w:line="280" w:lineRule="atLeast"/>
              <w:jc w:val="center"/>
              <w:textAlignment w:val="bottom"/>
              <w:rPr>
                <w:rFonts w:ascii="Times New Roman" w:hAnsi="Times New Roman" w:cs="Times New Roman"/>
                <w:szCs w:val="21"/>
              </w:rPr>
            </w:pPr>
            <w:r>
              <w:rPr>
                <w:rFonts w:ascii="Times New Roman" w:hAnsi="Times New Roman" w:cs="Times New Roman"/>
                <w:szCs w:val="21"/>
              </w:rPr>
              <w:t>公司单位职    务</w:t>
            </w:r>
          </w:p>
        </w:tc>
        <w:tc>
          <w:tcPr>
            <w:tcW w:w="1322" w:type="dxa"/>
          </w:tcPr>
          <w:p>
            <w:pPr>
              <w:widowControl/>
              <w:autoSpaceDE w:val="0"/>
              <w:autoSpaceDN w:val="0"/>
              <w:spacing w:before="40" w:after="40" w:line="280" w:lineRule="atLeast"/>
              <w:jc w:val="center"/>
              <w:textAlignment w:val="bottom"/>
              <w:rPr>
                <w:rFonts w:ascii="Times New Roman" w:hAnsi="Times New Roman" w:cs="Times New Roman"/>
                <w:szCs w:val="21"/>
              </w:rPr>
            </w:pPr>
          </w:p>
        </w:tc>
        <w:tc>
          <w:tcPr>
            <w:tcW w:w="1801" w:type="dxa"/>
            <w:gridSpan w:val="2"/>
          </w:tcPr>
          <w:p>
            <w:pPr>
              <w:widowControl/>
              <w:autoSpaceDE w:val="0"/>
              <w:autoSpaceDN w:val="0"/>
              <w:spacing w:before="40" w:after="40" w:line="280" w:lineRule="atLeast"/>
              <w:jc w:val="center"/>
              <w:textAlignment w:val="bottom"/>
              <w:rPr>
                <w:rFonts w:ascii="Times New Roman" w:hAnsi="Times New Roman" w:cs="Times New Roman"/>
                <w:szCs w:val="21"/>
              </w:rPr>
            </w:pPr>
            <w:r>
              <w:rPr>
                <w:rFonts w:ascii="Times New Roman" w:hAnsi="Times New Roman" w:cs="Times New Roman"/>
                <w:szCs w:val="21"/>
              </w:rPr>
              <w:t>拟在本项目</w:t>
            </w:r>
          </w:p>
          <w:p>
            <w:pPr>
              <w:widowControl/>
              <w:autoSpaceDE w:val="0"/>
              <w:autoSpaceDN w:val="0"/>
              <w:spacing w:before="40" w:after="40" w:line="280" w:lineRule="atLeast"/>
              <w:jc w:val="center"/>
              <w:textAlignment w:val="bottom"/>
              <w:rPr>
                <w:rFonts w:ascii="Times New Roman" w:hAnsi="Times New Roman" w:cs="Times New Roman"/>
                <w:szCs w:val="21"/>
              </w:rPr>
            </w:pPr>
            <w:r>
              <w:rPr>
                <w:rFonts w:ascii="Times New Roman" w:hAnsi="Times New Roman" w:cs="Times New Roman"/>
                <w:szCs w:val="21"/>
              </w:rPr>
              <w:t>工程担任职务</w:t>
            </w:r>
          </w:p>
        </w:tc>
        <w:tc>
          <w:tcPr>
            <w:tcW w:w="1598" w:type="dxa"/>
            <w:gridSpan w:val="2"/>
          </w:tcPr>
          <w:p>
            <w:pPr>
              <w:widowControl/>
              <w:autoSpaceDE w:val="0"/>
              <w:autoSpaceDN w:val="0"/>
              <w:spacing w:before="40" w:after="40" w:line="280" w:lineRule="atLeast"/>
              <w:textAlignment w:val="bottom"/>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8360" w:type="dxa"/>
            <w:gridSpan w:val="9"/>
            <w:vAlign w:val="center"/>
          </w:tcPr>
          <w:p>
            <w:pPr>
              <w:widowControl/>
              <w:autoSpaceDE w:val="0"/>
              <w:autoSpaceDN w:val="0"/>
              <w:spacing w:before="40" w:after="40" w:line="280" w:lineRule="atLeast"/>
              <w:jc w:val="center"/>
              <w:textAlignment w:val="bottom"/>
              <w:rPr>
                <w:rFonts w:ascii="Times New Roman" w:hAnsi="Times New Roman" w:cs="Times New Roman"/>
                <w:szCs w:val="21"/>
              </w:rPr>
            </w:pPr>
            <w:r>
              <w:rPr>
                <w:rFonts w:ascii="Times New Roman" w:hAnsi="Times New Roman" w:cs="Times New Roman"/>
                <w:szCs w:val="21"/>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15" w:hRule="atLeast"/>
        </w:trPr>
        <w:tc>
          <w:tcPr>
            <w:tcW w:w="1231" w:type="dxa"/>
            <w:gridSpan w:val="2"/>
            <w:vAlign w:val="center"/>
          </w:tcPr>
          <w:p>
            <w:pPr>
              <w:widowControl/>
              <w:autoSpaceDE w:val="0"/>
              <w:autoSpaceDN w:val="0"/>
              <w:spacing w:before="40" w:after="40" w:line="280" w:lineRule="atLeast"/>
              <w:jc w:val="center"/>
              <w:textAlignment w:val="bottom"/>
              <w:rPr>
                <w:rFonts w:ascii="Times New Roman" w:hAnsi="Times New Roman" w:cs="Times New Roman"/>
                <w:szCs w:val="21"/>
              </w:rPr>
            </w:pPr>
            <w:r>
              <w:rPr>
                <w:rFonts w:ascii="Times New Roman" w:hAnsi="Times New Roman" w:cs="Times New Roman"/>
                <w:szCs w:val="21"/>
              </w:rPr>
              <w:t>__年~__年</w:t>
            </w:r>
          </w:p>
        </w:tc>
        <w:tc>
          <w:tcPr>
            <w:tcW w:w="4053" w:type="dxa"/>
            <w:gridSpan w:val="4"/>
            <w:vAlign w:val="center"/>
          </w:tcPr>
          <w:p>
            <w:pPr>
              <w:pStyle w:val="20"/>
              <w:widowControl/>
              <w:adjustRightInd/>
              <w:snapToGrid/>
              <w:spacing w:before="40" w:after="40" w:line="280" w:lineRule="atLeast"/>
              <w:textAlignment w:val="bottom"/>
              <w:rPr>
                <w:rFonts w:ascii="Times New Roman" w:hAnsi="Times New Roman" w:cs="Times New Roman"/>
                <w:spacing w:val="0"/>
                <w:kern w:val="2"/>
                <w:szCs w:val="21"/>
              </w:rPr>
            </w:pPr>
            <w:r>
              <w:rPr>
                <w:rFonts w:ascii="Times New Roman" w:hAnsi="Times New Roman" w:cs="Times New Roman"/>
                <w:spacing w:val="0"/>
                <w:kern w:val="2"/>
                <w:szCs w:val="21"/>
              </w:rPr>
              <w:t>参加过的工程项目名称</w:t>
            </w:r>
          </w:p>
        </w:tc>
        <w:tc>
          <w:tcPr>
            <w:tcW w:w="1847" w:type="dxa"/>
            <w:gridSpan w:val="2"/>
            <w:vAlign w:val="center"/>
          </w:tcPr>
          <w:p>
            <w:pPr>
              <w:pStyle w:val="20"/>
              <w:widowControl/>
              <w:adjustRightInd/>
              <w:snapToGrid/>
              <w:spacing w:before="40" w:after="40" w:line="280" w:lineRule="atLeast"/>
              <w:textAlignment w:val="bottom"/>
              <w:rPr>
                <w:rFonts w:ascii="Times New Roman" w:hAnsi="Times New Roman" w:cs="Times New Roman"/>
                <w:spacing w:val="0"/>
                <w:kern w:val="2"/>
                <w:szCs w:val="21"/>
              </w:rPr>
            </w:pPr>
            <w:r>
              <w:rPr>
                <w:rFonts w:ascii="Times New Roman" w:hAnsi="Times New Roman" w:cs="Times New Roman"/>
                <w:spacing w:val="0"/>
                <w:kern w:val="2"/>
                <w:szCs w:val="21"/>
              </w:rPr>
              <w:t>担任何职</w:t>
            </w:r>
          </w:p>
        </w:tc>
        <w:tc>
          <w:tcPr>
            <w:tcW w:w="1229" w:type="dxa"/>
            <w:vAlign w:val="center"/>
          </w:tcPr>
          <w:p>
            <w:pPr>
              <w:widowControl/>
              <w:autoSpaceDE w:val="0"/>
              <w:autoSpaceDN w:val="0"/>
              <w:spacing w:before="40" w:after="40" w:line="280" w:lineRule="atLeast"/>
              <w:jc w:val="center"/>
              <w:textAlignment w:val="bottom"/>
              <w:rPr>
                <w:rFonts w:ascii="Times New Roman" w:hAnsi="Times New Roman" w:cs="Times New Roman"/>
                <w:szCs w:val="21"/>
              </w:rPr>
            </w:pPr>
            <w:r>
              <w:rPr>
                <w:rFonts w:ascii="Times New Roman" w:hAnsi="Times New Roman" w:cs="Times New Roman"/>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1231" w:type="dxa"/>
            <w:gridSpan w:val="2"/>
            <w:vAlign w:val="center"/>
          </w:tcPr>
          <w:p>
            <w:pPr>
              <w:widowControl/>
              <w:autoSpaceDE w:val="0"/>
              <w:autoSpaceDN w:val="0"/>
              <w:spacing w:before="40" w:after="40" w:line="280" w:lineRule="atLeast"/>
              <w:jc w:val="center"/>
              <w:textAlignment w:val="bottom"/>
              <w:rPr>
                <w:rFonts w:ascii="Times New Roman" w:hAnsi="Times New Roman" w:cs="Times New Roman"/>
                <w:szCs w:val="21"/>
              </w:rPr>
            </w:pPr>
          </w:p>
        </w:tc>
        <w:tc>
          <w:tcPr>
            <w:tcW w:w="4053" w:type="dxa"/>
            <w:gridSpan w:val="4"/>
            <w:vAlign w:val="center"/>
          </w:tcPr>
          <w:p>
            <w:pPr>
              <w:widowControl/>
              <w:autoSpaceDE w:val="0"/>
              <w:autoSpaceDN w:val="0"/>
              <w:spacing w:before="40" w:after="40" w:line="280" w:lineRule="atLeast"/>
              <w:jc w:val="center"/>
              <w:textAlignment w:val="bottom"/>
              <w:rPr>
                <w:rFonts w:ascii="Times New Roman" w:hAnsi="Times New Roman" w:cs="Times New Roman"/>
                <w:szCs w:val="21"/>
              </w:rPr>
            </w:pPr>
          </w:p>
        </w:tc>
        <w:tc>
          <w:tcPr>
            <w:tcW w:w="1847" w:type="dxa"/>
            <w:gridSpan w:val="2"/>
          </w:tcPr>
          <w:p>
            <w:pPr>
              <w:widowControl/>
              <w:autoSpaceDE w:val="0"/>
              <w:autoSpaceDN w:val="0"/>
              <w:spacing w:before="40" w:after="40" w:line="280" w:lineRule="atLeast"/>
              <w:textAlignment w:val="bottom"/>
              <w:rPr>
                <w:rFonts w:ascii="Times New Roman" w:hAnsi="Times New Roman" w:cs="Times New Roman"/>
                <w:szCs w:val="21"/>
              </w:rPr>
            </w:pPr>
          </w:p>
        </w:tc>
        <w:tc>
          <w:tcPr>
            <w:tcW w:w="1229" w:type="dxa"/>
          </w:tcPr>
          <w:p>
            <w:pPr>
              <w:widowControl/>
              <w:autoSpaceDE w:val="0"/>
              <w:autoSpaceDN w:val="0"/>
              <w:spacing w:before="40" w:after="40" w:line="280" w:lineRule="atLeast"/>
              <w:textAlignment w:val="bottom"/>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1231" w:type="dxa"/>
            <w:gridSpan w:val="2"/>
            <w:vAlign w:val="center"/>
          </w:tcPr>
          <w:p>
            <w:pPr>
              <w:widowControl/>
              <w:autoSpaceDE w:val="0"/>
              <w:autoSpaceDN w:val="0"/>
              <w:spacing w:before="40" w:after="40" w:line="280" w:lineRule="atLeast"/>
              <w:jc w:val="center"/>
              <w:textAlignment w:val="bottom"/>
              <w:rPr>
                <w:rFonts w:ascii="Times New Roman" w:hAnsi="Times New Roman" w:cs="Times New Roman"/>
                <w:szCs w:val="21"/>
              </w:rPr>
            </w:pPr>
          </w:p>
        </w:tc>
        <w:tc>
          <w:tcPr>
            <w:tcW w:w="4053" w:type="dxa"/>
            <w:gridSpan w:val="4"/>
            <w:vAlign w:val="center"/>
          </w:tcPr>
          <w:p>
            <w:pPr>
              <w:widowControl/>
              <w:autoSpaceDE w:val="0"/>
              <w:autoSpaceDN w:val="0"/>
              <w:spacing w:before="40" w:after="40" w:line="280" w:lineRule="atLeast"/>
              <w:jc w:val="center"/>
              <w:textAlignment w:val="bottom"/>
              <w:rPr>
                <w:rFonts w:ascii="Times New Roman" w:hAnsi="Times New Roman" w:cs="Times New Roman"/>
                <w:szCs w:val="21"/>
              </w:rPr>
            </w:pPr>
          </w:p>
        </w:tc>
        <w:tc>
          <w:tcPr>
            <w:tcW w:w="1847" w:type="dxa"/>
            <w:gridSpan w:val="2"/>
          </w:tcPr>
          <w:p>
            <w:pPr>
              <w:widowControl/>
              <w:autoSpaceDE w:val="0"/>
              <w:autoSpaceDN w:val="0"/>
              <w:spacing w:before="40" w:after="40" w:line="280" w:lineRule="atLeast"/>
              <w:textAlignment w:val="bottom"/>
              <w:rPr>
                <w:rFonts w:ascii="Times New Roman" w:hAnsi="Times New Roman" w:cs="Times New Roman"/>
                <w:szCs w:val="21"/>
              </w:rPr>
            </w:pPr>
          </w:p>
        </w:tc>
        <w:tc>
          <w:tcPr>
            <w:tcW w:w="1229" w:type="dxa"/>
          </w:tcPr>
          <w:p>
            <w:pPr>
              <w:widowControl/>
              <w:autoSpaceDE w:val="0"/>
              <w:autoSpaceDN w:val="0"/>
              <w:spacing w:before="40" w:after="40" w:line="280" w:lineRule="atLeast"/>
              <w:textAlignment w:val="bottom"/>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1231" w:type="dxa"/>
            <w:gridSpan w:val="2"/>
            <w:vAlign w:val="center"/>
          </w:tcPr>
          <w:p>
            <w:pPr>
              <w:widowControl/>
              <w:autoSpaceDE w:val="0"/>
              <w:autoSpaceDN w:val="0"/>
              <w:spacing w:before="40" w:after="40" w:line="280" w:lineRule="atLeast"/>
              <w:jc w:val="center"/>
              <w:textAlignment w:val="bottom"/>
              <w:rPr>
                <w:rFonts w:ascii="Times New Roman" w:hAnsi="Times New Roman" w:cs="Times New Roman"/>
                <w:szCs w:val="21"/>
              </w:rPr>
            </w:pPr>
          </w:p>
        </w:tc>
        <w:tc>
          <w:tcPr>
            <w:tcW w:w="4053" w:type="dxa"/>
            <w:gridSpan w:val="4"/>
            <w:vAlign w:val="center"/>
          </w:tcPr>
          <w:p>
            <w:pPr>
              <w:widowControl/>
              <w:autoSpaceDE w:val="0"/>
              <w:autoSpaceDN w:val="0"/>
              <w:spacing w:before="40" w:after="40" w:line="280" w:lineRule="atLeast"/>
              <w:jc w:val="center"/>
              <w:textAlignment w:val="bottom"/>
              <w:rPr>
                <w:rFonts w:ascii="Times New Roman" w:hAnsi="Times New Roman" w:cs="Times New Roman"/>
                <w:szCs w:val="21"/>
              </w:rPr>
            </w:pPr>
          </w:p>
        </w:tc>
        <w:tc>
          <w:tcPr>
            <w:tcW w:w="1847" w:type="dxa"/>
            <w:gridSpan w:val="2"/>
          </w:tcPr>
          <w:p>
            <w:pPr>
              <w:widowControl/>
              <w:autoSpaceDE w:val="0"/>
              <w:autoSpaceDN w:val="0"/>
              <w:spacing w:before="40" w:after="40" w:line="280" w:lineRule="atLeast"/>
              <w:textAlignment w:val="bottom"/>
              <w:rPr>
                <w:rFonts w:ascii="Times New Roman" w:hAnsi="Times New Roman" w:cs="Times New Roman"/>
                <w:szCs w:val="21"/>
              </w:rPr>
            </w:pPr>
          </w:p>
        </w:tc>
        <w:tc>
          <w:tcPr>
            <w:tcW w:w="1229" w:type="dxa"/>
          </w:tcPr>
          <w:p>
            <w:pPr>
              <w:widowControl/>
              <w:autoSpaceDE w:val="0"/>
              <w:autoSpaceDN w:val="0"/>
              <w:spacing w:before="40" w:after="40" w:line="280" w:lineRule="atLeast"/>
              <w:textAlignment w:val="bottom"/>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1231" w:type="dxa"/>
            <w:gridSpan w:val="2"/>
            <w:vAlign w:val="center"/>
          </w:tcPr>
          <w:p>
            <w:pPr>
              <w:widowControl/>
              <w:autoSpaceDE w:val="0"/>
              <w:autoSpaceDN w:val="0"/>
              <w:spacing w:before="40" w:after="40" w:line="280" w:lineRule="atLeast"/>
              <w:jc w:val="center"/>
              <w:textAlignment w:val="bottom"/>
              <w:rPr>
                <w:rFonts w:ascii="Times New Roman" w:hAnsi="Times New Roman" w:cs="Times New Roman"/>
                <w:szCs w:val="21"/>
              </w:rPr>
            </w:pPr>
          </w:p>
        </w:tc>
        <w:tc>
          <w:tcPr>
            <w:tcW w:w="4053" w:type="dxa"/>
            <w:gridSpan w:val="4"/>
            <w:vAlign w:val="center"/>
          </w:tcPr>
          <w:p>
            <w:pPr>
              <w:widowControl/>
              <w:autoSpaceDE w:val="0"/>
              <w:autoSpaceDN w:val="0"/>
              <w:spacing w:before="40" w:after="40" w:line="280" w:lineRule="atLeast"/>
              <w:jc w:val="center"/>
              <w:textAlignment w:val="bottom"/>
              <w:rPr>
                <w:rFonts w:ascii="Times New Roman" w:hAnsi="Times New Roman" w:cs="Times New Roman"/>
                <w:szCs w:val="21"/>
              </w:rPr>
            </w:pPr>
          </w:p>
        </w:tc>
        <w:tc>
          <w:tcPr>
            <w:tcW w:w="1847" w:type="dxa"/>
            <w:gridSpan w:val="2"/>
          </w:tcPr>
          <w:p>
            <w:pPr>
              <w:widowControl/>
              <w:autoSpaceDE w:val="0"/>
              <w:autoSpaceDN w:val="0"/>
              <w:spacing w:before="40" w:after="40" w:line="280" w:lineRule="atLeast"/>
              <w:textAlignment w:val="bottom"/>
              <w:rPr>
                <w:rFonts w:ascii="Times New Roman" w:hAnsi="Times New Roman" w:cs="Times New Roman"/>
                <w:szCs w:val="21"/>
              </w:rPr>
            </w:pPr>
          </w:p>
        </w:tc>
        <w:tc>
          <w:tcPr>
            <w:tcW w:w="1229" w:type="dxa"/>
          </w:tcPr>
          <w:p>
            <w:pPr>
              <w:widowControl/>
              <w:autoSpaceDE w:val="0"/>
              <w:autoSpaceDN w:val="0"/>
              <w:spacing w:before="40" w:after="40" w:line="280" w:lineRule="atLeast"/>
              <w:textAlignment w:val="bottom"/>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8" w:hRule="atLeast"/>
        </w:trPr>
        <w:tc>
          <w:tcPr>
            <w:tcW w:w="1231" w:type="dxa"/>
            <w:gridSpan w:val="2"/>
            <w:vAlign w:val="center"/>
          </w:tcPr>
          <w:p>
            <w:pPr>
              <w:widowControl/>
              <w:autoSpaceDE w:val="0"/>
              <w:autoSpaceDN w:val="0"/>
              <w:spacing w:before="40" w:after="40" w:line="280" w:lineRule="atLeast"/>
              <w:jc w:val="center"/>
              <w:textAlignment w:val="bottom"/>
              <w:rPr>
                <w:rFonts w:ascii="Times New Roman" w:hAnsi="Times New Roman" w:cs="Times New Roman"/>
                <w:szCs w:val="21"/>
              </w:rPr>
            </w:pPr>
          </w:p>
        </w:tc>
        <w:tc>
          <w:tcPr>
            <w:tcW w:w="4053" w:type="dxa"/>
            <w:gridSpan w:val="4"/>
            <w:vAlign w:val="center"/>
          </w:tcPr>
          <w:p>
            <w:pPr>
              <w:widowControl/>
              <w:autoSpaceDE w:val="0"/>
              <w:autoSpaceDN w:val="0"/>
              <w:spacing w:before="40" w:after="40" w:line="280" w:lineRule="atLeast"/>
              <w:jc w:val="center"/>
              <w:textAlignment w:val="bottom"/>
              <w:rPr>
                <w:rFonts w:ascii="Times New Roman" w:hAnsi="Times New Roman" w:cs="Times New Roman"/>
                <w:szCs w:val="21"/>
              </w:rPr>
            </w:pPr>
          </w:p>
        </w:tc>
        <w:tc>
          <w:tcPr>
            <w:tcW w:w="1847" w:type="dxa"/>
            <w:gridSpan w:val="2"/>
          </w:tcPr>
          <w:p>
            <w:pPr>
              <w:widowControl/>
              <w:autoSpaceDE w:val="0"/>
              <w:autoSpaceDN w:val="0"/>
              <w:spacing w:before="40" w:after="40" w:line="280" w:lineRule="atLeast"/>
              <w:textAlignment w:val="bottom"/>
              <w:rPr>
                <w:rFonts w:ascii="Times New Roman" w:hAnsi="Times New Roman" w:cs="Times New Roman"/>
                <w:szCs w:val="21"/>
              </w:rPr>
            </w:pPr>
          </w:p>
        </w:tc>
        <w:tc>
          <w:tcPr>
            <w:tcW w:w="1229" w:type="dxa"/>
          </w:tcPr>
          <w:p>
            <w:pPr>
              <w:widowControl/>
              <w:autoSpaceDE w:val="0"/>
              <w:autoSpaceDN w:val="0"/>
              <w:spacing w:before="40" w:after="40" w:line="280" w:lineRule="atLeast"/>
              <w:textAlignment w:val="bottom"/>
              <w:rPr>
                <w:rFonts w:ascii="Times New Roman" w:hAnsi="Times New Roman" w:cs="Times New Roman"/>
                <w:szCs w:val="21"/>
              </w:rPr>
            </w:pPr>
          </w:p>
        </w:tc>
      </w:tr>
    </w:tbl>
    <w:p>
      <w:pPr>
        <w:pStyle w:val="8"/>
        <w:spacing w:line="240" w:lineRule="atLeast"/>
        <w:ind w:left="0" w:leftChars="0"/>
        <w:rPr>
          <w:rFonts w:ascii="Times New Roman" w:hAnsi="Times New Roman" w:cs="Times New Roman"/>
          <w:sz w:val="20"/>
          <w:szCs w:val="20"/>
        </w:rPr>
      </w:pPr>
      <w:r>
        <w:rPr>
          <w:rFonts w:ascii="Times New Roman" w:hAnsi="Times New Roman" w:eastAsia="黑体" w:cs="Times New Roman"/>
          <w:szCs w:val="21"/>
        </w:rPr>
        <w:t>注：</w:t>
      </w:r>
    </w:p>
    <w:p>
      <w:pPr>
        <w:widowControl/>
        <w:autoSpaceDE w:val="0"/>
        <w:autoSpaceDN w:val="0"/>
        <w:spacing w:line="360" w:lineRule="atLeast"/>
        <w:ind w:left="420" w:leftChars="200"/>
        <w:textAlignment w:val="bottom"/>
        <w:rPr>
          <w:rFonts w:ascii="Times New Roman" w:hAnsi="Times New Roman" w:eastAsia="黑体" w:cs="Times New Roman"/>
          <w:szCs w:val="21"/>
        </w:rPr>
      </w:pPr>
      <w:r>
        <w:rPr>
          <w:rFonts w:ascii="Times New Roman" w:hAnsi="Times New Roman" w:eastAsia="黑体" w:cs="Times New Roman"/>
          <w:szCs w:val="21"/>
        </w:rPr>
        <w:t>1、一个人员对应填写一张本资历表。</w:t>
      </w:r>
    </w:p>
    <w:p>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2、</w:t>
      </w:r>
      <w:r>
        <w:rPr>
          <w:rFonts w:ascii="Times New Roman" w:hAnsi="Times New Roman" w:eastAsia="黑体" w:cs="Times New Roman"/>
          <w:szCs w:val="21"/>
        </w:rPr>
        <w:t>在本表后应附有其有效的身份证</w:t>
      </w:r>
      <w:r>
        <w:rPr>
          <w:rFonts w:hint="eastAsia" w:ascii="Times New Roman" w:hAnsi="Times New Roman" w:eastAsia="黑体" w:cs="Times New Roman"/>
          <w:szCs w:val="21"/>
        </w:rPr>
        <w:t>、资格证书</w:t>
      </w:r>
      <w:r>
        <w:rPr>
          <w:rFonts w:ascii="Times New Roman" w:hAnsi="Times New Roman" w:eastAsia="黑体" w:cs="Times New Roman"/>
          <w:szCs w:val="21"/>
        </w:rPr>
        <w:t>。所有证件的扫描件均应清晰可辨，否则，将被认为证书无效。</w:t>
      </w:r>
    </w:p>
    <w:p/>
    <w:p/>
    <w:p/>
    <w:p/>
    <w:p/>
    <w:p/>
    <w:p/>
    <w:p/>
    <w:p/>
    <w:p/>
    <w:p/>
    <w:p/>
    <w:p/>
    <w:p/>
    <w:p/>
    <w:p/>
    <w:p/>
    <w:p/>
    <w:p>
      <w:pPr>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承诺函</w:t>
      </w:r>
    </w:p>
    <w:p>
      <w:pPr>
        <w:rPr>
          <w:rFonts w:ascii="Times New Roman" w:hAnsi="Times New Roman" w:eastAsia="黑体" w:cs="Times New Roman"/>
          <w:sz w:val="28"/>
          <w:szCs w:val="28"/>
        </w:rPr>
      </w:pPr>
      <w:r>
        <w:rPr>
          <w:rFonts w:hint="eastAsia" w:ascii="Times New Roman" w:hAnsi="Times New Roman" w:eastAsia="黑体" w:cs="Times New Roman"/>
          <w:sz w:val="28"/>
          <w:szCs w:val="28"/>
        </w:rPr>
        <w:t>致：</w:t>
      </w:r>
      <w:r>
        <w:rPr>
          <w:rFonts w:hint="eastAsia"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rPr>
        <w:t>（采购人）</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我单位参与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 xml:space="preserve">（项目名称）的响应，现在此承诺：若我方中标，我方将严格按照合同要求，派驻现场的项目经理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（姓名）、技术负责人</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 xml:space="preserve"> （姓名）、施工员</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（姓名）、安全员</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姓名），每天不少于8小时，每周不少于5天在本工程现场，按采购人的要求履职尽责，与采购人的管理者一同组成项目管理团队，对外统一以采购人名义与甲方、监理沟通协调，参加每周的例会（有事须取得发包人书面同意），连续4天不在现场或累计3次不参加例会，发包人有权解除本工程施工合同，并没收履约保证金。当响应人的现场管理人员不能按要求到岗履职，由采购人选派人员补充相应岗位，产生的一切费用无论高低均由响应人承担，并表示无任何异议。</w:t>
      </w:r>
    </w:p>
    <w:p>
      <w:pPr>
        <w:ind w:firstLine="600" w:firstLineChars="200"/>
        <w:rPr>
          <w:rFonts w:ascii="仿宋_GB2312" w:hAnsi="仿宋_GB2312" w:eastAsia="仿宋_GB2312" w:cs="仿宋_GB2312"/>
          <w:sz w:val="30"/>
          <w:szCs w:val="30"/>
        </w:rPr>
      </w:pPr>
    </w:p>
    <w:p>
      <w:pPr>
        <w:ind w:firstLine="600" w:firstLineChars="200"/>
        <w:rPr>
          <w:rFonts w:ascii="仿宋_GB2312" w:hAnsi="仿宋_GB2312" w:eastAsia="仿宋_GB2312" w:cs="仿宋_GB2312"/>
          <w:sz w:val="30"/>
          <w:szCs w:val="30"/>
        </w:rPr>
      </w:pPr>
    </w:p>
    <w:p>
      <w:pPr>
        <w:ind w:firstLine="600" w:firstLineChars="200"/>
        <w:rPr>
          <w:rFonts w:ascii="仿宋_GB2312" w:hAnsi="仿宋_GB2312" w:eastAsia="仿宋_GB2312" w:cs="仿宋_GB2312"/>
          <w:sz w:val="30"/>
          <w:szCs w:val="30"/>
        </w:rPr>
      </w:pPr>
    </w:p>
    <w:p>
      <w:pPr>
        <w:ind w:firstLine="600" w:firstLineChars="200"/>
        <w:jc w:val="right"/>
        <w:rPr>
          <w:rFonts w:ascii="仿宋_GB2312" w:hAnsi="仿宋_GB2312" w:eastAsia="仿宋_GB2312" w:cs="仿宋_GB2312"/>
          <w:sz w:val="30"/>
          <w:szCs w:val="30"/>
        </w:rPr>
      </w:pPr>
      <w:r>
        <w:rPr>
          <w:rFonts w:hint="eastAsia" w:ascii="仿宋_GB2312" w:hAnsi="仿宋_GB2312" w:eastAsia="仿宋_GB2312" w:cs="仿宋_GB2312"/>
          <w:sz w:val="30"/>
          <w:szCs w:val="30"/>
        </w:rPr>
        <w:t>响应人：</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（加盖公章）</w:t>
      </w:r>
    </w:p>
    <w:p>
      <w:pPr>
        <w:ind w:firstLine="600" w:firstLineChars="200"/>
        <w:jc w:val="right"/>
        <w:rPr>
          <w:rFonts w:ascii="仿宋_GB2312" w:hAnsi="仿宋_GB2312" w:eastAsia="仿宋_GB2312" w:cs="仿宋_GB2312"/>
          <w:sz w:val="30"/>
          <w:szCs w:val="30"/>
        </w:rPr>
      </w:pPr>
      <w:r>
        <w:rPr>
          <w:rFonts w:hint="eastAsia" w:ascii="仿宋_GB2312" w:hAnsi="仿宋_GB2312" w:eastAsia="仿宋_GB2312" w:cs="仿宋_GB2312"/>
          <w:sz w:val="30"/>
          <w:szCs w:val="30"/>
        </w:rPr>
        <w:t>法定代表人：</w:t>
      </w:r>
      <w:r>
        <w:rPr>
          <w:rFonts w:hint="eastAsia" w:ascii="Times New Roman" w:hAnsi="Times New Roman" w:eastAsia="黑体" w:cs="Times New Roman"/>
          <w:sz w:val="28"/>
          <w:szCs w:val="28"/>
          <w:u w:val="single"/>
        </w:rPr>
        <w:t xml:space="preserve">          </w:t>
      </w:r>
      <w:r>
        <w:rPr>
          <w:rFonts w:hint="eastAsia" w:ascii="仿宋_GB2312" w:hAnsi="仿宋_GB2312" w:eastAsia="仿宋_GB2312" w:cs="仿宋_GB2312"/>
          <w:sz w:val="30"/>
          <w:szCs w:val="30"/>
        </w:rPr>
        <w:t>（签字）</w:t>
      </w:r>
    </w:p>
    <w:p>
      <w:pPr>
        <w:ind w:firstLine="600" w:firstLineChars="200"/>
        <w:jc w:val="right"/>
        <w:rPr>
          <w:rFonts w:ascii="仿宋_GB2312" w:hAnsi="仿宋_GB2312" w:eastAsia="仿宋_GB2312" w:cs="仿宋_GB2312"/>
          <w:sz w:val="30"/>
          <w:szCs w:val="30"/>
        </w:rPr>
      </w:pPr>
      <w:r>
        <w:rPr>
          <w:rFonts w:hint="eastAsia" w:ascii="仿宋_GB2312" w:hAnsi="仿宋_GB2312" w:eastAsia="仿宋_GB2312" w:cs="仿宋_GB2312"/>
          <w:sz w:val="30"/>
          <w:szCs w:val="30"/>
        </w:rPr>
        <w:t>年  月  日</w:t>
      </w:r>
    </w:p>
    <w:p>
      <w:pPr>
        <w:ind w:firstLine="600" w:firstLineChars="200"/>
        <w:jc w:val="right"/>
        <w:rPr>
          <w:rFonts w:ascii="仿宋_GB2312" w:hAnsi="仿宋_GB2312" w:eastAsia="仿宋_GB2312" w:cs="仿宋_GB2312"/>
          <w:sz w:val="30"/>
          <w:szCs w:val="30"/>
        </w:rPr>
      </w:pPr>
    </w:p>
    <w:p>
      <w:pPr>
        <w:ind w:firstLine="600" w:firstLineChars="200"/>
        <w:jc w:val="right"/>
        <w:rPr>
          <w:rFonts w:ascii="仿宋_GB2312" w:hAnsi="仿宋_GB2312" w:eastAsia="仿宋_GB2312" w:cs="仿宋_GB2312"/>
          <w:sz w:val="30"/>
          <w:szCs w:val="30"/>
        </w:rPr>
      </w:pPr>
    </w:p>
    <w:p>
      <w:pPr>
        <w:ind w:firstLine="600" w:firstLineChars="200"/>
        <w:jc w:val="right"/>
        <w:rPr>
          <w:rFonts w:ascii="仿宋_GB2312" w:hAnsi="仿宋_GB2312" w:eastAsia="仿宋_GB2312" w:cs="仿宋_GB2312"/>
          <w:sz w:val="30"/>
          <w:szCs w:val="30"/>
        </w:rPr>
      </w:pPr>
    </w:p>
    <w:p>
      <w:pPr>
        <w:ind w:firstLine="600" w:firstLineChars="200"/>
        <w:jc w:val="right"/>
        <w:rPr>
          <w:rFonts w:ascii="仿宋_GB2312" w:hAnsi="仿宋_GB2312" w:eastAsia="仿宋_GB2312" w:cs="仿宋_GB2312"/>
          <w:sz w:val="30"/>
          <w:szCs w:val="30"/>
        </w:rPr>
      </w:pPr>
    </w:p>
    <w:p>
      <w:pPr>
        <w:ind w:firstLine="600" w:firstLineChars="200"/>
        <w:jc w:val="right"/>
        <w:rPr>
          <w:rFonts w:ascii="仿宋_GB2312" w:hAnsi="仿宋_GB2312" w:eastAsia="仿宋_GB2312" w:cs="仿宋_GB2312"/>
          <w:sz w:val="30"/>
          <w:szCs w:val="30"/>
        </w:rPr>
      </w:pPr>
    </w:p>
    <w:p>
      <w:pPr>
        <w:ind w:firstLine="600" w:firstLineChars="200"/>
        <w:jc w:val="right"/>
        <w:rPr>
          <w:rFonts w:ascii="仿宋_GB2312" w:hAnsi="仿宋_GB2312" w:eastAsia="仿宋_GB2312" w:cs="仿宋_GB2312"/>
          <w:sz w:val="30"/>
          <w:szCs w:val="30"/>
        </w:rPr>
      </w:pPr>
    </w:p>
    <w:p>
      <w:pPr>
        <w:ind w:firstLine="600" w:firstLineChars="200"/>
        <w:jc w:val="right"/>
        <w:rPr>
          <w:rFonts w:ascii="仿宋_GB2312" w:hAnsi="仿宋_GB2312" w:eastAsia="仿宋_GB2312" w:cs="仿宋_GB2312"/>
          <w:sz w:val="30"/>
          <w:szCs w:val="30"/>
        </w:rPr>
      </w:pPr>
    </w:p>
    <w:p>
      <w:pPr>
        <w:widowControl/>
        <w:autoSpaceDE w:val="0"/>
        <w:autoSpaceDN w:val="0"/>
        <w:spacing w:line="360" w:lineRule="atLeast"/>
        <w:jc w:val="center"/>
        <w:textAlignment w:val="bottom"/>
        <w:rPr>
          <w:rFonts w:ascii="Times New Roman" w:hAnsi="Times New Roman" w:eastAsia="黑体" w:cs="Times New Roman"/>
          <w:sz w:val="28"/>
          <w:szCs w:val="28"/>
        </w:rPr>
      </w:pPr>
      <w:r>
        <w:rPr>
          <w:rFonts w:hint="eastAsia" w:ascii="Times New Roman" w:hAnsi="Times New Roman" w:eastAsia="黑体" w:cs="Times New Roman"/>
          <w:sz w:val="28"/>
          <w:szCs w:val="28"/>
        </w:rPr>
        <w:t>四、响应保证金</w:t>
      </w:r>
    </w:p>
    <w:p>
      <w:pPr>
        <w:ind w:firstLine="600" w:firstLineChars="200"/>
        <w:jc w:val="right"/>
        <w:rPr>
          <w:rFonts w:ascii="仿宋_GB2312" w:hAnsi="仿宋_GB2312" w:eastAsia="仿宋_GB2312" w:cs="仿宋_GB2312"/>
          <w:sz w:val="30"/>
          <w:szCs w:val="30"/>
        </w:rPr>
      </w:pPr>
    </w:p>
    <w:p>
      <w:pPr>
        <w:widowControl/>
        <w:jc w:val="left"/>
      </w:pPr>
      <w:r>
        <w:rPr>
          <w:rFonts w:hint="eastAsia" w:ascii="宋体" w:hAnsi="宋体" w:eastAsia="宋体" w:cs="宋体"/>
          <w:color w:val="000000"/>
          <w:kern w:val="0"/>
          <w:sz w:val="24"/>
          <w:lang w:bidi="ar"/>
        </w:rPr>
        <w:t xml:space="preserve">采用电汇（转账），响应人应在此提供电汇回单或转账凭据的扫描件。 </w:t>
      </w:r>
    </w:p>
    <w:p>
      <w:pPr>
        <w:widowControl/>
        <w:autoSpaceDE w:val="0"/>
        <w:autoSpaceDN w:val="0"/>
        <w:spacing w:line="360" w:lineRule="atLeast"/>
        <w:jc w:val="center"/>
        <w:textAlignment w:val="bottom"/>
        <w:rPr>
          <w:rFonts w:ascii="Times New Roman" w:hAnsi="Times New Roman" w:eastAsia="黑体" w:cs="Times New Roman"/>
          <w:sz w:val="28"/>
          <w:szCs w:val="28"/>
        </w:rPr>
      </w:pPr>
    </w:p>
    <w:p>
      <w:pPr>
        <w:widowControl/>
        <w:autoSpaceDE w:val="0"/>
        <w:autoSpaceDN w:val="0"/>
        <w:spacing w:line="360" w:lineRule="atLeast"/>
        <w:jc w:val="center"/>
        <w:textAlignment w:val="bottom"/>
        <w:rPr>
          <w:rFonts w:ascii="Times New Roman" w:hAnsi="Times New Roman" w:eastAsia="黑体" w:cs="Times New Roman"/>
          <w:sz w:val="28"/>
          <w:szCs w:val="28"/>
        </w:rPr>
      </w:pPr>
      <w:r>
        <w:rPr>
          <w:rFonts w:hint="eastAsia" w:ascii="Times New Roman" w:hAnsi="Times New Roman" w:eastAsia="黑体" w:cs="Times New Roman"/>
          <w:sz w:val="28"/>
          <w:szCs w:val="28"/>
        </w:rPr>
        <w:t>五、施工组织设计</w:t>
      </w:r>
    </w:p>
    <w:p/>
    <w:p/>
    <w:p>
      <w:pPr>
        <w:ind w:left="2100" w:leftChars="1000"/>
        <w:rPr>
          <w:rFonts w:ascii="Times New Roman" w:hAnsi="Times New Roman" w:cs="Times New Roman"/>
          <w:sz w:val="32"/>
          <w:szCs w:val="32"/>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6CBB4D3-4F8E-4D28-BE47-739F2EFB2888}"/>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F32A20C7-4016-4656-9B68-FF2700BF1C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3" w:fontKey="{7FA6BB61-8A47-475A-9882-56F88BD112E3}"/>
  </w:font>
  <w:font w:name="仿宋_GB2312">
    <w:panose1 w:val="02010609030101010101"/>
    <w:charset w:val="86"/>
    <w:family w:val="modern"/>
    <w:pitch w:val="default"/>
    <w:sig w:usb0="00000001" w:usb1="080E0000" w:usb2="00000000" w:usb3="00000000" w:csb0="00040000" w:csb1="00000000"/>
    <w:embedRegular r:id="rId4" w:fontKey="{20AEB7CC-04D7-4539-837B-F9479DFCCA97}"/>
  </w:font>
  <w:font w:name="TimesNewRomanPSMT">
    <w:altName w:val="Times New Roman"/>
    <w:panose1 w:val="00000000000000000000"/>
    <w:charset w:val="00"/>
    <w:family w:val="auto"/>
    <w:pitch w:val="default"/>
    <w:sig w:usb0="00000000" w:usb1="00000000" w:usb2="00000000" w:usb3="00000000" w:csb0="00000000" w:csb1="00000000"/>
    <w:embedRegular r:id="rId5" w:fontKey="{E45ED71C-689D-49B5-947B-FFEE4109BAA9}"/>
  </w:font>
  <w:font w:name="仿宋">
    <w:panose1 w:val="02010609060101010101"/>
    <w:charset w:val="86"/>
    <w:family w:val="modern"/>
    <w:pitch w:val="default"/>
    <w:sig w:usb0="800002BF" w:usb1="38CF7CFA" w:usb2="00000016" w:usb3="00000000" w:csb0="00040001" w:csb1="00000000"/>
    <w:embedRegular r:id="rId6" w:fontKey="{CDAAFD4F-0D86-4BF5-AB29-1A9B9294AAFB}"/>
  </w:font>
  <w:font w:name="Adobe 仿宋 Std R">
    <w:altName w:val="仿宋"/>
    <w:panose1 w:val="02020400000000000000"/>
    <w:charset w:val="86"/>
    <w:family w:val="roman"/>
    <w:pitch w:val="default"/>
    <w:sig w:usb0="00000000" w:usb1="00000000" w:usb2="00000016" w:usb3="00000000" w:csb0="00060007" w:csb1="00000000"/>
    <w:embedRegular r:id="rId7" w:fontKey="{A6041A42-C827-4EA1-BC72-9975598CCE3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9302D"/>
    <w:multiLevelType w:val="singleLevel"/>
    <w:tmpl w:val="8619302D"/>
    <w:lvl w:ilvl="0" w:tentative="0">
      <w:start w:val="1"/>
      <w:numFmt w:val="decimal"/>
      <w:suff w:val="nothing"/>
      <w:lvlText w:val="（%1）"/>
      <w:lvlJc w:val="left"/>
    </w:lvl>
  </w:abstractNum>
  <w:abstractNum w:abstractNumId="1">
    <w:nsid w:val="9086FF4E"/>
    <w:multiLevelType w:val="multilevel"/>
    <w:tmpl w:val="9086FF4E"/>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9C59AA92"/>
    <w:multiLevelType w:val="multilevel"/>
    <w:tmpl w:val="9C59AA92"/>
    <w:lvl w:ilvl="0" w:tentative="0">
      <w:start w:val="1"/>
      <w:numFmt w:val="chineseCounting"/>
      <w:pStyle w:val="3"/>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
    <w:nsid w:val="F0F3AE8C"/>
    <w:multiLevelType w:val="singleLevel"/>
    <w:tmpl w:val="F0F3AE8C"/>
    <w:lvl w:ilvl="0" w:tentative="0">
      <w:start w:val="1"/>
      <w:numFmt w:val="chineseCounting"/>
      <w:suff w:val="nothing"/>
      <w:lvlText w:val="%1、"/>
      <w:lvlJc w:val="left"/>
      <w:rPr>
        <w:rFonts w:hint="eastAsia"/>
      </w:rPr>
    </w:lvl>
  </w:abstractNum>
  <w:abstractNum w:abstractNumId="4">
    <w:nsid w:val="2E95D47B"/>
    <w:multiLevelType w:val="singleLevel"/>
    <w:tmpl w:val="2E95D47B"/>
    <w:lvl w:ilvl="0" w:tentative="0">
      <w:start w:val="1"/>
      <w:numFmt w:val="decimal"/>
      <w:pStyle w:val="4"/>
      <w:suff w:val="nothing"/>
      <w:lvlText w:val="%1．"/>
      <w:lvlJc w:val="left"/>
      <w:pPr>
        <w:ind w:left="17" w:firstLine="400"/>
      </w:pPr>
      <w:rPr>
        <w:rFont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2Y2I0Y2I4MjkyODU1MDAzY2EyMDdiZTQ1NDE4Y2QifQ=="/>
  </w:docVars>
  <w:rsids>
    <w:rsidRoot w:val="065D4A57"/>
    <w:rsid w:val="001374AE"/>
    <w:rsid w:val="0025562C"/>
    <w:rsid w:val="008E477F"/>
    <w:rsid w:val="009B0E29"/>
    <w:rsid w:val="00E0046A"/>
    <w:rsid w:val="00F9668D"/>
    <w:rsid w:val="065D4A57"/>
    <w:rsid w:val="08DC593C"/>
    <w:rsid w:val="09BC0579"/>
    <w:rsid w:val="0A321AA3"/>
    <w:rsid w:val="0A637FC8"/>
    <w:rsid w:val="0D32237C"/>
    <w:rsid w:val="0D9B18CA"/>
    <w:rsid w:val="0EBC1FF7"/>
    <w:rsid w:val="17B8509C"/>
    <w:rsid w:val="17E20FB7"/>
    <w:rsid w:val="1D553AAE"/>
    <w:rsid w:val="1E0E2DC3"/>
    <w:rsid w:val="1F3E3EDC"/>
    <w:rsid w:val="22200826"/>
    <w:rsid w:val="2742419B"/>
    <w:rsid w:val="2B7062EB"/>
    <w:rsid w:val="301F760A"/>
    <w:rsid w:val="3239043A"/>
    <w:rsid w:val="369430E3"/>
    <w:rsid w:val="39236F5E"/>
    <w:rsid w:val="45F60A0A"/>
    <w:rsid w:val="4BD0594F"/>
    <w:rsid w:val="4D695679"/>
    <w:rsid w:val="4E0500F3"/>
    <w:rsid w:val="56672855"/>
    <w:rsid w:val="5DFF6860"/>
    <w:rsid w:val="670B7518"/>
    <w:rsid w:val="6C2C1423"/>
    <w:rsid w:val="6FD23E35"/>
    <w:rsid w:val="73342440"/>
    <w:rsid w:val="77CD0717"/>
    <w:rsid w:val="7D5A6938"/>
    <w:rsid w:val="7EE43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4">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5">
    <w:name w:val="heading 3"/>
    <w:basedOn w:val="1"/>
    <w:next w:val="1"/>
    <w:qFormat/>
    <w:uiPriority w:val="0"/>
    <w:pPr>
      <w:keepNext/>
      <w:keepLines/>
      <w:outlineLvl w:val="2"/>
    </w:pPr>
    <w:rPr>
      <w:rFonts w:ascii="宋体" w:hAnsi="宋体" w:eastAsia="黑体"/>
      <w:bCs/>
      <w:sz w:val="24"/>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annotation text"/>
    <w:basedOn w:val="1"/>
    <w:qFormat/>
    <w:uiPriority w:val="0"/>
    <w:pPr>
      <w:jc w:val="left"/>
    </w:pPr>
  </w:style>
  <w:style w:type="paragraph" w:styleId="7">
    <w:name w:val="Body Text 3"/>
    <w:basedOn w:val="1"/>
    <w:qFormat/>
    <w:uiPriority w:val="0"/>
    <w:rPr>
      <w:rFonts w:ascii="宋体"/>
      <w:sz w:val="24"/>
      <w:szCs w:val="20"/>
    </w:rPr>
  </w:style>
  <w:style w:type="paragraph" w:styleId="8">
    <w:name w:val="Body Text Indent"/>
    <w:basedOn w:val="1"/>
    <w:next w:val="9"/>
    <w:qFormat/>
    <w:uiPriority w:val="0"/>
    <w:pPr>
      <w:spacing w:after="120"/>
      <w:ind w:left="420" w:leftChars="200"/>
    </w:pPr>
  </w:style>
  <w:style w:type="paragraph" w:styleId="9">
    <w:name w:val="envelope return"/>
    <w:basedOn w:val="1"/>
    <w:unhideWhenUsed/>
    <w:qFormat/>
    <w:uiPriority w:val="99"/>
    <w:pPr>
      <w:snapToGrid w:val="0"/>
      <w:ind w:firstLine="200"/>
    </w:pPr>
    <w:rPr>
      <w:rFonts w:ascii="Arial" w:hAnsi="Arial" w:cs="Arial"/>
      <w:szCs w:val="20"/>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rPr>
      <w:rFonts w:ascii="Times New Roman" w:eastAsia="宋体"/>
      <w:sz w:val="24"/>
    </w:rPr>
  </w:style>
  <w:style w:type="paragraph" w:styleId="13">
    <w:name w:val="Body Text First Indent 2"/>
    <w:basedOn w:val="8"/>
    <w:qFormat/>
    <w:uiPriority w:val="0"/>
    <w:pPr>
      <w:ind w:firstLine="420" w:firstLineChars="200"/>
    </w:pPr>
    <w:rPr>
      <w:rFonts w:ascii="Calibri" w:hAnsi="Calibri"/>
      <w:szCs w:val="2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qFormat/>
    <w:uiPriority w:val="0"/>
    <w:rPr>
      <w:color w:val="0000FF"/>
      <w:u w:val="single"/>
    </w:rPr>
  </w:style>
  <w:style w:type="paragraph" w:customStyle="1" w:styleId="18">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1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table" w:customStyle="1" w:styleId="2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29543</Words>
  <Characters>32857</Characters>
  <Lines>210</Lines>
  <Paragraphs>59</Paragraphs>
  <TotalTime>238</TotalTime>
  <ScaleCrop>false</ScaleCrop>
  <LinksUpToDate>false</LinksUpToDate>
  <CharactersWithSpaces>35664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2022-05-26T13:47:00Z</dcterms:created>
  <dc:creator>王亚东</dc:creator>
  <cp:lastModifiedBy>趙</cp:lastModifiedBy>
  <cp:lastPrinted>2022-07-22T09:31:51Z</cp:lastPrinted>
  <dcterms:modified xsi:type="dcterms:W3CDTF">2022-07-22T09:38:48Z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7BFE4721DE3B486CA29D705CBFCF9CEB</vt:lpwstr>
  </property>
</Properties>
</file>