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5E4B">
      <w:pPr>
        <w:widowControl/>
        <w:jc w:val="center"/>
        <w:rPr>
          <w:rFonts w:hint="default"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2024年新建改建路段服务区营运设施设备采购及安装项目便利店设施采购项目</w:t>
      </w:r>
    </w:p>
    <w:p w14:paraId="0093413D">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28CD7E3D">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4489_WPSOffice_Level2"/>
      <w:bookmarkStart w:id="3" w:name="_Toc12765"/>
      <w:bookmarkStart w:id="4" w:name="_Toc24354_WPSOffice_Level2"/>
      <w:bookmarkStart w:id="5" w:name="_Toc10395_WPSOffice_Level2"/>
      <w:bookmarkStart w:id="6" w:name="_Toc525632585"/>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2024年新建改建路段服务区营运设施设备采购及安装项目便利店设施采购项目。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2024年新建改建路段服务区营运设施设备采购及安装项目便利店设施采购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8453"/>
      <w:bookmarkStart w:id="10" w:name="_Toc18367_WPSOffice_Level2"/>
      <w:bookmarkStart w:id="11" w:name="_Toc17858_WPSOffice_Level2"/>
      <w:bookmarkStart w:id="12" w:name="_Toc525632586"/>
      <w:bookmarkStart w:id="13" w:name="_Toc10274"/>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 </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255</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：接采购人通知后</w:t>
      </w:r>
      <w:r>
        <w:rPr>
          <w:rFonts w:hint="eastAsia" w:ascii="Times New Roman" w:hAnsi="Times New Roman" w:eastAsia="宋体" w:cs="Times New Roman"/>
          <w:color w:val="auto"/>
          <w:szCs w:val="21"/>
          <w:highlight w:val="none"/>
          <w:lang w:val="en-US" w:eastAsia="zh-CN"/>
        </w:rPr>
        <w:t>15</w:t>
      </w:r>
      <w:r>
        <w:rPr>
          <w:rFonts w:hint="default" w:ascii="Times New Roman" w:hAnsi="Times New Roman" w:eastAsia="宋体" w:cs="Times New Roman"/>
          <w:color w:val="auto"/>
          <w:szCs w:val="21"/>
          <w:highlight w:val="none"/>
        </w:rPr>
        <w:t>天内到货（根据实际情况安排进度）</w:t>
      </w:r>
      <w:r>
        <w:rPr>
          <w:rFonts w:hint="eastAsia" w:ascii="Times New Roman" w:hAnsi="Times New Roman" w:eastAsia="宋体" w:cs="Times New Roman"/>
          <w:color w:val="auto"/>
          <w:szCs w:val="21"/>
          <w:highlight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22379_WPSOffice_Level2"/>
      <w:bookmarkStart w:id="19" w:name="_Toc525632587"/>
      <w:bookmarkStart w:id="20" w:name="_Toc29516_WPSOffice_Level2"/>
      <w:bookmarkStart w:id="21" w:name="_Toc6388"/>
      <w:bookmarkStart w:id="22" w:name="_Toc31673_WPSOffice_Level2"/>
      <w:bookmarkStart w:id="23" w:name="_Toc1622_WPSOffice_Level2"/>
      <w:bookmarkStart w:id="24" w:name="_Toc3714"/>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150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便利店设施</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1994"/>
      <w:bookmarkStart w:id="26" w:name="_Toc25666_WPSOffice_Level2"/>
      <w:bookmarkStart w:id="27" w:name="_Toc2996_WPSOffice_Level2"/>
      <w:bookmarkStart w:id="28" w:name="_Toc4109_WPSOffice_Level2"/>
      <w:bookmarkStart w:id="29" w:name="_Toc4751"/>
      <w:bookmarkStart w:id="30" w:name="_Toc29452_WPSOffice_Level2"/>
      <w:bookmarkStart w:id="31" w:name="_Toc525632588"/>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525632589"/>
      <w:bookmarkStart w:id="33" w:name="_Toc726"/>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18</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51000元（大写：伍万壹仟元整）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便利店设施</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14943_WPSOffice_Level2"/>
      <w:bookmarkStart w:id="37" w:name="_Toc321_WPSOffice_Level2"/>
      <w:bookmarkStart w:id="38" w:name="_Toc20572_WPSOffice_Level2"/>
      <w:bookmarkStart w:id="39" w:name="_Toc525632592"/>
      <w:bookmarkStart w:id="40" w:name="_Toc26829"/>
      <w:bookmarkStart w:id="41" w:name="_Toc28571_WPSOffice_Level2"/>
      <w:bookmarkStart w:id="42" w:name="_Toc8501"/>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19501"/>
      <w:bookmarkStart w:id="45" w:name="_Toc26656928"/>
      <w:bookmarkStart w:id="46" w:name="_Toc29381_WPSOffice_Level2"/>
      <w:bookmarkStart w:id="47" w:name="_Toc16069"/>
      <w:bookmarkStart w:id="48" w:name="_Toc5546681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人民币255万元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sz w:val="22"/>
                <w:szCs w:val="22"/>
                <w:highlight w:val="yellow"/>
                <w:u w:val="single"/>
                <w:lang w:val="en-US" w:eastAsia="zh-CN"/>
              </w:rPr>
              <w:t>51000元。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后期供应的便利店设施</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9067720"/>
            <w:bookmarkStart w:id="50" w:name="_Toc26656938"/>
            <w:bookmarkStart w:id="51" w:name="_Toc14201207"/>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至少提供1个自2021年1月1日以来，单项合同额不低于150万元的便利店设施供应合同业绩（每个业绩至少提供一张该项目的增值税发票或收到业主转账的收款凭证）。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14201257"/>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14201263"/>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63F36A58">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144974496"/>
      <w:bookmarkStart w:id="64" w:name="_Toc152045528"/>
      <w:bookmarkStart w:id="65" w:name="_Toc457482536"/>
      <w:bookmarkStart w:id="66" w:name="_Toc447808662"/>
      <w:bookmarkStart w:id="67" w:name="_Toc14847"/>
      <w:bookmarkStart w:id="68" w:name="_Toc152042304"/>
      <w:bookmarkStart w:id="69" w:name="_Toc3834"/>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010C394D">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5A033183">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217237E0">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775" w:type="dxa"/>
            <w:vAlign w:val="center"/>
          </w:tcPr>
          <w:p w14:paraId="4DBB40B9">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6ABA3926">
            <w:pPr>
              <w:pStyle w:val="7"/>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47270F0B">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日以来（以合同签订时间为准），除供应商资审条件要求的业绩得20分，近三年来具有100万及以上的便利店设施材料供应的业绩，每多提供一个业绩得5分，满分40分</w:t>
            </w:r>
            <w:r>
              <w:rPr>
                <w:rFonts w:hint="default" w:ascii="Times New Roman" w:hAnsi="Times New Roman" w:cs="Times New Roman" w:eastAsiaTheme="minorEastAsia"/>
                <w:b/>
                <w:bCs/>
                <w:color w:val="auto"/>
                <w:szCs w:val="21"/>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39F06152">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79101EE9">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7B132EB2">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2AE1DBEE">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8664AD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0D4D731F">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2EDFEE48">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29357FDF">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7CF97DF7">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6D953312">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37CAF07F">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472F5D9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2BF5FD0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供应商具有有效期内ISO9001质量管理体系认证证书、ISO14001环境管理体系认证证书、ISO45001职业健康安全管理体系认证证书的，每提供1个得3分，总分9分。提供证书扫描件，未提供或提供材料不符合要求的不得分。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571624E7">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p>
          <w:p w14:paraId="2DF2ADC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red"/>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12</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64777B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1、投标单位所投产品（展示柜</w:t>
            </w:r>
            <w:r>
              <w:rPr>
                <w:rFonts w:hint="eastAsia" w:ascii="宋体" w:hAnsi="宋体" w:eastAsia="宋体" w:cs="宋体"/>
                <w:color w:val="000000"/>
                <w:kern w:val="0"/>
                <w:sz w:val="21"/>
                <w:szCs w:val="21"/>
                <w:highlight w:val="yellow"/>
                <w:lang w:val="en-US" w:eastAsia="zh-CN" w:bidi="ar"/>
              </w:rPr>
              <w:t>压缩机、货架板材</w:t>
            </w:r>
            <w:r>
              <w:rPr>
                <w:rFonts w:hint="eastAsia" w:ascii="宋体" w:hAnsi="宋体" w:eastAsia="宋体" w:cs="宋体"/>
                <w:color w:val="auto"/>
                <w:kern w:val="0"/>
                <w:sz w:val="21"/>
                <w:szCs w:val="21"/>
                <w:highlight w:val="yellow"/>
                <w:u w:val="none"/>
                <w:lang w:val="en-US" w:eastAsia="zh-CN" w:bidi="ar"/>
              </w:rPr>
              <w:t>）具有出厂合格证，得6分；</w:t>
            </w:r>
          </w:p>
          <w:p w14:paraId="3E0A6F74">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textAlignment w:val="auto"/>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lang w:eastAsia="zh-CN"/>
              </w:rPr>
              <w:t>所投产品</w:t>
            </w:r>
            <w:r>
              <w:rPr>
                <w:rFonts w:hint="eastAsia" w:ascii="宋体" w:hAnsi="宋体" w:eastAsia="宋体" w:cs="宋体"/>
                <w:color w:val="auto"/>
                <w:kern w:val="0"/>
                <w:sz w:val="21"/>
                <w:szCs w:val="21"/>
                <w:highlight w:val="yellow"/>
                <w:u w:val="none"/>
                <w:lang w:val="en-US" w:eastAsia="zh-CN" w:bidi="ar"/>
              </w:rPr>
              <w:t>（展示柜</w:t>
            </w:r>
            <w:r>
              <w:rPr>
                <w:rFonts w:hint="eastAsia" w:ascii="宋体" w:hAnsi="宋体" w:eastAsia="宋体" w:cs="宋体"/>
                <w:color w:val="000000"/>
                <w:kern w:val="0"/>
                <w:sz w:val="21"/>
                <w:szCs w:val="21"/>
                <w:highlight w:val="yellow"/>
                <w:lang w:val="en-US" w:eastAsia="zh-CN" w:bidi="ar"/>
              </w:rPr>
              <w:t>压缩机、货架板材</w:t>
            </w:r>
            <w:r>
              <w:rPr>
                <w:rFonts w:hint="eastAsia" w:ascii="宋体" w:hAnsi="宋体" w:eastAsia="宋体" w:cs="宋体"/>
                <w:color w:val="auto"/>
                <w:kern w:val="0"/>
                <w:sz w:val="21"/>
                <w:szCs w:val="21"/>
                <w:highlight w:val="yellow"/>
                <w:u w:val="none"/>
                <w:lang w:val="en-US" w:eastAsia="zh-CN" w:bidi="ar"/>
              </w:rPr>
              <w:t>）</w:t>
            </w:r>
            <w:r>
              <w:rPr>
                <w:rFonts w:hint="eastAsia" w:ascii="宋体" w:hAnsi="宋体" w:eastAsia="宋体" w:cs="宋体"/>
                <w:color w:val="auto"/>
                <w:highlight w:val="yellow"/>
                <w:lang w:val="en-US" w:eastAsia="zh-CN"/>
              </w:rPr>
              <w:t>具有检测报告得6分。</w:t>
            </w:r>
          </w:p>
          <w:p w14:paraId="67BB5418">
            <w:pPr>
              <w:keepNext w:val="0"/>
              <w:keepLines w:val="0"/>
              <w:suppressLineNumbers w:val="0"/>
              <w:spacing w:before="0" w:beforeAutospacing="0" w:after="0" w:afterAutospacing="0"/>
              <w:ind w:left="0" w:right="0"/>
              <w:rPr>
                <w:rFonts w:hint="default"/>
                <w:lang w:val="en-US" w:eastAsia="zh-CN"/>
              </w:rPr>
            </w:pPr>
            <w:r>
              <w:rPr>
                <w:rFonts w:hint="eastAsia" w:ascii="宋体" w:hAnsi="宋体" w:eastAsia="宋体" w:cs="宋体"/>
                <w:color w:val="auto"/>
                <w:highlight w:val="yellow"/>
                <w:lang w:val="en-US" w:eastAsia="zh-CN"/>
              </w:rPr>
              <w:t>注：提供合格证、检测报告扫描件，未提供或提供材料不符合要求的不得分。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2973" w:type="pct"/>
            <w:vAlign w:val="center"/>
          </w:tcPr>
          <w:p w14:paraId="409A701F">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3686DE7B">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5652C8B6">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1141E05D">
      <w:pPr>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19B184A8">
      <w:pPr>
        <w:bidi w:val="0"/>
        <w:jc w:val="left"/>
        <w:rPr>
          <w:rFonts w:hint="eastAsia" w:asciiTheme="minorHAnsi" w:hAnsiTheme="minorHAnsi" w:eastAsiaTheme="minorEastAsia" w:cstheme="minorBidi"/>
          <w:kern w:val="2"/>
          <w:sz w:val="21"/>
          <w:szCs w:val="24"/>
          <w:lang w:val="en-US" w:eastAsia="zh-CN" w:bidi="ar-SA"/>
        </w:rPr>
      </w:pP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68F1EC3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745D17D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761112C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3F1F14BF">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w:t>
      </w:r>
      <w:bookmarkStart w:id="173" w:name="_GoBack"/>
      <w:bookmarkEnd w:id="173"/>
      <w:r>
        <w:rPr>
          <w:rFonts w:hint="eastAsia" w:ascii="仿宋_GB2312" w:hAnsi="仿宋_GB2312" w:eastAsia="仿宋_GB2312" w:cs="仿宋_GB2312"/>
          <w:color w:val="FF0000"/>
          <w:sz w:val="28"/>
          <w:szCs w:val="28"/>
          <w:lang w:val="en-US" w:eastAsia="zh-CN"/>
        </w:rPr>
        <w:t>要做到“三流一致”，也即“货物、劳务及应税服务流”、“资金流”、“发票流”必须都是同一受票方。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414DEBE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473BC53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40033C05">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p>
    <w:p w14:paraId="61F4AA96">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710E4DE9">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涉及便利店设施材料复试费用均由供应商承担，抽检频率和批次按国家、行业标准或甲方要求执行。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4.便利店设施材料须在包装外壁醒目位置及材料上永久性标示生产厂家、生产批次、品牌标志、规格型号、唯一性可追溯性编码标识（如二维码）等信息。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5.便利店设施材料供货进度应满足采购人工程进度分批次实施的安排和要求，中标人应充分理解并全力配合采购人的便利店设施材料采购、进场工作，并承担因送货次数增加而引起的运输成本增加等相应风险。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便利店设施材料质量负总责，材料进场应按程序履行报验、交接手续；因便利店设施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914_WPSOffice_Level1"/>
      <w:bookmarkStart w:id="74" w:name="_Toc29687_WPSOffice_Level1"/>
      <w:bookmarkStart w:id="75" w:name="_Toc32044_WPSOffice_Level1"/>
      <w:bookmarkStart w:id="76" w:name="_Toc17394_WPSOffice_Level1"/>
      <w:bookmarkStart w:id="77" w:name="_Toc1048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25232_WPSOffice_Level2"/>
      <w:bookmarkStart w:id="7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20076_WPSOffice_Level2"/>
      <w:bookmarkStart w:id="8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20803_WPSOffice_Level2"/>
      <w:bookmarkStart w:id="86"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7F0565D7">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10436_WPSOffice_Level1"/>
      <w:bookmarkStart w:id="90" w:name="_Toc2376"/>
      <w:bookmarkStart w:id="91" w:name="_Toc23012"/>
      <w:bookmarkStart w:id="92" w:name="_Toc25920_WPSOffice_Level1"/>
      <w:bookmarkStart w:id="93" w:name="_Toc27812_WPSOffice_Level1"/>
      <w:bookmarkStart w:id="94" w:name="_Toc23545_WPSOffice_Level1"/>
      <w:bookmarkStart w:id="95" w:name="_Toc31445_WPSOffice_Level1"/>
      <w:bookmarkStart w:id="96" w:name="_Toc7738_WPSOffice_Level1"/>
      <w:bookmarkStart w:id="97" w:name="_Toc8790"/>
      <w:bookmarkStart w:id="98" w:name="_Toc22815_WPSOffice_Level1"/>
      <w:r>
        <w:rPr>
          <w:rFonts w:hint="eastAsia" w:ascii="Times New Roman" w:hAnsi="Times New Roman" w:eastAsia="黑体" w:cs="Times New Roman"/>
          <w:b w:val="0"/>
          <w:bCs w:val="0"/>
          <w:kern w:val="2"/>
          <w:sz w:val="28"/>
          <w:szCs w:val="28"/>
          <w:lang w:val="en-US" w:eastAsia="zh-CN" w:bidi="ar-SA"/>
        </w:rPr>
        <w:t>三、</w:t>
      </w:r>
      <w:bookmarkStart w:id="99" w:name="_Toc2807_WPSOffice_Level2"/>
      <w:bookmarkStart w:id="100" w:name="_Toc27600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28307"/>
      <w:bookmarkStart w:id="102" w:name="_Toc3772_WPSOffice_Level1"/>
      <w:bookmarkStart w:id="103" w:name="_Toc5072_WPSOffice_Level1"/>
      <w:bookmarkStart w:id="104" w:name="_Toc18163"/>
      <w:bookmarkStart w:id="105" w:name="_Toc1452_WPSOffice_Level1"/>
      <w:bookmarkStart w:id="106" w:name="_Toc25691"/>
      <w:bookmarkStart w:id="107" w:name="_Toc23822_WPSOffice_Level1"/>
      <w:bookmarkStart w:id="108" w:name="_Toc14534_WPSOffice_Level1"/>
      <w:bookmarkStart w:id="109" w:name="_Toc18547_WPSOffice_Level1"/>
      <w:bookmarkStart w:id="110" w:name="_Toc19004_WPSOffice_Level1"/>
      <w:bookmarkStart w:id="111" w:name="_Toc23763"/>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9267_WPSOffice_Level1"/>
      <w:bookmarkStart w:id="113" w:name="_Toc9011_WPSOffice_Level1"/>
      <w:bookmarkStart w:id="114" w:name="_Toc30712_WPSOffice_Level1"/>
      <w:bookmarkStart w:id="115" w:name="_Toc10794"/>
      <w:bookmarkStart w:id="116" w:name="_Toc11841_WPSOffice_Level1"/>
      <w:bookmarkStart w:id="117" w:name="_Toc15708"/>
      <w:bookmarkStart w:id="118" w:name="_Toc12019_WPSOffice_Level1"/>
      <w:bookmarkStart w:id="119" w:name="_Toc10796"/>
      <w:bookmarkStart w:id="120" w:name="_Toc3893_WPSOffice_Level1"/>
      <w:bookmarkStart w:id="121" w:name="_Toc5403_WPSOffice_Level1"/>
      <w:bookmarkStart w:id="122" w:name="_Toc14563"/>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24841"/>
      <w:bookmarkStart w:id="124" w:name="_Toc28454_WPSOffice_Level1"/>
      <w:bookmarkStart w:id="125" w:name="_Toc7003_WPSOffice_Level1"/>
      <w:bookmarkStart w:id="126" w:name="_Toc25543_WPSOffice_Level1"/>
      <w:bookmarkStart w:id="127" w:name="_Toc18092"/>
      <w:bookmarkStart w:id="128" w:name="_Toc20479"/>
      <w:bookmarkStart w:id="129" w:name="_Toc25735"/>
      <w:bookmarkStart w:id="130" w:name="_Toc2048_WPSOffice_Level1"/>
      <w:bookmarkStart w:id="131" w:name="_Toc24999_WPSOffice_Level1"/>
      <w:bookmarkStart w:id="132" w:name="_Toc1483_WPSOffice_Level1"/>
      <w:bookmarkStart w:id="133"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21078_WPSOffice_Level1"/>
      <w:bookmarkStart w:id="136" w:name="_Toc12998"/>
      <w:bookmarkStart w:id="137" w:name="_Toc26624"/>
      <w:bookmarkStart w:id="138" w:name="_Toc3653"/>
      <w:bookmarkStart w:id="139" w:name="_Toc7540_WPSOffice_Level1"/>
      <w:bookmarkStart w:id="140" w:name="_Toc15767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16609_WPSOffice_Level2"/>
      <w:bookmarkStart w:id="142" w:name="_Toc4794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13165_WPSOffice_Level1"/>
      <w:bookmarkStart w:id="144" w:name="_Toc22303_WPSOffice_Level1"/>
      <w:bookmarkStart w:id="145" w:name="_Toc8565"/>
      <w:bookmarkStart w:id="146" w:name="_Toc2428_WPSOffice_Level1"/>
      <w:bookmarkStart w:id="147" w:name="_Toc15802_WPSOffice_Level1"/>
      <w:bookmarkStart w:id="148" w:name="_Toc7110_WPSOffice_Level1"/>
      <w:bookmarkStart w:id="149" w:name="_Toc15887_WPSOffice_Level1"/>
      <w:bookmarkStart w:id="150" w:name="_Toc8419_WPSOffice_Level1"/>
      <w:bookmarkStart w:id="151" w:name="_Toc23493"/>
      <w:bookmarkStart w:id="152" w:name="_Toc32592"/>
      <w:bookmarkStart w:id="153" w:name="_Toc19130"/>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25CE85B3">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4109"/>
      <w:bookmarkStart w:id="155" w:name="_Toc1168"/>
      <w:bookmarkStart w:id="156" w:name="_Toc11617"/>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634C10D">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1DA64296">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3F7BDAFA">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2AAFFD7E">
      <w:pPr>
        <w:spacing w:line="400" w:lineRule="atLeast"/>
        <w:jc w:val="left"/>
        <w:rPr>
          <w:rFonts w:ascii="Times New Roman" w:hAnsi="Times New Roman" w:cs="Times New Roman"/>
          <w:sz w:val="24"/>
          <w:szCs w:val="28"/>
        </w:rPr>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30031_WPSOffice_Level1"/>
      <w:bookmarkStart w:id="159" w:name="_Toc29399_WPSOffice_Level1"/>
      <w:bookmarkStart w:id="160" w:name="_Toc29968"/>
      <w:bookmarkStart w:id="161" w:name="_Toc23583"/>
      <w:bookmarkStart w:id="162" w:name="_Toc2765_WPSOffice_Level1"/>
      <w:bookmarkStart w:id="163" w:name="_Toc24269_WPSOffice_Level1"/>
      <w:bookmarkStart w:id="164" w:name="_Toc8703"/>
      <w:bookmarkStart w:id="165" w:name="_Toc1687_WPSOffice_Level1"/>
      <w:bookmarkStart w:id="166" w:name="_Toc11805_WPSOffice_Level1"/>
      <w:bookmarkStart w:id="167" w:name="_Toc18312_WPSOffice_Level1"/>
      <w:bookmarkStart w:id="168" w:name="_Toc15092"/>
      <w:bookmarkStart w:id="169" w:name="_Toc1924"/>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272486050"/>
      <w:bookmarkStart w:id="171" w:name="_Toc162490440"/>
      <w:bookmarkStart w:id="172" w:name="_Toc15342123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便利店设施采购项目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涉及便利店设施检测复试费用均由供应商承担，抽检频率和批次按国家、行业标准或甲方要求执行。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4.便利店设施须在包装外壁醒目位置及卷材上永久性标示生产厂家、生产批次、品牌标志、规格型号、唯一性可追溯性编码标识（如二维码）等信息。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5.便利店设施供货进度应满足采购人工程进度分批次实施的安排和要求，中标人应充分理解并全力配合采购人的便利店设施采购、进场工作，并承担因送货次数增加而引起的运输成本增加等相应风险。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便利店设施质量负总责，材料进场应按程序履行报验、交接手续；因便利店设施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6867B1"/>
    <w:rsid w:val="09B13FF7"/>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886585"/>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6F6FD1"/>
    <w:rsid w:val="29C70BBB"/>
    <w:rsid w:val="29E4351B"/>
    <w:rsid w:val="2A305480"/>
    <w:rsid w:val="2A8F70B0"/>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BF0E0A"/>
    <w:rsid w:val="31D976DD"/>
    <w:rsid w:val="32164205"/>
    <w:rsid w:val="32332253"/>
    <w:rsid w:val="324271A8"/>
    <w:rsid w:val="329D4BAF"/>
    <w:rsid w:val="32D10F12"/>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0860"/>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4D68A6"/>
    <w:rsid w:val="4C5440D8"/>
    <w:rsid w:val="4C5B1CC0"/>
    <w:rsid w:val="4C6063F0"/>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92360"/>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A6B3D"/>
    <w:rsid w:val="549C03CB"/>
    <w:rsid w:val="54C469B0"/>
    <w:rsid w:val="54E35FFA"/>
    <w:rsid w:val="54F71AA5"/>
    <w:rsid w:val="55184EF2"/>
    <w:rsid w:val="55CE5FAF"/>
    <w:rsid w:val="55D65B5E"/>
    <w:rsid w:val="55FF50B5"/>
    <w:rsid w:val="563E671E"/>
    <w:rsid w:val="5647080A"/>
    <w:rsid w:val="56695122"/>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048A2"/>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0377E1"/>
    <w:rsid w:val="713117D3"/>
    <w:rsid w:val="713F23B2"/>
    <w:rsid w:val="715F2A54"/>
    <w:rsid w:val="716B764B"/>
    <w:rsid w:val="71817101"/>
    <w:rsid w:val="71943263"/>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E06FD9"/>
    <w:rsid w:val="79F006ED"/>
    <w:rsid w:val="7A2B3BCE"/>
    <w:rsid w:val="7A7430CC"/>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22122</Words>
  <Characters>23216</Characters>
  <Lines>1</Lines>
  <Paragraphs>1</Paragraphs>
  <TotalTime>0</TotalTime>
  <ScaleCrop>false</ScaleCrop>
  <LinksUpToDate>false</LinksUpToDate>
  <CharactersWithSpaces>25759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2024-09-12T01:30:00Z</cp:lastPrinted>
  <dcterms:modified xsi:type="dcterms:W3CDTF">2024-09-12T10:08:06Z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