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8485A">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安徽皖通高速公路股份有限公司 2024 年度宿州中心等营运单位房建设施改造提升工程设计及施工</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总承包项目5个管理处木门采购项目</w:t>
      </w:r>
    </w:p>
    <w:p w14:paraId="3B3B930E">
      <w:pPr>
        <w:spacing w:line="540" w:lineRule="exact"/>
        <w:ind w:firstLine="420"/>
        <w:rPr>
          <w:rFonts w:ascii="Times New Roman" w:hAnsi="Times New Roman" w:cs="Times New Roman"/>
          <w:color w:val="auto"/>
          <w:szCs w:val="21"/>
        </w:rPr>
      </w:pPr>
    </w:p>
    <w:p w14:paraId="0D3160AD">
      <w:pPr>
        <w:pStyle w:val="2"/>
        <w:rPr>
          <w:rFonts w:ascii="Times New Roman" w:hAnsi="Times New Roman" w:cs="Times New Roman"/>
          <w:color w:val="auto"/>
          <w:szCs w:val="21"/>
        </w:rPr>
      </w:pPr>
    </w:p>
    <w:p w14:paraId="6B3871F8">
      <w:pPr>
        <w:rPr>
          <w:color w:val="auto"/>
        </w:rPr>
      </w:pPr>
    </w:p>
    <w:p w14:paraId="28B17120">
      <w:pPr>
        <w:pStyle w:val="2"/>
        <w:rPr>
          <w:rFonts w:ascii="Times New Roman" w:hAnsi="Times New Roman" w:cs="Times New Roman"/>
          <w:color w:val="auto"/>
          <w:szCs w:val="21"/>
        </w:rPr>
      </w:pPr>
    </w:p>
    <w:p w14:paraId="3E23AC69">
      <w:pPr>
        <w:pStyle w:val="2"/>
        <w:rPr>
          <w:rFonts w:ascii="Times New Roman" w:hAnsi="Times New Roman" w:cs="Times New Roman"/>
          <w:color w:val="auto"/>
          <w:szCs w:val="21"/>
        </w:rPr>
      </w:pPr>
    </w:p>
    <w:p w14:paraId="33EC8FBC">
      <w:pPr>
        <w:pStyle w:val="3"/>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7224EF02">
      <w:pPr>
        <w:spacing w:line="540" w:lineRule="exact"/>
        <w:ind w:firstLine="640"/>
        <w:rPr>
          <w:rFonts w:ascii="Times New Roman" w:hAnsi="Times New Roman" w:eastAsia="黑体" w:cs="Times New Roman"/>
          <w:color w:val="auto"/>
          <w:sz w:val="32"/>
          <w:szCs w:val="32"/>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yellow"/>
        </w:rPr>
      </w:pPr>
      <w:r>
        <w:rPr>
          <w:rFonts w:hint="eastAsia" w:ascii="黑体" w:hAnsi="黑体" w:eastAsia="黑体" w:cs="黑体"/>
          <w:color w:val="auto"/>
          <w:sz w:val="32"/>
          <w:szCs w:val="32"/>
          <w:lang w:val="en-US" w:eastAsia="zh-CN"/>
        </w:rPr>
        <w:t>日    期</w:t>
      </w:r>
      <w:r>
        <w:rPr>
          <w:rFonts w:hint="eastAsia" w:ascii="黑体" w:hAnsi="黑体" w:eastAsia="黑体" w:cs="黑体"/>
          <w:color w:val="auto"/>
          <w:sz w:val="32"/>
          <w:szCs w:val="32"/>
        </w:rPr>
        <w:t>：</w:t>
      </w:r>
      <w:r>
        <w:rPr>
          <w:rFonts w:hint="eastAsia" w:ascii="黑体" w:hAnsi="黑体" w:eastAsia="黑体" w:cs="黑体"/>
          <w:color w:val="auto"/>
          <w:sz w:val="32"/>
          <w:szCs w:val="32"/>
          <w:u w:val="single"/>
          <w:lang w:val="en-US" w:eastAsia="zh-CN"/>
        </w:rPr>
        <w:t>202</w:t>
      </w:r>
      <w:r>
        <w:rPr>
          <w:rFonts w:hint="eastAsia" w:ascii="黑体" w:hAnsi="黑体" w:eastAsia="黑体" w:cs="黑体"/>
          <w:color w:val="auto"/>
          <w:sz w:val="32"/>
          <w:szCs w:val="32"/>
          <w:highlight w:val="none"/>
          <w:u w:val="single"/>
          <w:lang w:val="en-US" w:eastAsia="zh-CN"/>
        </w:rPr>
        <w:t>4</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10</w:t>
      </w:r>
      <w:r>
        <w:rPr>
          <w:rFonts w:hint="eastAsia" w:ascii="黑体" w:hAnsi="黑体" w:eastAsia="黑体" w:cs="黑体"/>
          <w:color w:val="auto"/>
          <w:sz w:val="32"/>
          <w:szCs w:val="32"/>
          <w:highlight w:val="none"/>
        </w:rPr>
        <w:t>月</w:t>
      </w:r>
    </w:p>
    <w:p w14:paraId="2641C2A6">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color w:val="auto"/>
          <w:sz w:val="32"/>
          <w:szCs w:val="32"/>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1F29EA5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_Toc25058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第一章 采购公告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_Toc25058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F986C9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_Toc31341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第二章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_Toc31341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357B13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_Toc13289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第三章 评审办法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_Toc13289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164BC90">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_Toc22218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 xml:space="preserve">第四章 </w:t>
          </w:r>
          <w:r>
            <w:rPr>
              <w:rFonts w:hint="eastAsia" w:ascii="宋体" w:hAnsi="宋体" w:eastAsia="宋体" w:cs="宋体"/>
              <w:color w:val="auto"/>
              <w:sz w:val="24"/>
              <w:szCs w:val="24"/>
            </w:rPr>
            <w:t>合同内容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_Toc22218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CEC322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_Toc13849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第五章 供货要</w:t>
          </w:r>
          <w:r>
            <w:rPr>
              <w:rFonts w:hint="eastAsia" w:ascii="宋体" w:hAnsi="宋体" w:eastAsia="宋体" w:cs="宋体"/>
              <w:color w:val="auto"/>
              <w:sz w:val="24"/>
              <w:szCs w:val="24"/>
            </w:rPr>
            <w:t>求及清单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_Toc13849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577A89A">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_Toc24198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 xml:space="preserve">第六章 </w:t>
          </w:r>
          <w:r>
            <w:rPr>
              <w:rFonts w:hint="eastAsia" w:ascii="宋体" w:hAnsi="宋体" w:eastAsia="宋体" w:cs="宋体"/>
              <w:color w:val="auto"/>
              <w:sz w:val="24"/>
              <w:szCs w:val="24"/>
            </w:rPr>
            <w:t>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_Toc24198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 w:val="24"/>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16DF4F14">
      <w:pPr>
        <w:pStyle w:val="5"/>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63ECE98">
      <w:pPr>
        <w:pStyle w:val="5"/>
        <w:spacing w:before="312" w:after="312"/>
        <w:rPr>
          <w:rFonts w:ascii="Times New Roman" w:hAnsi="Times New Roman" w:eastAsia="宋体" w:cs="Times New Roman"/>
          <w:color w:val="auto"/>
        </w:rPr>
      </w:pPr>
      <w:bookmarkStart w:id="0" w:name="_Toc25058"/>
      <w:r>
        <w:rPr>
          <w:rFonts w:ascii="Times New Roman" w:hAnsi="Times New Roman" w:eastAsia="宋体" w:cs="Times New Roman"/>
          <w:color w:val="auto"/>
        </w:rPr>
        <w:t>采购公告</w:t>
      </w:r>
      <w:bookmarkEnd w:id="0"/>
    </w:p>
    <w:p w14:paraId="0408454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525632585"/>
      <w:bookmarkStart w:id="2" w:name="_Toc6496_WPSOffice_Level2"/>
      <w:bookmarkStart w:id="3" w:name="_Toc4489_WPSOffice_Level2"/>
      <w:bookmarkStart w:id="4" w:name="_Toc10395_WPSOffice_Level2"/>
      <w:bookmarkStart w:id="5" w:name="_Toc13871"/>
      <w:bookmarkStart w:id="6" w:name="_Toc24354_WPSOffice_Level2"/>
      <w:bookmarkStart w:id="7" w:name="_Toc1276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安徽皖通高速公路股份有限公司 2024 年度宿州中心等营运单位房建设施改造提升工程设计及施工总承包项目5个管理处木门采购项目。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u w:val="single"/>
        </w:rPr>
        <w:t>本项目采购主体为安徽交控建设工程集团有限公司，合同主体为安徽省经工物资有限公司。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安徽皖通高速公路股份有限公司 2024 年度宿州中心等营运单位房建设施改造提升工程设计及施工总承包项目5个管理处木门采购</w:t>
      </w:r>
      <w:r>
        <w:rPr>
          <w:rFonts w:hint="default" w:ascii="Times New Roman" w:hAnsi="Times New Roman" w:eastAsia="宋体" w:cs="Times New Roman"/>
          <w:color w:val="auto"/>
          <w:kern w:val="0"/>
          <w:sz w:val="21"/>
          <w:szCs w:val="21"/>
          <w:highlight w:val="none"/>
          <w:u w:val="none"/>
          <w:lang w:eastAsia="zh-CN"/>
        </w:rPr>
        <w:t>。</w:t>
      </w:r>
    </w:p>
    <w:p w14:paraId="4C504C2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8367_WPSOffice_Level2"/>
      <w:bookmarkStart w:id="9" w:name="_Toc10274"/>
      <w:bookmarkStart w:id="10" w:name="_Toc18453"/>
      <w:bookmarkStart w:id="11" w:name="_Toc17858_WPSOffice_Level2"/>
      <w:bookmarkStart w:id="12" w:name="_Toc23266_WPSOffice_Level2"/>
      <w:bookmarkStart w:id="13" w:name="_Toc525632586"/>
      <w:bookmarkStart w:id="14" w:name="_Toc812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Times New Roman" w:hAnsi="Times New Roman" w:eastAsia="宋体" w:cs="Times New Roman"/>
          <w:color w:val="auto"/>
          <w:szCs w:val="21"/>
          <w:highlight w:val="none"/>
          <w:u w:val="single"/>
          <w:lang w:val="en-US" w:eastAsia="zh-CN"/>
        </w:rPr>
        <w:t>无，</w:t>
      </w:r>
      <w:r>
        <w:rPr>
          <w:rFonts w:hint="default" w:ascii="Times New Roman" w:hAnsi="Times New Roman" w:eastAsia="宋体" w:cs="Times New Roman"/>
          <w:color w:val="auto"/>
          <w:szCs w:val="21"/>
          <w:highlight w:val="none"/>
          <w:u w:val="single"/>
          <w:lang w:val="en-US" w:eastAsia="zh-CN"/>
        </w:rPr>
        <w:t>具体规格详见第五章采购清单</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2</w:t>
      </w:r>
      <w:r>
        <w:rPr>
          <w:rFonts w:hint="default" w:ascii="Times New Roman" w:hAnsi="Times New Roman" w:eastAsia="宋体" w:cs="Times New Roman"/>
          <w:color w:val="auto"/>
          <w:szCs w:val="21"/>
          <w:highlight w:val="none"/>
          <w:u w:val="single"/>
          <w:lang w:val="en-US" w:eastAsia="zh-CN"/>
        </w:rPr>
        <w:t>个采购包。</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red"/>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宋体" w:hAnsi="宋体" w:eastAsia="宋体" w:cs="宋体"/>
          <w:b w:val="0"/>
          <w:bCs w:val="0"/>
          <w:color w:val="auto"/>
          <w:szCs w:val="21"/>
          <w:highlight w:val="none"/>
          <w:u w:val="single"/>
          <w:lang w:val="en-US" w:eastAsia="zh-CN"/>
        </w:rPr>
        <w:t>总限价为89万元，其中01包42万元（六安北中心、宿州中心、界阜蚌公司）；02包47万元（蚌埠处、徐明公司）。</w:t>
      </w:r>
    </w:p>
    <w:p w14:paraId="72A563C9">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eastAsia" w:ascii="宋体" w:hAnsi="宋体" w:eastAsia="宋体" w:cs="宋体"/>
          <w:b/>
          <w:bCs/>
          <w:color w:val="auto"/>
          <w:szCs w:val="21"/>
          <w:highlight w:val="yellow"/>
          <w:lang w:val="en-US" w:eastAsia="zh-CN"/>
        </w:rPr>
        <w:t>注：本项目中不同的包段,供应商均可以参与。多包段的成交原则：一家供应商原则上只允许承接一个包段，如某供应商同时在多个包段排名第一，优先中标造价最高的包段，同时，该供应商在其他包段的候选中标资格将自动废除，由该标段的第二名中标候选人替补成为第一中标候选人。</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w:t>
      </w:r>
      <w:r>
        <w:rPr>
          <w:rFonts w:hint="eastAsia" w:ascii="宋体" w:hAnsi="宋体" w:eastAsia="宋体" w:cs="宋体"/>
          <w:color w:val="auto"/>
          <w:kern w:val="0"/>
          <w:sz w:val="21"/>
          <w:szCs w:val="21"/>
          <w:highlight w:val="none"/>
          <w:u w:val="single"/>
        </w:rPr>
        <w:t>接到甲方通知之日起</w:t>
      </w:r>
      <w:r>
        <w:rPr>
          <w:rFonts w:hint="eastAsia" w:ascii="宋体" w:hAnsi="宋体" w:eastAsia="宋体" w:cs="宋体"/>
          <w:color w:val="auto"/>
          <w:kern w:val="0"/>
          <w:sz w:val="21"/>
          <w:szCs w:val="21"/>
          <w:highlight w:val="none"/>
          <w:u w:val="single"/>
          <w:lang w:val="en-US" w:eastAsia="zh-CN"/>
        </w:rPr>
        <w:t>15</w:t>
      </w:r>
      <w:r>
        <w:rPr>
          <w:rFonts w:hint="eastAsia" w:ascii="宋体" w:hAnsi="宋体" w:eastAsia="宋体" w:cs="宋体"/>
          <w:color w:val="auto"/>
          <w:kern w:val="0"/>
          <w:sz w:val="21"/>
          <w:szCs w:val="21"/>
          <w:highlight w:val="none"/>
          <w:u w:val="single"/>
        </w:rPr>
        <w:t>天内交货</w:t>
      </w:r>
      <w:r>
        <w:rPr>
          <w:rFonts w:hint="eastAsia" w:ascii="宋体" w:hAnsi="宋体" w:eastAsia="宋体" w:cs="宋体"/>
          <w:color w:val="auto"/>
          <w:kern w:val="0"/>
          <w:sz w:val="21"/>
          <w:szCs w:val="21"/>
          <w:highlight w:val="none"/>
          <w:u w:val="single"/>
          <w:lang w:val="en-US" w:eastAsia="zh-CN"/>
        </w:rPr>
        <w:t>并安装完成（根据实际情况安排进度）</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 xml:space="preserve">        </w:t>
      </w:r>
    </w:p>
    <w:p w14:paraId="5CD14537">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3714"/>
      <w:bookmarkStart w:id="19" w:name="_Toc1622_WPSOffice_Level2"/>
      <w:bookmarkStart w:id="20" w:name="_Toc6388"/>
      <w:bookmarkStart w:id="21" w:name="_Toc525632587"/>
      <w:bookmarkStart w:id="22" w:name="_Toc31673_WPSOffice_Level2"/>
      <w:bookmarkStart w:id="23" w:name="_Toc29516_WPSOffice_Level2"/>
      <w:bookmarkStart w:id="24" w:name="_Toc22379_WPSOffice_Level2"/>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yellow"/>
        </w:rPr>
      </w:pPr>
      <w:r>
        <w:rPr>
          <w:rFonts w:hint="eastAsia" w:ascii="宋体" w:hAnsi="宋体" w:cs="宋体"/>
          <w:color w:val="auto"/>
          <w:sz w:val="21"/>
          <w:szCs w:val="22"/>
          <w:highlight w:val="yellow"/>
        </w:rPr>
        <w:t>②制造商/厂家参与询比的，应具备有生产、销售采购人所需材料的能力（如产品特性、‌质量标准）；制造商的授权代理商参加询比的，应具备代理证书/品牌授权书，有生产、销售采购人所需材料的能力。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2"/>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yellow"/>
          <w:u w:val="single"/>
          <w:lang w:val="en-US" w:eastAsia="zh-CN"/>
        </w:rPr>
      </w:pPr>
      <w:r>
        <w:rPr>
          <w:rFonts w:hint="default" w:ascii="Times New Roman" w:hAnsi="Times New Roman" w:cs="Times New Roman" w:eastAsiaTheme="minorEastAsia"/>
          <w:b/>
          <w:bCs/>
          <w:color w:val="auto"/>
          <w:highlight w:val="yellow"/>
          <w:u w:val="single"/>
          <w:lang w:val="en-US" w:eastAsia="zh-CN"/>
        </w:rPr>
        <w:t>至少提供1个自2021年1月1日以来，单项合同额不低于</w:t>
      </w:r>
      <w:r>
        <w:rPr>
          <w:rFonts w:hint="eastAsia" w:ascii="Times New Roman" w:hAnsi="Times New Roman" w:cs="Times New Roman"/>
          <w:b/>
          <w:bCs/>
          <w:color w:val="auto"/>
          <w:highlight w:val="yellow"/>
          <w:u w:val="single"/>
          <w:lang w:val="en-US" w:eastAsia="zh-CN"/>
        </w:rPr>
        <w:t>30</w:t>
      </w:r>
      <w:r>
        <w:rPr>
          <w:rFonts w:hint="default" w:ascii="Times New Roman" w:hAnsi="Times New Roman" w:cs="Times New Roman" w:eastAsiaTheme="minorEastAsia"/>
          <w:b/>
          <w:bCs/>
          <w:color w:val="auto"/>
          <w:highlight w:val="yellow"/>
          <w:u w:val="single"/>
          <w:lang w:val="en-US" w:eastAsia="zh-CN"/>
        </w:rPr>
        <w:t>万元的</w:t>
      </w:r>
      <w:r>
        <w:rPr>
          <w:rFonts w:hint="eastAsia" w:ascii="Times New Roman" w:hAnsi="Times New Roman" w:cs="Times New Roman"/>
          <w:b/>
          <w:bCs/>
          <w:color w:val="auto"/>
          <w:highlight w:val="yellow"/>
          <w:u w:val="single"/>
          <w:lang w:val="en-US" w:eastAsia="zh-CN"/>
        </w:rPr>
        <w:t>木门</w:t>
      </w:r>
      <w:r>
        <w:rPr>
          <w:rFonts w:hint="default" w:ascii="Times New Roman" w:hAnsi="Times New Roman" w:cs="Times New Roman" w:eastAsiaTheme="minorEastAsia"/>
          <w:b/>
          <w:bCs/>
          <w:color w:val="auto"/>
          <w:highlight w:val="yellow"/>
          <w:u w:val="single"/>
          <w:lang w:val="en-US" w:eastAsia="zh-CN"/>
        </w:rPr>
        <w:t>供应</w:t>
      </w:r>
      <w:r>
        <w:rPr>
          <w:rFonts w:hint="default" w:ascii="Times New Roman" w:hAnsi="Times New Roman" w:cs="Times New Roman" w:eastAsiaTheme="minorEastAsia"/>
          <w:b/>
          <w:bCs/>
          <w:color w:val="auto"/>
          <w:szCs w:val="21"/>
          <w:highlight w:val="yellow"/>
          <w:u w:val="single"/>
          <w:lang w:val="en-US" w:eastAsia="zh-CN"/>
        </w:rPr>
        <w:t>合同业绩（每个业绩至少提供一张该项目的增值税发票或收到业主转账的收款凭证）</w:t>
      </w:r>
      <w:r>
        <w:rPr>
          <w:rFonts w:hint="eastAsia" w:ascii="Times New Roman" w:hAnsi="Times New Roman" w:cs="Times New Roman"/>
          <w:b/>
          <w:bCs/>
          <w:color w:val="auto"/>
          <w:szCs w:val="21"/>
          <w:highlight w:val="yellow"/>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2996_WPSOffice_Level2"/>
      <w:bookmarkStart w:id="26" w:name="_Toc25666_WPSOffice_Level2"/>
      <w:bookmarkStart w:id="27" w:name="_Toc525632588"/>
      <w:bookmarkStart w:id="28" w:name="_Toc4751"/>
      <w:bookmarkStart w:id="29" w:name="_Toc1994"/>
      <w:bookmarkStart w:id="30" w:name="_Toc4109_WPSOffice_Level2"/>
      <w:bookmarkStart w:id="31" w:name="_Toc29452_WPSOffice_Level2"/>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snapToGrid w:val="0"/>
        <w:spacing w:beforeLines="0" w:afterLines="0" w:line="440" w:lineRule="exact"/>
        <w:ind w:firstLine="367" w:firstLineChars="175"/>
        <w:rPr>
          <w:rFonts w:hint="default" w:ascii="Times New Roman" w:hAnsi="Times New Roman"/>
          <w:color w:val="auto"/>
          <w:sz w:val="21"/>
          <w:szCs w:val="22"/>
        </w:rPr>
      </w:pPr>
      <w:bookmarkStart w:id="32" w:name="_Toc525632589"/>
      <w:bookmarkStart w:id="33" w:name="_Toc726"/>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w:t>
      </w:r>
      <w:r>
        <w:rPr>
          <w:rFonts w:hint="eastAsia" w:ascii="Times New Roman" w:hAnsi="Times New Roman"/>
          <w:color w:val="auto"/>
          <w:sz w:val="21"/>
          <w:szCs w:val="22"/>
          <w:lang w:val="en-US" w:eastAsia="zh-CN"/>
        </w:rPr>
        <w:t>13866130523</w:t>
      </w:r>
      <w:r>
        <w:rPr>
          <w:rFonts w:hint="eastAsia" w:ascii="Times New Roman" w:hAnsi="Times New Roman"/>
          <w:color w:val="auto"/>
          <w:sz w:val="21"/>
          <w:szCs w:val="22"/>
        </w:rPr>
        <w:t>。采购人不再另行书面通知，供应商应及时关注、查阅。因未及时查看导致不利后果的，责任自负。</w:t>
      </w:r>
    </w:p>
    <w:p w14:paraId="74ADAE04">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22719"/>
      <w:bookmarkStart w:id="35"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2024</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u w:val="single"/>
          <w:lang w:val="en-US" w:eastAsia="zh-CN" w:bidi="ar-SA"/>
        </w:rPr>
        <w:t>10</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9</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w:t>
      </w:r>
      <w:r>
        <w:rPr>
          <w:rFonts w:hint="default" w:ascii="Times New Roman" w:hAnsi="Times New Roman" w:eastAsia="宋体" w:cs="Times New Roman"/>
          <w:b/>
          <w:bCs/>
          <w:color w:val="auto"/>
          <w:kern w:val="0"/>
          <w:sz w:val="21"/>
          <w:szCs w:val="21"/>
          <w:highlight w:val="yellow"/>
          <w:u w:val="single"/>
          <w:lang w:val="en-US" w:eastAsia="zh-CN" w:bidi="ar-SA"/>
        </w:rPr>
        <w:t>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w:t>
      </w:r>
      <w:r>
        <w:rPr>
          <w:rFonts w:hint="default" w:ascii="Times New Roman" w:hAnsi="Times New Roman" w:eastAsia="宋体" w:cs="Times New Roman"/>
          <w:color w:val="auto"/>
          <w:szCs w:val="22"/>
          <w:highlight w:val="none"/>
          <w:u w:val="single"/>
          <w:lang w:val="en-US" w:eastAsia="zh-CN"/>
        </w:rPr>
        <w:t>588</w:t>
      </w:r>
      <w:r>
        <w:rPr>
          <w:rFonts w:hint="default" w:ascii="Times New Roman" w:hAnsi="Times New Roman" w:eastAsia="宋体" w:cs="Times New Roman"/>
          <w:color w:val="auto"/>
          <w:szCs w:val="22"/>
          <w:highlight w:val="none"/>
          <w:u w:val="single"/>
        </w:rPr>
        <w:t>号高速时代广场C1栋</w:t>
      </w:r>
      <w:r>
        <w:rPr>
          <w:rFonts w:hint="default" w:ascii="Times New Roman" w:hAnsi="Times New Roman" w:eastAsia="宋体" w:cs="Times New Roman"/>
          <w:color w:val="auto"/>
          <w:szCs w:val="22"/>
          <w:highlight w:val="none"/>
          <w:u w:val="single"/>
          <w:lang w:val="en-US" w:eastAsia="zh-CN"/>
        </w:rPr>
        <w:t>1008室</w:t>
      </w:r>
      <w:r>
        <w:rPr>
          <w:rFonts w:hint="default" w:ascii="Times New Roman" w:hAnsi="Times New Roman" w:eastAsia="宋体" w:cs="Times New Roman"/>
          <w:color w:val="auto"/>
          <w:szCs w:val="22"/>
          <w:highlight w:val="none"/>
        </w:rPr>
        <w:t>（地点）现场组织进行响应文件的启封。</w:t>
      </w:r>
    </w:p>
    <w:p w14:paraId="2AD2231C">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宋体" w:hAnsi="宋体" w:eastAsia="宋体" w:cs="宋体"/>
          <w:b/>
          <w:bCs/>
          <w:kern w:val="2"/>
          <w:sz w:val="21"/>
          <w:szCs w:val="21"/>
          <w:highlight w:val="yellow"/>
          <w:u w:val="single"/>
          <w:lang w:val="en-US" w:eastAsia="zh-CN" w:bidi="ar"/>
        </w:rPr>
      </w:pPr>
      <w:r>
        <w:rPr>
          <w:rFonts w:hint="default" w:ascii="Times New Roman" w:hAnsi="Times New Roman" w:eastAsia="宋体" w:cs="Times New Roman"/>
          <w:b/>
          <w:bCs/>
          <w:color w:val="auto"/>
          <w:kern w:val="2"/>
          <w:sz w:val="21"/>
          <w:szCs w:val="21"/>
          <w:highlight w:val="yellow"/>
          <w:lang w:val="en-US" w:eastAsia="zh-CN" w:bidi="ar-SA"/>
        </w:rPr>
        <w:t>本项目响应保证金：</w:t>
      </w:r>
      <w:r>
        <w:rPr>
          <w:rFonts w:hint="eastAsia" w:ascii="Times New Roman" w:hAnsi="Times New Roman" w:eastAsia="宋体" w:cs="Times New Roman"/>
          <w:b/>
          <w:bCs/>
          <w:color w:val="auto"/>
          <w:kern w:val="2"/>
          <w:sz w:val="21"/>
          <w:szCs w:val="21"/>
          <w:highlight w:val="yellow"/>
          <w:lang w:val="en-US" w:eastAsia="zh-CN" w:bidi="ar-SA"/>
        </w:rPr>
        <w:t>10000元（大写：壹万元整）（</w:t>
      </w:r>
      <w:r>
        <w:rPr>
          <w:rFonts w:hint="eastAsia" w:ascii="宋体" w:hAnsi="宋体" w:eastAsia="宋体" w:cs="宋体"/>
          <w:b/>
          <w:bCs/>
          <w:kern w:val="2"/>
          <w:sz w:val="21"/>
          <w:szCs w:val="21"/>
          <w:highlight w:val="yellow"/>
          <w:u w:val="single"/>
          <w:lang w:val="en-US" w:eastAsia="zh-CN" w:bidi="ar"/>
        </w:rPr>
        <w:t>如参与多个包段，只需缴纳一次保证金）</w:t>
      </w:r>
      <w:r>
        <w:rPr>
          <w:rFonts w:hint="eastAsia" w:ascii="宋体" w:hAnsi="宋体" w:eastAsia="宋体" w:cs="宋体"/>
          <w:b/>
          <w:bCs/>
          <w:kern w:val="2"/>
          <w:sz w:val="21"/>
          <w:szCs w:val="21"/>
          <w:highlight w:val="yellow"/>
          <w:u w:val="none"/>
          <w:lang w:val="en-US" w:eastAsia="zh-CN" w:bidi="ar"/>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7D993F09">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kern w:val="2"/>
          <w:sz w:val="21"/>
          <w:szCs w:val="21"/>
          <w:highlight w:val="yellow"/>
        </w:rPr>
      </w:pPr>
      <w:r>
        <w:rPr>
          <w:rFonts w:hint="eastAsia" w:ascii="宋体" w:hAnsi="宋体" w:eastAsia="宋体" w:cs="宋体"/>
          <w:b/>
          <w:bCs/>
          <w:kern w:val="2"/>
          <w:sz w:val="21"/>
          <w:szCs w:val="21"/>
          <w:highlight w:val="yellow"/>
          <w:lang w:val="en-US" w:eastAsia="zh-CN" w:bidi="ar"/>
        </w:rPr>
        <w:t>付款备注：木门</w:t>
      </w:r>
      <w:r>
        <w:rPr>
          <w:rFonts w:hint="eastAsia" w:ascii="宋体" w:hAnsi="宋体" w:eastAsia="宋体" w:cs="宋体"/>
          <w:b/>
          <w:bCs/>
          <w:kern w:val="2"/>
          <w:sz w:val="21"/>
          <w:szCs w:val="21"/>
          <w:highlight w:val="yellow"/>
          <w:u w:val="single"/>
          <w:lang w:val="en-US" w:eastAsia="zh-CN" w:bidi="ar"/>
        </w:rPr>
        <w:t xml:space="preserve">     </w:t>
      </w:r>
      <w:r>
        <w:rPr>
          <w:rFonts w:hint="eastAsia" w:ascii="宋体" w:hAnsi="宋体" w:eastAsia="宋体" w:cs="宋体"/>
          <w:b/>
          <w:bCs/>
          <w:kern w:val="2"/>
          <w:sz w:val="21"/>
          <w:szCs w:val="21"/>
          <w:highlight w:val="yellow"/>
          <w:u w:val="none"/>
          <w:lang w:val="en-US" w:eastAsia="zh-CN" w:bidi="ar"/>
        </w:rPr>
        <w:t>包</w:t>
      </w:r>
      <w:r>
        <w:rPr>
          <w:rFonts w:hint="eastAsia" w:ascii="宋体" w:hAnsi="宋体" w:eastAsia="宋体" w:cs="宋体"/>
          <w:b/>
          <w:bCs/>
          <w:kern w:val="2"/>
          <w:sz w:val="21"/>
          <w:szCs w:val="21"/>
          <w:highlight w:val="yellow"/>
          <w:lang w:val="en-US" w:eastAsia="zh-CN" w:bidi="ar"/>
        </w:rPr>
        <w:t>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color w:val="auto"/>
          <w:sz w:val="21"/>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color w:val="auto"/>
          <w:sz w:val="21"/>
          <w:szCs w:val="24"/>
        </w:rPr>
      </w:pPr>
      <w:bookmarkStart w:id="36" w:name="_Toc321_WPSOffice_Level2"/>
      <w:bookmarkStart w:id="37" w:name="_Toc26829"/>
      <w:bookmarkStart w:id="38" w:name="_Toc525632592"/>
      <w:bookmarkStart w:id="39" w:name="_Toc8501"/>
      <w:bookmarkStart w:id="40" w:name="_Toc14943_WPSOffice_Level2"/>
      <w:bookmarkStart w:id="41" w:name="_Toc20572_WPSOffice_Level2"/>
      <w:bookmarkStart w:id="42" w:name="_Toc28571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邮政编码：</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w:t>
      </w:r>
    </w:p>
    <w:p w14:paraId="1A5CF2B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 系 人：</w:t>
      </w:r>
      <w:r>
        <w:rPr>
          <w:rFonts w:hint="eastAsia" w:ascii="宋体" w:hAnsi="宋体" w:eastAsia="宋体" w:cs="宋体"/>
          <w:color w:val="auto"/>
          <w:sz w:val="21"/>
          <w:szCs w:val="21"/>
          <w:u w:val="single"/>
          <w:lang w:val="en-US" w:eastAsia="zh-CN"/>
        </w:rPr>
        <w:t xml:space="preserve">     余工、方工              </w:t>
      </w:r>
      <w:r>
        <w:rPr>
          <w:rFonts w:hint="eastAsia" w:ascii="宋体" w:hAnsi="宋体" w:eastAsia="宋体" w:cs="宋体"/>
          <w:color w:val="auto"/>
          <w:sz w:val="21"/>
          <w:szCs w:val="21"/>
          <w:lang w:val="en-US" w:eastAsia="zh-CN"/>
        </w:rPr>
        <w:t xml:space="preserve">  </w:t>
      </w:r>
    </w:p>
    <w:p w14:paraId="47BCA89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    话：</w:t>
      </w:r>
      <w:r>
        <w:rPr>
          <w:rFonts w:hint="eastAsia" w:ascii="宋体" w:hAnsi="宋体" w:eastAsia="宋体" w:cs="宋体"/>
          <w:color w:val="auto"/>
          <w:sz w:val="21"/>
          <w:szCs w:val="21"/>
          <w:u w:val="single"/>
          <w:lang w:val="en-US" w:eastAsia="zh-CN"/>
        </w:rPr>
        <w:t xml:space="preserve">   13866130523、15256002215  </w:t>
      </w:r>
    </w:p>
    <w:p w14:paraId="0EE05D1D">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电子邮箱：</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lang w:val="en-US" w:eastAsia="zh-CN"/>
        </w:rPr>
        <w:t xml:space="preserve">    </w:t>
      </w:r>
    </w:p>
    <w:p w14:paraId="67DD1B2B">
      <w:pPr>
        <w:pStyle w:val="32"/>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79446551">
      <w:pPr>
        <w:pStyle w:val="32"/>
        <w:jc w:val="both"/>
        <w:rPr>
          <w:rFonts w:hint="eastAsia" w:ascii="宋体" w:hAnsi="宋体" w:eastAsia="宋体" w:cs="宋体"/>
          <w:color w:val="auto"/>
          <w:sz w:val="21"/>
          <w:szCs w:val="21"/>
        </w:rPr>
      </w:pPr>
    </w:p>
    <w:p w14:paraId="2B31945A">
      <w:pPr>
        <w:pStyle w:val="32"/>
        <w:jc w:val="both"/>
        <w:rPr>
          <w:rFonts w:hint="eastAsia" w:ascii="宋体" w:hAnsi="宋体" w:eastAsia="宋体" w:cs="宋体"/>
          <w:color w:val="auto"/>
          <w:sz w:val="21"/>
          <w:szCs w:val="21"/>
        </w:rPr>
      </w:pPr>
    </w:p>
    <w:p w14:paraId="610FD86C">
      <w:pPr>
        <w:pStyle w:val="32"/>
        <w:jc w:val="both"/>
        <w:rPr>
          <w:rFonts w:hint="eastAsia" w:ascii="宋体" w:hAnsi="宋体" w:eastAsia="宋体" w:cs="宋体"/>
          <w:color w:val="auto"/>
          <w:sz w:val="21"/>
          <w:szCs w:val="21"/>
        </w:rPr>
      </w:pPr>
    </w:p>
    <w:p w14:paraId="1A4A0558">
      <w:pPr>
        <w:pStyle w:val="32"/>
        <w:jc w:val="both"/>
        <w:rPr>
          <w:rFonts w:hint="eastAsia" w:ascii="宋体" w:hAnsi="宋体" w:eastAsia="宋体" w:cs="宋体"/>
          <w:color w:val="auto"/>
          <w:sz w:val="21"/>
          <w:szCs w:val="21"/>
        </w:rPr>
      </w:pPr>
    </w:p>
    <w:p w14:paraId="4715E4D9">
      <w:pPr>
        <w:pStyle w:val="32"/>
        <w:jc w:val="both"/>
        <w:rPr>
          <w:rFonts w:hint="eastAsia" w:ascii="宋体" w:hAnsi="宋体" w:eastAsia="宋体" w:cs="宋体"/>
          <w:color w:val="auto"/>
          <w:sz w:val="21"/>
          <w:szCs w:val="21"/>
        </w:rPr>
      </w:pPr>
    </w:p>
    <w:p w14:paraId="344603F9">
      <w:pPr>
        <w:pStyle w:val="32"/>
        <w:jc w:val="both"/>
        <w:rPr>
          <w:rFonts w:hint="eastAsia" w:ascii="宋体" w:hAnsi="宋体" w:eastAsia="宋体" w:cs="宋体"/>
          <w:color w:val="auto"/>
          <w:sz w:val="21"/>
          <w:szCs w:val="21"/>
        </w:rPr>
      </w:pPr>
    </w:p>
    <w:p w14:paraId="268AB0C2">
      <w:pPr>
        <w:pStyle w:val="32"/>
        <w:jc w:val="both"/>
        <w:rPr>
          <w:rFonts w:hint="eastAsia" w:ascii="宋体" w:hAnsi="宋体" w:eastAsia="宋体" w:cs="宋体"/>
          <w:color w:val="auto"/>
          <w:sz w:val="21"/>
          <w:szCs w:val="21"/>
        </w:rPr>
      </w:pPr>
    </w:p>
    <w:p w14:paraId="515608C0">
      <w:pPr>
        <w:pStyle w:val="32"/>
        <w:jc w:val="both"/>
        <w:rPr>
          <w:rFonts w:hint="eastAsia" w:ascii="宋体" w:hAnsi="宋体" w:eastAsia="宋体" w:cs="宋体"/>
          <w:color w:val="auto"/>
          <w:sz w:val="21"/>
          <w:szCs w:val="21"/>
        </w:rPr>
      </w:pPr>
    </w:p>
    <w:p w14:paraId="2BE5CBC6">
      <w:pPr>
        <w:pStyle w:val="32"/>
        <w:jc w:val="both"/>
        <w:rPr>
          <w:rFonts w:hint="eastAsia" w:ascii="宋体" w:hAnsi="宋体" w:eastAsia="宋体" w:cs="宋体"/>
          <w:color w:val="auto"/>
          <w:sz w:val="21"/>
          <w:szCs w:val="21"/>
        </w:rPr>
      </w:pPr>
    </w:p>
    <w:p w14:paraId="09725CC4">
      <w:pPr>
        <w:pStyle w:val="32"/>
        <w:jc w:val="both"/>
        <w:rPr>
          <w:rFonts w:hint="eastAsia" w:ascii="宋体" w:hAnsi="宋体" w:eastAsia="宋体" w:cs="宋体"/>
          <w:color w:val="auto"/>
          <w:sz w:val="21"/>
          <w:szCs w:val="21"/>
        </w:rPr>
      </w:pPr>
    </w:p>
    <w:p w14:paraId="11DA442D">
      <w:pPr>
        <w:pStyle w:val="32"/>
        <w:jc w:val="both"/>
        <w:rPr>
          <w:rFonts w:hint="eastAsia" w:ascii="宋体" w:hAnsi="宋体" w:eastAsia="宋体" w:cs="宋体"/>
          <w:color w:val="auto"/>
          <w:sz w:val="21"/>
          <w:szCs w:val="21"/>
        </w:rPr>
      </w:pPr>
    </w:p>
    <w:p w14:paraId="621B2DF1">
      <w:pPr>
        <w:pStyle w:val="32"/>
        <w:jc w:val="both"/>
        <w:rPr>
          <w:rFonts w:hint="eastAsia" w:ascii="宋体" w:hAnsi="宋体" w:eastAsia="宋体" w:cs="宋体"/>
          <w:color w:val="auto"/>
          <w:sz w:val="21"/>
          <w:szCs w:val="21"/>
        </w:rPr>
      </w:pPr>
    </w:p>
    <w:p w14:paraId="03A9301A">
      <w:pPr>
        <w:pStyle w:val="32"/>
        <w:jc w:val="both"/>
        <w:rPr>
          <w:rFonts w:hint="eastAsia" w:ascii="宋体" w:hAnsi="宋体" w:eastAsia="宋体" w:cs="宋体"/>
          <w:color w:val="auto"/>
          <w:sz w:val="21"/>
          <w:szCs w:val="21"/>
        </w:rPr>
      </w:pPr>
    </w:p>
    <w:p w14:paraId="4093E1B0">
      <w:pPr>
        <w:pStyle w:val="32"/>
        <w:jc w:val="both"/>
        <w:rPr>
          <w:rFonts w:hint="eastAsia" w:ascii="宋体" w:hAnsi="宋体" w:eastAsia="宋体" w:cs="宋体"/>
          <w:color w:val="auto"/>
          <w:sz w:val="21"/>
          <w:szCs w:val="21"/>
        </w:rPr>
      </w:pPr>
    </w:p>
    <w:p w14:paraId="29499848">
      <w:pPr>
        <w:pStyle w:val="32"/>
        <w:jc w:val="both"/>
        <w:rPr>
          <w:rFonts w:hint="eastAsia" w:ascii="宋体" w:hAnsi="宋体" w:eastAsia="宋体" w:cs="宋体"/>
          <w:color w:val="auto"/>
          <w:sz w:val="21"/>
          <w:szCs w:val="21"/>
        </w:rPr>
      </w:pPr>
    </w:p>
    <w:p w14:paraId="2DE951DE">
      <w:pPr>
        <w:pStyle w:val="32"/>
        <w:jc w:val="both"/>
        <w:rPr>
          <w:rFonts w:hint="eastAsia" w:ascii="宋体" w:hAnsi="宋体" w:eastAsia="宋体" w:cs="宋体"/>
          <w:color w:val="auto"/>
          <w:sz w:val="21"/>
          <w:szCs w:val="21"/>
        </w:rPr>
      </w:pPr>
    </w:p>
    <w:p w14:paraId="26470922">
      <w:pPr>
        <w:pStyle w:val="32"/>
        <w:jc w:val="both"/>
        <w:rPr>
          <w:rFonts w:hint="eastAsia" w:ascii="宋体" w:hAnsi="宋体" w:eastAsia="宋体" w:cs="宋体"/>
          <w:color w:val="auto"/>
          <w:sz w:val="21"/>
          <w:szCs w:val="21"/>
        </w:rPr>
      </w:pPr>
    </w:p>
    <w:p w14:paraId="229E4A42">
      <w:pPr>
        <w:pStyle w:val="32"/>
        <w:jc w:val="both"/>
        <w:rPr>
          <w:rFonts w:hint="eastAsia" w:ascii="宋体" w:hAnsi="宋体" w:eastAsia="宋体" w:cs="宋体"/>
          <w:color w:val="auto"/>
          <w:sz w:val="21"/>
          <w:szCs w:val="21"/>
        </w:rPr>
      </w:pPr>
    </w:p>
    <w:p w14:paraId="002F9151">
      <w:pPr>
        <w:pStyle w:val="32"/>
        <w:jc w:val="both"/>
        <w:rPr>
          <w:rFonts w:hint="eastAsia" w:ascii="宋体" w:hAnsi="宋体" w:eastAsia="宋体" w:cs="宋体"/>
          <w:color w:val="auto"/>
          <w:sz w:val="21"/>
          <w:szCs w:val="21"/>
        </w:rPr>
      </w:pPr>
    </w:p>
    <w:p w14:paraId="33802602">
      <w:pPr>
        <w:pStyle w:val="32"/>
        <w:jc w:val="both"/>
        <w:rPr>
          <w:rFonts w:hint="eastAsia" w:ascii="宋体" w:hAnsi="宋体" w:eastAsia="宋体" w:cs="宋体"/>
          <w:color w:val="auto"/>
          <w:sz w:val="21"/>
          <w:szCs w:val="21"/>
        </w:rPr>
      </w:pPr>
    </w:p>
    <w:p w14:paraId="03C453A8">
      <w:pPr>
        <w:pStyle w:val="32"/>
        <w:jc w:val="both"/>
        <w:rPr>
          <w:rFonts w:hint="eastAsia" w:ascii="宋体" w:hAnsi="宋体" w:eastAsia="宋体" w:cs="宋体"/>
          <w:color w:val="auto"/>
          <w:sz w:val="21"/>
          <w:szCs w:val="21"/>
        </w:rPr>
      </w:pPr>
    </w:p>
    <w:p w14:paraId="7D647474">
      <w:pPr>
        <w:pStyle w:val="32"/>
        <w:jc w:val="both"/>
        <w:rPr>
          <w:rFonts w:hint="eastAsia" w:ascii="宋体" w:hAnsi="宋体" w:eastAsia="宋体" w:cs="宋体"/>
          <w:color w:val="auto"/>
          <w:sz w:val="21"/>
          <w:szCs w:val="21"/>
        </w:rPr>
      </w:pPr>
    </w:p>
    <w:p w14:paraId="71E2A306">
      <w:pPr>
        <w:pStyle w:val="32"/>
        <w:jc w:val="both"/>
        <w:rPr>
          <w:rFonts w:hint="eastAsia" w:ascii="宋体" w:hAnsi="宋体" w:eastAsia="宋体" w:cs="宋体"/>
          <w:color w:val="auto"/>
          <w:sz w:val="21"/>
          <w:szCs w:val="21"/>
        </w:rPr>
      </w:pPr>
    </w:p>
    <w:p w14:paraId="7F92D63A">
      <w:pPr>
        <w:pStyle w:val="32"/>
        <w:jc w:val="both"/>
        <w:rPr>
          <w:rFonts w:hint="eastAsia" w:ascii="宋体" w:hAnsi="宋体" w:eastAsia="宋体" w:cs="宋体"/>
          <w:color w:val="auto"/>
          <w:sz w:val="21"/>
          <w:szCs w:val="21"/>
        </w:rPr>
      </w:pPr>
    </w:p>
    <w:p w14:paraId="5DF01C04">
      <w:pPr>
        <w:pStyle w:val="32"/>
        <w:jc w:val="both"/>
        <w:rPr>
          <w:rFonts w:hint="eastAsia" w:ascii="宋体" w:hAnsi="宋体" w:eastAsia="宋体" w:cs="宋体"/>
          <w:color w:val="auto"/>
          <w:sz w:val="21"/>
          <w:szCs w:val="21"/>
        </w:rPr>
      </w:pPr>
    </w:p>
    <w:p w14:paraId="5C669A05">
      <w:pPr>
        <w:pStyle w:val="32"/>
        <w:jc w:val="both"/>
        <w:rPr>
          <w:rFonts w:hint="eastAsia" w:ascii="宋体" w:hAnsi="宋体" w:eastAsia="宋体" w:cs="宋体"/>
          <w:color w:val="auto"/>
          <w:sz w:val="21"/>
          <w:szCs w:val="21"/>
        </w:rPr>
      </w:pPr>
    </w:p>
    <w:p w14:paraId="1DBFE81A">
      <w:pPr>
        <w:pStyle w:val="32"/>
        <w:jc w:val="both"/>
        <w:rPr>
          <w:rFonts w:hint="eastAsia" w:ascii="宋体" w:hAnsi="宋体" w:eastAsia="宋体" w:cs="宋体"/>
          <w:color w:val="auto"/>
          <w:sz w:val="21"/>
          <w:szCs w:val="21"/>
        </w:rPr>
      </w:pPr>
    </w:p>
    <w:p w14:paraId="274A47CD">
      <w:pPr>
        <w:pStyle w:val="32"/>
        <w:jc w:val="both"/>
        <w:rPr>
          <w:rFonts w:hint="eastAsia" w:ascii="宋体" w:hAnsi="宋体" w:eastAsia="宋体" w:cs="宋体"/>
          <w:color w:val="auto"/>
          <w:sz w:val="21"/>
          <w:szCs w:val="21"/>
        </w:rPr>
      </w:pPr>
    </w:p>
    <w:p w14:paraId="16A4FFA1">
      <w:pPr>
        <w:pStyle w:val="32"/>
        <w:jc w:val="both"/>
        <w:rPr>
          <w:rFonts w:hint="eastAsia" w:ascii="宋体" w:hAnsi="宋体" w:eastAsia="宋体" w:cs="宋体"/>
          <w:color w:val="auto"/>
          <w:sz w:val="21"/>
          <w:szCs w:val="21"/>
        </w:rPr>
      </w:pPr>
    </w:p>
    <w:p w14:paraId="69496F4F">
      <w:pPr>
        <w:pStyle w:val="32"/>
        <w:jc w:val="both"/>
        <w:rPr>
          <w:rFonts w:hint="eastAsia" w:ascii="宋体" w:hAnsi="宋体" w:eastAsia="宋体" w:cs="宋体"/>
          <w:color w:val="auto"/>
          <w:sz w:val="21"/>
          <w:szCs w:val="21"/>
        </w:rPr>
      </w:pPr>
    </w:p>
    <w:p w14:paraId="24908CB4">
      <w:pPr>
        <w:pStyle w:val="32"/>
        <w:jc w:val="both"/>
        <w:rPr>
          <w:rFonts w:hint="eastAsia" w:ascii="宋体" w:hAnsi="宋体" w:eastAsia="宋体" w:cs="宋体"/>
          <w:color w:val="auto"/>
          <w:sz w:val="21"/>
          <w:szCs w:val="21"/>
        </w:rPr>
      </w:pPr>
    </w:p>
    <w:p w14:paraId="29715639">
      <w:pPr>
        <w:pStyle w:val="32"/>
        <w:jc w:val="both"/>
        <w:rPr>
          <w:rFonts w:hint="eastAsia" w:ascii="宋体" w:hAnsi="宋体" w:eastAsia="宋体" w:cs="宋体"/>
          <w:color w:val="auto"/>
          <w:sz w:val="21"/>
          <w:szCs w:val="21"/>
        </w:rPr>
      </w:pPr>
    </w:p>
    <w:p w14:paraId="145397FE">
      <w:pPr>
        <w:pStyle w:val="32"/>
        <w:jc w:val="both"/>
        <w:rPr>
          <w:rFonts w:hint="eastAsia" w:ascii="宋体" w:hAnsi="宋体" w:eastAsia="宋体" w:cs="宋体"/>
          <w:color w:val="auto"/>
          <w:sz w:val="21"/>
          <w:szCs w:val="21"/>
        </w:rPr>
      </w:pPr>
    </w:p>
    <w:p w14:paraId="24EB2EA2">
      <w:pPr>
        <w:pStyle w:val="5"/>
        <w:spacing w:before="312" w:after="312"/>
        <w:rPr>
          <w:rFonts w:ascii="Times New Roman" w:hAnsi="Times New Roman" w:eastAsia="宋体" w:cs="Times New Roman"/>
          <w:color w:val="auto"/>
        </w:rPr>
      </w:pPr>
      <w:bookmarkStart w:id="43" w:name="_Toc31341"/>
      <w:r>
        <w:rPr>
          <w:rFonts w:ascii="Times New Roman" w:hAnsi="Times New Roman" w:eastAsia="宋体" w:cs="Times New Roman"/>
          <w:color w:val="auto"/>
        </w:rPr>
        <w:t>供应商须知</w:t>
      </w:r>
      <w:bookmarkEnd w:id="43"/>
    </w:p>
    <w:p w14:paraId="75B22214">
      <w:pPr>
        <w:spacing w:line="440" w:lineRule="exact"/>
        <w:jc w:val="center"/>
        <w:outlineLvl w:val="1"/>
        <w:rPr>
          <w:rFonts w:ascii="Times New Roman" w:hAnsi="Times New Roman" w:eastAsia="黑体" w:cs="Times New Roman"/>
          <w:color w:val="auto"/>
          <w:sz w:val="28"/>
          <w:szCs w:val="28"/>
        </w:rPr>
      </w:pPr>
      <w:bookmarkStart w:id="44" w:name="_Toc19501"/>
      <w:bookmarkStart w:id="45" w:name="_Toc16069"/>
      <w:bookmarkStart w:id="46" w:name="_Toc29381_WPSOffice_Level2"/>
      <w:bookmarkStart w:id="47" w:name="_Toc26656928"/>
      <w:bookmarkStart w:id="48" w:name="_Toc55466811"/>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6CE7069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868D2C7">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3200" w:type="dxa"/>
            <w:vAlign w:val="center"/>
          </w:tcPr>
          <w:p w14:paraId="4D5599B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3200" w:type="dxa"/>
            <w:vAlign w:val="center"/>
          </w:tcPr>
          <w:p w14:paraId="011BD65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3</w:t>
            </w:r>
          </w:p>
        </w:tc>
        <w:tc>
          <w:tcPr>
            <w:tcW w:w="3200" w:type="dxa"/>
            <w:vAlign w:val="center"/>
          </w:tcPr>
          <w:p w14:paraId="6AF214F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4</w:t>
            </w:r>
          </w:p>
        </w:tc>
        <w:tc>
          <w:tcPr>
            <w:tcW w:w="3200" w:type="dxa"/>
            <w:vAlign w:val="center"/>
          </w:tcPr>
          <w:p w14:paraId="7153838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5</w:t>
            </w:r>
          </w:p>
        </w:tc>
        <w:tc>
          <w:tcPr>
            <w:tcW w:w="3200" w:type="dxa"/>
            <w:vAlign w:val="center"/>
          </w:tcPr>
          <w:p w14:paraId="1D70FD1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auto"/>
                <w:kern w:val="0"/>
                <w:sz w:val="22"/>
                <w:szCs w:val="22"/>
                <w:u w:val="none"/>
                <w:lang w:val="en-US" w:eastAsia="zh-CN" w:bidi="ar"/>
              </w:rPr>
              <w:t>6</w:t>
            </w:r>
          </w:p>
        </w:tc>
        <w:tc>
          <w:tcPr>
            <w:tcW w:w="3200"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7</w:t>
            </w:r>
          </w:p>
        </w:tc>
        <w:tc>
          <w:tcPr>
            <w:tcW w:w="3200" w:type="dxa"/>
            <w:vAlign w:val="center"/>
          </w:tcPr>
          <w:p w14:paraId="3C79A15D">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8</w:t>
            </w:r>
          </w:p>
        </w:tc>
        <w:tc>
          <w:tcPr>
            <w:tcW w:w="3200" w:type="dxa"/>
            <w:vAlign w:val="center"/>
          </w:tcPr>
          <w:p w14:paraId="087D552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9</w:t>
            </w:r>
          </w:p>
        </w:tc>
        <w:tc>
          <w:tcPr>
            <w:tcW w:w="3200" w:type="dxa"/>
            <w:vAlign w:val="center"/>
          </w:tcPr>
          <w:p w14:paraId="6A00657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3200"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11</w:t>
            </w:r>
          </w:p>
        </w:tc>
        <w:tc>
          <w:tcPr>
            <w:tcW w:w="3200" w:type="dxa"/>
            <w:vAlign w:val="center"/>
          </w:tcPr>
          <w:p w14:paraId="6854077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12</w:t>
            </w:r>
          </w:p>
        </w:tc>
        <w:tc>
          <w:tcPr>
            <w:tcW w:w="3200"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13</w:t>
            </w:r>
          </w:p>
        </w:tc>
        <w:tc>
          <w:tcPr>
            <w:tcW w:w="3200"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14</w:t>
            </w:r>
          </w:p>
        </w:tc>
        <w:tc>
          <w:tcPr>
            <w:tcW w:w="3200" w:type="dxa"/>
            <w:vAlign w:val="center"/>
          </w:tcPr>
          <w:p w14:paraId="3630799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15</w:t>
            </w:r>
          </w:p>
        </w:tc>
        <w:tc>
          <w:tcPr>
            <w:tcW w:w="3200" w:type="dxa"/>
            <w:vAlign w:val="center"/>
          </w:tcPr>
          <w:p w14:paraId="3795D4F7">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16</w:t>
            </w:r>
          </w:p>
        </w:tc>
        <w:tc>
          <w:tcPr>
            <w:tcW w:w="3200" w:type="dxa"/>
            <w:vAlign w:val="center"/>
          </w:tcPr>
          <w:p w14:paraId="297F53EC">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17</w:t>
            </w:r>
          </w:p>
        </w:tc>
        <w:tc>
          <w:tcPr>
            <w:tcW w:w="3200" w:type="dxa"/>
            <w:vAlign w:val="center"/>
          </w:tcPr>
          <w:p w14:paraId="587DFEB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18</w:t>
            </w:r>
          </w:p>
        </w:tc>
        <w:tc>
          <w:tcPr>
            <w:tcW w:w="3200" w:type="dxa"/>
            <w:vAlign w:val="center"/>
          </w:tcPr>
          <w:p w14:paraId="64B0540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19</w:t>
            </w:r>
          </w:p>
        </w:tc>
        <w:tc>
          <w:tcPr>
            <w:tcW w:w="3200"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20</w:t>
            </w:r>
          </w:p>
        </w:tc>
        <w:tc>
          <w:tcPr>
            <w:tcW w:w="3200" w:type="dxa"/>
            <w:vAlign w:val="center"/>
          </w:tcPr>
          <w:p w14:paraId="4299B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23C9063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22</w:t>
            </w:r>
          </w:p>
        </w:tc>
        <w:tc>
          <w:tcPr>
            <w:tcW w:w="3200" w:type="dxa"/>
            <w:vAlign w:val="center"/>
          </w:tcPr>
          <w:p w14:paraId="14017135">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23</w:t>
            </w:r>
          </w:p>
        </w:tc>
        <w:tc>
          <w:tcPr>
            <w:tcW w:w="3200" w:type="dxa"/>
            <w:vAlign w:val="center"/>
          </w:tcPr>
          <w:p w14:paraId="0AF0B06A">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响应文件胶装，商务技术文件、报价文件分别密封，正副本密封在同一密封袋，封口处须密封并加盖企业公章。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24</w:t>
            </w:r>
          </w:p>
        </w:tc>
        <w:tc>
          <w:tcPr>
            <w:tcW w:w="3200" w:type="dxa"/>
            <w:vAlign w:val="center"/>
          </w:tcPr>
          <w:p w14:paraId="70FB95C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45217707">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14:paraId="1F243CD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25</w:t>
            </w:r>
          </w:p>
        </w:tc>
        <w:tc>
          <w:tcPr>
            <w:tcW w:w="3200"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51911164">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7DDF358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26</w:t>
            </w:r>
          </w:p>
        </w:tc>
        <w:tc>
          <w:tcPr>
            <w:tcW w:w="3200" w:type="dxa"/>
            <w:vAlign w:val="center"/>
          </w:tcPr>
          <w:p w14:paraId="582BBC5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27</w:t>
            </w:r>
          </w:p>
        </w:tc>
        <w:tc>
          <w:tcPr>
            <w:tcW w:w="3200" w:type="dxa"/>
            <w:vAlign w:val="center"/>
          </w:tcPr>
          <w:p w14:paraId="16378D1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3200"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1"/>
                <w:highlight w:val="none"/>
                <w:lang w:val="en-US" w:eastAsia="zh-CN"/>
              </w:rPr>
            </w:pPr>
            <w:r>
              <w:rPr>
                <w:rFonts w:hint="eastAsia"/>
                <w:color w:val="auto"/>
                <w:sz w:val="22"/>
                <w:szCs w:val="21"/>
                <w:highlight w:val="none"/>
                <w:lang w:eastAsia="zh-CN"/>
              </w:rPr>
              <w:t>响应</w:t>
            </w:r>
            <w:r>
              <w:rPr>
                <w:rFonts w:hint="default"/>
                <w:color w:val="auto"/>
                <w:sz w:val="22"/>
                <w:szCs w:val="21"/>
                <w:highlight w:val="none"/>
              </w:rPr>
              <w:t>报价</w:t>
            </w:r>
            <w:r>
              <w:rPr>
                <w:rFonts w:hint="eastAsia"/>
                <w:color w:val="auto"/>
                <w:sz w:val="22"/>
                <w:szCs w:val="21"/>
                <w:highlight w:val="none"/>
                <w:lang w:val="en-US" w:eastAsia="zh-CN"/>
              </w:rPr>
              <w:t>清单工程量</w:t>
            </w:r>
          </w:p>
        </w:tc>
        <w:tc>
          <w:tcPr>
            <w:tcW w:w="510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3200" w:type="dxa"/>
            <w:vAlign w:val="center"/>
          </w:tcPr>
          <w:p w14:paraId="06E1A01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3200" w:type="dxa"/>
            <w:vAlign w:val="center"/>
          </w:tcPr>
          <w:p w14:paraId="237FFB0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E2C1FF3">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9"/>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9"/>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①投标保证金的到账截止时间：投标截止时间。</w:t>
            </w:r>
          </w:p>
          <w:p w14:paraId="1D8317AE">
            <w:pPr>
              <w:pStyle w:val="9"/>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②供应商银行账户汇入到上述账户，采购人不接受以个人名义或以现金形式提交的响应保证金。</w:t>
            </w:r>
          </w:p>
          <w:p w14:paraId="77018E5A">
            <w:pPr>
              <w:pStyle w:val="9"/>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eastAsia="宋体"/>
                <w:color w:val="auto"/>
                <w:szCs w:val="21"/>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3200"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3200" w:type="dxa"/>
            <w:vAlign w:val="center"/>
          </w:tcPr>
          <w:p w14:paraId="69AAC43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3200" w:type="dxa"/>
            <w:vAlign w:val="center"/>
          </w:tcPr>
          <w:p w14:paraId="18F241E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3200"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3200"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3200" w:type="dxa"/>
            <w:vAlign w:val="center"/>
          </w:tcPr>
          <w:p w14:paraId="2FA2D7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3200" w:type="dxa"/>
            <w:vAlign w:val="center"/>
          </w:tcPr>
          <w:p w14:paraId="17E07EF8">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3200"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3200"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3200" w:type="dxa"/>
            <w:vAlign w:val="center"/>
          </w:tcPr>
          <w:p w14:paraId="740AC6D2">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14:paraId="0AD4B8D1">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3200"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3200"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3200"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14:paraId="7BEBD6A5">
            <w:pPr>
              <w:pStyle w:val="40"/>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p>
          <w:p w14:paraId="61C352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3200"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3200"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3200"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eastAsia"/>
                <w:color w:val="auto"/>
                <w:szCs w:val="21"/>
                <w:highlight w:val="none"/>
                <w:lang w:val="en-US" w:eastAsia="zh-CN"/>
              </w:rPr>
              <w:t>47</w:t>
            </w:r>
          </w:p>
        </w:tc>
        <w:tc>
          <w:tcPr>
            <w:tcW w:w="3200"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default"/>
                <w:color w:val="auto"/>
                <w:sz w:val="22"/>
                <w:szCs w:val="21"/>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48</w:t>
            </w:r>
          </w:p>
        </w:tc>
        <w:tc>
          <w:tcPr>
            <w:tcW w:w="8307" w:type="dxa"/>
            <w:gridSpan w:val="2"/>
            <w:vAlign w:val="center"/>
          </w:tcPr>
          <w:p w14:paraId="0558B9A6">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2C547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E461E64">
            <w:pPr>
              <w:keepNext w:val="0"/>
              <w:keepLines w:val="0"/>
              <w:suppressLineNumbers w:val="0"/>
              <w:spacing w:before="0" w:beforeAutospacing="0" w:after="0" w:afterAutospacing="0"/>
              <w:ind w:left="0" w:right="0"/>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49</w:t>
            </w:r>
          </w:p>
        </w:tc>
        <w:tc>
          <w:tcPr>
            <w:tcW w:w="8307" w:type="dxa"/>
            <w:gridSpan w:val="2"/>
            <w:vAlign w:val="top"/>
          </w:tcPr>
          <w:p w14:paraId="764AF493">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14:paraId="1662BFF7">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14:paraId="576FF950">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14:paraId="33CF2193">
            <w:pPr>
              <w:keepNext w:val="0"/>
              <w:keepLines w:val="0"/>
              <w:suppressLineNumbers w:val="0"/>
              <w:spacing w:before="0" w:beforeAutospacing="0" w:after="0" w:afterAutospacing="0"/>
              <w:ind w:left="0" w:right="0"/>
              <w:jc w:val="left"/>
              <w:textAlignment w:val="top"/>
              <w:rPr>
                <w:rFonts w:hint="eastAsia"/>
                <w:color w:val="auto"/>
                <w:lang w:eastAsia="zh-CN"/>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val="en-US" w:eastAsia="zh-CN" w:bidi="ar"/>
              </w:rPr>
              <w:t>对供应商</w:t>
            </w:r>
            <w:r>
              <w:rPr>
                <w:rFonts w:hint="eastAsia" w:ascii="宋体" w:hAnsi="宋体" w:eastAsia="宋体" w:cs="宋体"/>
                <w:bCs/>
                <w:color w:val="auto"/>
                <w:kern w:val="0"/>
                <w:sz w:val="22"/>
                <w:szCs w:val="22"/>
                <w:highlight w:val="none"/>
                <w:lang w:bidi="ar"/>
              </w:rPr>
              <w:t>违约行为</w:t>
            </w:r>
            <w:r>
              <w:rPr>
                <w:rFonts w:hint="eastAsia" w:ascii="宋体" w:hAnsi="宋体" w:eastAsia="宋体" w:cs="宋体"/>
                <w:bCs/>
                <w:color w:val="auto"/>
                <w:kern w:val="0"/>
                <w:sz w:val="22"/>
                <w:szCs w:val="22"/>
                <w:highlight w:val="none"/>
                <w:lang w:eastAsia="zh-CN" w:bidi="ar"/>
              </w:rPr>
              <w:t>有权按照约定进行处罚。</w:t>
            </w:r>
          </w:p>
        </w:tc>
      </w:tr>
      <w:tr w14:paraId="68903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F9E71DD">
            <w:pPr>
              <w:keepNext w:val="0"/>
              <w:keepLines w:val="0"/>
              <w:suppressLineNumbers w:val="0"/>
              <w:spacing w:before="0" w:beforeAutospacing="0" w:after="0" w:afterAutospacing="0"/>
              <w:ind w:left="0" w:right="0"/>
              <w:jc w:val="center"/>
              <w:rPr>
                <w:rFonts w:hint="default"/>
                <w:color w:val="auto"/>
                <w:sz w:val="22"/>
                <w:szCs w:val="21"/>
                <w:highlight w:val="none"/>
                <w:lang w:val="en-US" w:eastAsia="zh-CN"/>
              </w:rPr>
            </w:pPr>
            <w:r>
              <w:rPr>
                <w:rFonts w:hint="eastAsia"/>
                <w:color w:val="auto"/>
                <w:sz w:val="22"/>
                <w:szCs w:val="21"/>
                <w:highlight w:val="none"/>
                <w:lang w:val="en-US" w:eastAsia="zh-CN"/>
              </w:rPr>
              <w:t>50</w:t>
            </w:r>
          </w:p>
        </w:tc>
        <w:tc>
          <w:tcPr>
            <w:tcW w:w="8307" w:type="dxa"/>
            <w:gridSpan w:val="2"/>
            <w:vAlign w:val="top"/>
          </w:tcPr>
          <w:p w14:paraId="5E00C0C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b/>
                <w:bCs/>
                <w:color w:val="auto"/>
                <w:highlight w:val="yellow"/>
                <w:lang w:val="en-US" w:eastAsia="zh-CN"/>
              </w:rPr>
              <w:t>1</w:t>
            </w:r>
            <w:r>
              <w:rPr>
                <w:rFonts w:hint="eastAsia" w:asciiTheme="minorHAnsi" w:eastAsiaTheme="minorEastAsia"/>
                <w:b/>
                <w:bCs/>
                <w:color w:val="auto"/>
                <w:highlight w:val="yellow"/>
                <w:lang w:val="en-US" w:eastAsia="zh-CN"/>
              </w:rPr>
              <w:t>.拟中标人须在采购人通知</w:t>
            </w:r>
            <w:r>
              <w:rPr>
                <w:rFonts w:hint="eastAsia" w:ascii="宋体" w:hAnsi="宋体" w:eastAsia="宋体" w:cs="宋体"/>
                <w:b/>
                <w:bCs/>
                <w:color w:val="auto"/>
                <w:highlight w:val="yellow"/>
                <w:lang w:val="en-US" w:eastAsia="zh-CN"/>
              </w:rPr>
              <w:t>5</w:t>
            </w:r>
            <w:r>
              <w:rPr>
                <w:rFonts w:hint="eastAsia" w:asciiTheme="minorHAnsi" w:eastAsiaTheme="minorEastAsia"/>
                <w:b/>
                <w:bCs/>
                <w:color w:val="auto"/>
                <w:highlight w:val="yellow"/>
                <w:lang w:val="en-US" w:eastAsia="zh-CN"/>
              </w:rPr>
              <w:t>日内送样经采购人确认</w:t>
            </w:r>
            <w:r>
              <w:rPr>
                <w:rFonts w:hint="eastAsia"/>
                <w:b/>
                <w:bCs/>
                <w:color w:val="auto"/>
                <w:highlight w:val="yellow"/>
                <w:lang w:val="en-US" w:eastAsia="zh-CN"/>
              </w:rPr>
              <w:t>封样</w:t>
            </w:r>
            <w:r>
              <w:rPr>
                <w:rFonts w:hint="eastAsia" w:asciiTheme="minorHAnsi" w:eastAsiaTheme="minorEastAsia"/>
                <w:b/>
                <w:bCs/>
                <w:color w:val="auto"/>
                <w:highlight w:val="yellow"/>
                <w:lang w:val="en-US" w:eastAsia="zh-CN"/>
              </w:rPr>
              <w:t>，</w:t>
            </w:r>
            <w:r>
              <w:rPr>
                <w:rFonts w:hint="eastAsia"/>
                <w:b/>
                <w:bCs/>
                <w:color w:val="auto"/>
                <w:highlight w:val="yellow"/>
                <w:lang w:val="en-US" w:eastAsia="zh-CN"/>
              </w:rPr>
              <w:t>后期供应的木门</w:t>
            </w:r>
            <w:r>
              <w:rPr>
                <w:rFonts w:hint="eastAsia" w:asciiTheme="minorHAnsi" w:eastAsiaTheme="minorEastAsia"/>
                <w:b/>
                <w:bCs/>
                <w:color w:val="auto"/>
                <w:highlight w:val="yellow"/>
                <w:lang w:val="en-US" w:eastAsia="zh-CN"/>
              </w:rPr>
              <w:t>材质、颜色、效果等须和封样产品一致或经采购人同意优化后不低于上述要求。如所送样品不符合产品要求或在供应过程中达不到采购人要求的：</w:t>
            </w:r>
          </w:p>
          <w:p w14:paraId="2412142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1）采购人有权终止中标候选人资格，并没收投标保证金；按候选人公示顺延成交人或重新采购。</w:t>
            </w:r>
          </w:p>
          <w:p w14:paraId="6AE42BE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2）采购人有权终止合同，并依据合同规定追究法律责任。</w:t>
            </w:r>
          </w:p>
          <w:p w14:paraId="21CCC80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3）采购人有权对拟中标人违约行为按照约定进行处罚。</w:t>
            </w:r>
          </w:p>
          <w:p w14:paraId="5C92489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4）采购人有权将未完成的工程量移交给第三方实施，供应商应无条件配合相关移交工作。</w:t>
            </w:r>
          </w:p>
          <w:p w14:paraId="2BBE0B3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b/>
                <w:bCs/>
                <w:color w:val="auto"/>
                <w:highlight w:val="yellow"/>
                <w:lang w:val="en-US" w:eastAsia="zh-CN"/>
              </w:rPr>
            </w:pPr>
            <w:r>
              <w:rPr>
                <w:rFonts w:hint="eastAsia" w:asciiTheme="minorHAnsi" w:eastAsiaTheme="minorEastAsia"/>
                <w:b/>
                <w:bCs/>
                <w:color w:val="auto"/>
                <w:highlight w:val="yellow"/>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14:paraId="23D1E609">
            <w:pPr>
              <w:pStyle w:val="2"/>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rPr>
                <w:rFonts w:hint="eastAsia" w:ascii="宋体" w:hAnsi="宋体" w:cs="宋体"/>
                <w:bCs/>
                <w:color w:val="auto"/>
                <w:kern w:val="0"/>
                <w:szCs w:val="21"/>
                <w:highlight w:val="none"/>
                <w:lang w:bidi="ar"/>
              </w:rPr>
            </w:pPr>
            <w:r>
              <w:rPr>
                <w:rFonts w:hint="eastAsia" w:cstheme="minorBidi"/>
                <w:b/>
                <w:bCs/>
                <w:color w:val="auto"/>
                <w:kern w:val="2"/>
                <w:sz w:val="21"/>
                <w:szCs w:val="24"/>
                <w:highlight w:val="yellow"/>
                <w:lang w:val="en-US" w:eastAsia="zh-CN" w:bidi="ar-SA"/>
              </w:rPr>
              <w:t>3</w:t>
            </w:r>
            <w:r>
              <w:rPr>
                <w:rFonts w:hint="eastAsia" w:asciiTheme="minorHAnsi" w:hAnsiTheme="minorHAnsi" w:eastAsiaTheme="minorEastAsia" w:cstheme="minorBidi"/>
                <w:b/>
                <w:bCs/>
                <w:color w:val="auto"/>
                <w:kern w:val="2"/>
                <w:sz w:val="21"/>
                <w:szCs w:val="24"/>
                <w:highlight w:val="yellow"/>
                <w:lang w:val="en-US" w:eastAsia="zh-CN" w:bidi="ar-SA"/>
              </w:rPr>
              <w:t>.报价完全考虑</w:t>
            </w:r>
            <w:r>
              <w:rPr>
                <w:rFonts w:hint="eastAsia" w:cstheme="minorBidi"/>
                <w:b/>
                <w:bCs/>
                <w:color w:val="auto"/>
                <w:kern w:val="2"/>
                <w:sz w:val="21"/>
                <w:szCs w:val="24"/>
                <w:highlight w:val="yellow"/>
                <w:lang w:val="en-US" w:eastAsia="zh-CN" w:bidi="ar-SA"/>
              </w:rPr>
              <w:t>报价</w:t>
            </w:r>
            <w:r>
              <w:rPr>
                <w:rFonts w:hint="eastAsia" w:asciiTheme="minorHAnsi" w:hAnsiTheme="minorHAnsi" w:eastAsiaTheme="minorEastAsia" w:cstheme="minorBidi"/>
                <w:b/>
                <w:bCs/>
                <w:color w:val="auto"/>
                <w:kern w:val="2"/>
                <w:sz w:val="21"/>
                <w:szCs w:val="24"/>
                <w:highlight w:val="yellow"/>
                <w:lang w:val="en-US" w:eastAsia="zh-CN" w:bidi="ar-SA"/>
              </w:rPr>
              <w:t>清单</w:t>
            </w:r>
            <w:r>
              <w:rPr>
                <w:rFonts w:hint="eastAsia" w:cstheme="minorBidi"/>
                <w:b/>
                <w:bCs/>
                <w:color w:val="auto"/>
                <w:kern w:val="2"/>
                <w:sz w:val="21"/>
                <w:szCs w:val="24"/>
                <w:highlight w:val="yellow"/>
                <w:lang w:val="en-US" w:eastAsia="zh-CN" w:bidi="ar-SA"/>
              </w:rPr>
              <w:t>要求</w:t>
            </w:r>
            <w:r>
              <w:rPr>
                <w:rFonts w:hint="eastAsia" w:asciiTheme="minorHAnsi" w:hAnsiTheme="minorHAnsi" w:eastAsiaTheme="minorEastAsia" w:cstheme="minorBidi"/>
                <w:b/>
                <w:bCs/>
                <w:color w:val="auto"/>
                <w:kern w:val="2"/>
                <w:sz w:val="21"/>
                <w:szCs w:val="24"/>
                <w:highlight w:val="yellow"/>
                <w:lang w:val="en-US" w:eastAsia="zh-CN" w:bidi="ar-SA"/>
              </w:rPr>
              <w:t>内容</w:t>
            </w:r>
            <w:r>
              <w:rPr>
                <w:rFonts w:hint="eastAsia" w:cstheme="minorBidi"/>
                <w:b/>
                <w:bCs/>
                <w:color w:val="auto"/>
                <w:kern w:val="2"/>
                <w:sz w:val="21"/>
                <w:szCs w:val="24"/>
                <w:highlight w:val="yellow"/>
                <w:lang w:val="en-US" w:eastAsia="zh-CN" w:bidi="ar-SA"/>
              </w:rPr>
              <w:t>，含清单内要求的品牌，材质，工艺，辅材等。</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14201207"/>
            <w:bookmarkStart w:id="50" w:name="_Toc26656938"/>
            <w:bookmarkStart w:id="51" w:name="_Toc9067720"/>
            <w:r>
              <w:rPr>
                <w:rFonts w:hint="eastAsia"/>
                <w:color w:val="auto"/>
                <w:sz w:val="22"/>
                <w:szCs w:val="21"/>
                <w:highlight w:val="none"/>
                <w:lang w:val="en-US" w:eastAsia="zh-CN"/>
              </w:rPr>
              <w:t>51</w:t>
            </w:r>
          </w:p>
        </w:tc>
        <w:tc>
          <w:tcPr>
            <w:tcW w:w="8307" w:type="dxa"/>
            <w:gridSpan w:val="2"/>
            <w:vAlign w:val="center"/>
          </w:tcPr>
          <w:p w14:paraId="32341660">
            <w:pPr>
              <w:keepNext w:val="0"/>
              <w:keepLines w:val="0"/>
              <w:suppressLineNumbers w:val="0"/>
              <w:spacing w:before="0" w:beforeAutospacing="0" w:after="0" w:afterAutospacing="0"/>
              <w:ind w:left="0" w:right="0"/>
              <w:jc w:val="center"/>
              <w:textAlignment w:val="top"/>
              <w:rPr>
                <w:rFonts w:hint="eastAsia" w:ascii="宋体" w:hAnsi="宋体" w:cs="宋体" w:eastAsiaTheme="minorEastAsia"/>
                <w:bCs/>
                <w:color w:val="auto"/>
                <w:kern w:val="0"/>
                <w:sz w:val="21"/>
                <w:szCs w:val="21"/>
                <w:highlight w:val="none"/>
                <w:lang w:val="en-US" w:eastAsia="zh-CN"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21C66C6">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1DF8031F">
            <w:pPr>
              <w:keepNext w:val="0"/>
              <w:keepLines w:val="0"/>
              <w:suppressLineNumbers w:val="0"/>
              <w:spacing w:before="0" w:beforeAutospacing="0" w:after="0" w:afterAutospacing="0"/>
              <w:ind w:left="0" w:right="0"/>
              <w:jc w:val="center"/>
              <w:rPr>
                <w:rFonts w:hint="eastAsia"/>
                <w:color w:val="auto"/>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2"/>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center"/>
              <w:rPr>
                <w:rFonts w:hint="default" w:hAnsi="宋体"/>
                <w:color w:val="auto"/>
                <w:sz w:val="22"/>
                <w:szCs w:val="22"/>
                <w:highlight w:val="none"/>
              </w:rPr>
            </w:pPr>
            <w:r>
              <w:rPr>
                <w:rFonts w:hint="eastAsia"/>
                <w:color w:val="auto"/>
                <w:highlight w:val="yellow"/>
                <w:lang w:val="en-US" w:eastAsia="zh-CN"/>
              </w:rPr>
              <w:t>至少提供1个自2021年1月1日以来，单项合同额不低于30万元的木门供应合同业绩（每个业绩至少提供一张该项目的增值税发票或收到业主转账的收款凭证）。</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42D8B4B2">
      <w:pPr>
        <w:pStyle w:val="2"/>
        <w:rPr>
          <w:rFonts w:hint="eastAsia"/>
          <w:color w:val="auto"/>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2"/>
        <w:rPr>
          <w:rFonts w:ascii="Times New Roman" w:hAnsi="Times New Roman" w:eastAsia="黑体" w:cs="Times New Roman"/>
          <w:bCs/>
          <w:color w:val="auto"/>
          <w:sz w:val="24"/>
          <w:szCs w:val="32"/>
        </w:rPr>
      </w:pPr>
    </w:p>
    <w:p w14:paraId="48355162">
      <w:pPr>
        <w:pStyle w:val="32"/>
        <w:rPr>
          <w:rFonts w:ascii="Times New Roman" w:hAnsi="Times New Roman" w:eastAsia="黑体" w:cs="Times New Roman"/>
          <w:bCs/>
          <w:color w:val="auto"/>
          <w:sz w:val="24"/>
          <w:szCs w:val="32"/>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6</w:t>
      </w:r>
      <w:r>
        <w:rPr>
          <w:rFonts w:ascii="Times New Roman" w:hAnsi="Times New Roman" w:cs="Times New Roman"/>
          <w:color w:val="auto"/>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ascii="Times New Roman" w:hAnsi="Times New Roman" w:cs="Times New Roman"/>
          <w:color w:val="auto"/>
        </w:rPr>
        <w:t>前</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rPr>
      </w:pPr>
      <w:r>
        <w:rPr>
          <w:rFonts w:ascii="Times New Roman" w:hAnsi="Times New Roman" w:cs="Times New Roman"/>
          <w:color w:val="auto"/>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供货方案</w:t>
      </w:r>
      <w:r>
        <w:rPr>
          <w:rFonts w:hint="eastAsia" w:ascii="宋体" w:hAnsi="宋体" w:eastAsia="宋体" w:cs="宋体"/>
          <w:color w:val="auto"/>
          <w:highlight w:val="none"/>
        </w:rPr>
        <w:t>；</w:t>
      </w:r>
    </w:p>
    <w:p w14:paraId="60BB823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技术性能（质量）指标描述</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p>
    <w:p w14:paraId="623BF354">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14201253"/>
      <w:bookmarkStart w:id="53" w:name="_Toc26656984"/>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9067727"/>
      <w:bookmarkStart w:id="55" w:name="_Toc14201257"/>
      <w:bookmarkStart w:id="56" w:name="_Toc26656988"/>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26656993"/>
      <w:bookmarkStart w:id="58" w:name="_Toc14201262"/>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26656994"/>
      <w:bookmarkStart w:id="60" w:name="_Toc9067731"/>
      <w:bookmarkStart w:id="61" w:name="_Toc14201263"/>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CD03B6B">
      <w:pPr>
        <w:pStyle w:val="7"/>
        <w:rPr>
          <w:rFonts w:hint="eastAsia" w:ascii="Times New Roman" w:hAnsi="Times New Roman"/>
          <w:color w:val="auto"/>
          <w:sz w:val="21"/>
          <w:szCs w:val="24"/>
        </w:rPr>
      </w:pPr>
    </w:p>
    <w:p w14:paraId="4AF076F0">
      <w:pPr>
        <w:rPr>
          <w:rFonts w:hint="eastAsia"/>
          <w:color w:val="auto"/>
        </w:rPr>
      </w:pPr>
    </w:p>
    <w:p w14:paraId="223E8B57">
      <w:pPr>
        <w:rPr>
          <w:rFonts w:hint="eastAsia"/>
          <w:color w:val="auto"/>
        </w:rPr>
      </w:pPr>
    </w:p>
    <w:p w14:paraId="29399063">
      <w:pPr>
        <w:rPr>
          <w:rFonts w:hint="eastAsia"/>
          <w:color w:val="auto"/>
        </w:rPr>
      </w:pPr>
    </w:p>
    <w:p w14:paraId="4673E96B">
      <w:pPr>
        <w:rPr>
          <w:rFonts w:hint="eastAsia"/>
          <w:color w:val="auto"/>
        </w:rPr>
      </w:pPr>
    </w:p>
    <w:p w14:paraId="3A745FBB">
      <w:pPr>
        <w:rPr>
          <w:rFonts w:hint="eastAsia"/>
          <w:color w:val="auto"/>
        </w:rPr>
      </w:pPr>
    </w:p>
    <w:p w14:paraId="4A7A905D">
      <w:pPr>
        <w:rPr>
          <w:rFonts w:hint="eastAsia"/>
          <w:color w:val="auto"/>
        </w:rPr>
      </w:pPr>
    </w:p>
    <w:p w14:paraId="61AC0F2B">
      <w:pPr>
        <w:rPr>
          <w:rFonts w:hint="eastAsia"/>
          <w:color w:val="auto"/>
        </w:rPr>
      </w:pPr>
    </w:p>
    <w:p w14:paraId="7CFDA52D">
      <w:pPr>
        <w:rPr>
          <w:rFonts w:hint="eastAsia"/>
          <w:color w:val="auto"/>
        </w:rPr>
      </w:pPr>
    </w:p>
    <w:p w14:paraId="0AF980B6">
      <w:pPr>
        <w:rPr>
          <w:rFonts w:hint="eastAsia"/>
          <w:color w:val="auto"/>
        </w:rPr>
      </w:pPr>
    </w:p>
    <w:p w14:paraId="69759CF5">
      <w:pPr>
        <w:rPr>
          <w:rFonts w:hint="eastAsia"/>
          <w:color w:val="auto"/>
        </w:rPr>
      </w:pPr>
    </w:p>
    <w:p w14:paraId="6EE6A9DE">
      <w:pPr>
        <w:pStyle w:val="5"/>
        <w:spacing w:before="312" w:after="312"/>
        <w:rPr>
          <w:rFonts w:ascii="Times New Roman" w:hAnsi="Times New Roman" w:eastAsia="宋体" w:cs="Times New Roman"/>
          <w:color w:val="auto"/>
        </w:rPr>
      </w:pPr>
      <w:bookmarkStart w:id="62" w:name="_Toc13289"/>
      <w:r>
        <w:rPr>
          <w:rFonts w:ascii="Times New Roman" w:hAnsi="Times New Roman" w:eastAsia="宋体" w:cs="Times New Roman"/>
          <w:color w:val="auto"/>
        </w:rPr>
        <w:t>评审办法</w:t>
      </w:r>
      <w:bookmarkEnd w:id="62"/>
    </w:p>
    <w:p w14:paraId="3CA6DF8A">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457482536"/>
      <w:bookmarkStart w:id="64" w:name="_Toc144974496"/>
      <w:bookmarkStart w:id="65" w:name="_Toc3834"/>
      <w:bookmarkStart w:id="66" w:name="_Toc152042304"/>
      <w:bookmarkStart w:id="67" w:name="_Toc152045528"/>
      <w:bookmarkStart w:id="68" w:name="_Toc447808662"/>
      <w:bookmarkStart w:id="69" w:name="_Toc14847"/>
      <w:r>
        <w:rPr>
          <w:rFonts w:hint="eastAsia" w:ascii="宋体" w:hAnsi="宋体" w:eastAsia="宋体"/>
          <w:b/>
          <w:bCs/>
          <w:color w:val="auto"/>
          <w:szCs w:val="28"/>
        </w:rPr>
        <w:t>前附表</w:t>
      </w:r>
      <w:bookmarkEnd w:id="63"/>
      <w:bookmarkEnd w:id="64"/>
      <w:bookmarkEnd w:id="65"/>
      <w:bookmarkEnd w:id="66"/>
      <w:bookmarkEnd w:id="67"/>
      <w:bookmarkEnd w:id="68"/>
      <w:bookmarkEnd w:id="69"/>
      <w:r>
        <w:rPr>
          <w:rFonts w:hint="eastAsia" w:ascii="宋体" w:hAnsi="宋体" w:eastAsia="宋体"/>
          <w:b/>
          <w:bCs/>
          <w:color w:val="auto"/>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2"/>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6"/>
        <w:numPr>
          <w:ilvl w:val="0"/>
          <w:numId w:val="0"/>
        </w:numPr>
        <w:spacing w:before="0"/>
        <w:outlineLvl w:val="9"/>
        <w:rPr>
          <w:rFonts w:hint="eastAsia" w:ascii="宋体" w:hAnsi="宋体" w:eastAsia="宋体" w:cs="宋体"/>
          <w:b/>
          <w:bCs/>
          <w:color w:val="auto"/>
          <w:szCs w:val="28"/>
        </w:rPr>
      </w:pPr>
    </w:p>
    <w:p w14:paraId="0ADDC629">
      <w:pPr>
        <w:pStyle w:val="36"/>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059C9000">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2A0D5B83">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519F4170">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6287" w:type="dxa"/>
            <w:vAlign w:val="center"/>
          </w:tcPr>
          <w:p w14:paraId="7F324E3C">
            <w:pPr>
              <w:keepNext w:val="0"/>
              <w:keepLines w:val="0"/>
              <w:suppressLineNumbers w:val="0"/>
              <w:adjustRightInd w:val="0"/>
              <w:spacing w:before="0" w:beforeLines="0" w:beforeAutospacing="0" w:after="0" w:afterLines="0" w:afterAutospacing="0"/>
              <w:ind w:left="0" w:right="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商务及技术文件评分分值构成：</w:t>
            </w:r>
            <w:r>
              <w:rPr>
                <w:rFonts w:hint="eastAsia" w:asciiTheme="minorEastAsia" w:hAnsiTheme="minorEastAsia" w:eastAsiaTheme="minorEastAsia" w:cstheme="minorEastAsia"/>
                <w:b/>
                <w:color w:val="auto"/>
                <w:sz w:val="21"/>
                <w:szCs w:val="21"/>
                <w:u w:val="single"/>
              </w:rPr>
              <w:t xml:space="preserve"> 100 </w:t>
            </w:r>
            <w:r>
              <w:rPr>
                <w:rFonts w:hint="eastAsia" w:asciiTheme="minorEastAsia" w:hAnsiTheme="minorEastAsia" w:eastAsiaTheme="minorEastAsia" w:cstheme="minorEastAsia"/>
                <w:b/>
                <w:color w:val="auto"/>
                <w:sz w:val="21"/>
                <w:szCs w:val="21"/>
              </w:rPr>
              <w:t>分</w:t>
            </w:r>
          </w:p>
          <w:p w14:paraId="293B0E5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企业业绩：</w:t>
            </w:r>
            <w:r>
              <w:rPr>
                <w:rFonts w:hint="eastAsia" w:asciiTheme="minorEastAsia" w:hAnsiTheme="minorEastAsia" w:eastAsiaTheme="minorEastAsia" w:cstheme="minorEastAsia"/>
                <w:color w:val="auto"/>
                <w:sz w:val="21"/>
                <w:szCs w:val="21"/>
                <w:u w:val="single"/>
              </w:rPr>
              <w:t xml:space="preserve">  40  </w:t>
            </w:r>
            <w:r>
              <w:rPr>
                <w:rFonts w:hint="eastAsia" w:asciiTheme="minorEastAsia" w:hAnsiTheme="minorEastAsia" w:eastAsiaTheme="minorEastAsia" w:cstheme="minorEastAsia"/>
                <w:color w:val="auto"/>
                <w:sz w:val="21"/>
                <w:szCs w:val="21"/>
              </w:rPr>
              <w:t>分</w:t>
            </w:r>
          </w:p>
          <w:p w14:paraId="672D6D29">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企业实力：</w:t>
            </w:r>
            <w:r>
              <w:rPr>
                <w:rFonts w:hint="eastAsia" w:asciiTheme="minorEastAsia" w:hAnsiTheme="minorEastAsia" w:eastAsiaTheme="minorEastAsia" w:cstheme="minorEastAsia"/>
                <w:color w:val="auto"/>
                <w:sz w:val="21"/>
                <w:szCs w:val="21"/>
                <w:u w:val="single"/>
              </w:rPr>
              <w:t xml:space="preserve">  32  </w:t>
            </w:r>
            <w:r>
              <w:rPr>
                <w:rFonts w:hint="eastAsia" w:asciiTheme="minorEastAsia" w:hAnsiTheme="minorEastAsia" w:eastAsiaTheme="minorEastAsia" w:cstheme="minorEastAsia"/>
                <w:color w:val="auto"/>
                <w:sz w:val="21"/>
                <w:szCs w:val="21"/>
              </w:rPr>
              <w:t>分</w:t>
            </w:r>
          </w:p>
          <w:p w14:paraId="0994B7B8">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生产体系认证：</w:t>
            </w:r>
            <w:r>
              <w:rPr>
                <w:rFonts w:hint="eastAsia" w:asciiTheme="minorEastAsia" w:hAnsiTheme="minorEastAsia" w:eastAsiaTheme="minorEastAsia" w:cstheme="minorEastAsia"/>
                <w:color w:val="auto"/>
                <w:sz w:val="21"/>
                <w:szCs w:val="21"/>
                <w:u w:val="single"/>
              </w:rPr>
              <w:t xml:space="preserve">  6  </w:t>
            </w:r>
            <w:r>
              <w:rPr>
                <w:rFonts w:hint="eastAsia" w:asciiTheme="minorEastAsia" w:hAnsiTheme="minorEastAsia" w:eastAsiaTheme="minorEastAsia" w:cstheme="minorEastAsia"/>
                <w:color w:val="auto"/>
                <w:sz w:val="21"/>
                <w:szCs w:val="21"/>
              </w:rPr>
              <w:t>分</w:t>
            </w:r>
          </w:p>
          <w:p w14:paraId="0B68566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供货方案：</w:t>
            </w:r>
            <w:r>
              <w:rPr>
                <w:rFonts w:hint="eastAsia" w:asciiTheme="minorEastAsia" w:hAnsiTheme="minorEastAsia" w:eastAsiaTheme="minorEastAsia" w:cstheme="minorEastAsia"/>
                <w:color w:val="auto"/>
                <w:sz w:val="21"/>
                <w:szCs w:val="21"/>
                <w:u w:val="single"/>
              </w:rPr>
              <w:t xml:space="preserve">  1</w:t>
            </w:r>
            <w:r>
              <w:rPr>
                <w:rFonts w:hint="eastAsia" w:asciiTheme="minorEastAsia" w:hAnsiTheme="minorEastAsia" w:eastAsiaTheme="minorEastAsia" w:cstheme="minorEastAsia"/>
                <w:color w:val="auto"/>
                <w:sz w:val="21"/>
                <w:szCs w:val="21"/>
                <w:u w:val="single"/>
                <w:lang w:val="en-US" w:eastAsia="zh-CN"/>
              </w:rPr>
              <w:t xml:space="preserve">4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p w14:paraId="6BAB57C3">
            <w:pPr>
              <w:pStyle w:val="2"/>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lang w:eastAsia="zh-CN"/>
              </w:rPr>
              <w:t>售后服务方案</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8</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的评审结果，并开启进入第二个信封评审的投标人的报价文件。 </w:t>
            </w:r>
          </w:p>
          <w:p w14:paraId="280455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 </w:t>
            </w:r>
          </w:p>
          <w:p w14:paraId="1E8DB5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进入评标基准价计算的投标报价之外，投标人的评标价的算术平均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①如投标人的评标价低于评标价平均值的90%时，采购人可以在评标现场要求该投标人作出情况说明并提供相应降低工程造价的相关证明材料，参照附表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D094186">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5"/>
        <w:gridCol w:w="933"/>
        <w:gridCol w:w="1775"/>
        <w:gridCol w:w="5272"/>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9" w:type="pct"/>
            <w:vAlign w:val="center"/>
          </w:tcPr>
          <w:p w14:paraId="159E5634">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2"/>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1001" w:type="pct"/>
            <w:vAlign w:val="center"/>
          </w:tcPr>
          <w:p w14:paraId="70A2FD8E">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2973" w:type="pct"/>
            <w:vAlign w:val="center"/>
          </w:tcPr>
          <w:p w14:paraId="3868DF9F">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99" w:type="pct"/>
            <w:vMerge w:val="restart"/>
            <w:vAlign w:val="center"/>
          </w:tcPr>
          <w:p w14:paraId="572DA4A5">
            <w:pPr>
              <w:pStyle w:val="2"/>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2"/>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2"/>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1775" w:type="dxa"/>
            <w:vAlign w:val="center"/>
          </w:tcPr>
          <w:p w14:paraId="308BD3C1">
            <w:pPr>
              <w:pStyle w:val="2"/>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企业业绩</w:t>
            </w:r>
          </w:p>
          <w:p w14:paraId="42F33BCB">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40 </w:t>
            </w:r>
            <w:r>
              <w:rPr>
                <w:rFonts w:hint="eastAsia" w:asciiTheme="minorEastAsia" w:hAnsiTheme="minorEastAsia" w:eastAsiaTheme="minorEastAsia" w:cstheme="minorEastAsia"/>
                <w:color w:val="auto"/>
                <w:sz w:val="21"/>
                <w:szCs w:val="21"/>
              </w:rPr>
              <w:t>分）</w:t>
            </w:r>
          </w:p>
        </w:tc>
        <w:tc>
          <w:tcPr>
            <w:tcW w:w="5272" w:type="dxa"/>
            <w:vAlign w:val="center"/>
          </w:tcPr>
          <w:p w14:paraId="27D91155">
            <w:pPr>
              <w:pStyle w:val="2"/>
              <w:keepNext w:val="0"/>
              <w:keepLines w:val="0"/>
              <w:suppressLineNumbers w:val="0"/>
              <w:adjustRightInd w:val="0"/>
              <w:snapToGrid w:val="0"/>
              <w:spacing w:before="0" w:beforeLines="0" w:beforeAutospacing="0" w:afterLines="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2021 年 1月1 日以来（以合同签订时间为准），除供应商资审条件要求的业绩得</w:t>
            </w:r>
            <w:r>
              <w:rPr>
                <w:rFonts w:hint="eastAsia" w:asciiTheme="minorEastAsia" w:hAnsi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分，近三年来具有</w:t>
            </w:r>
            <w:r>
              <w:rPr>
                <w:rFonts w:hint="eastAsia" w:asciiTheme="minorEastAsia" w:hAnsi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万及以上的</w:t>
            </w:r>
            <w:r>
              <w:rPr>
                <w:rFonts w:hint="eastAsia" w:asciiTheme="minorEastAsia" w:hAnsiTheme="minorEastAsia" w:cstheme="minorEastAsia"/>
                <w:color w:val="auto"/>
                <w:sz w:val="21"/>
                <w:szCs w:val="21"/>
                <w:highlight w:val="none"/>
                <w:lang w:val="en-US" w:eastAsia="zh-CN"/>
              </w:rPr>
              <w:t>木门</w:t>
            </w:r>
            <w:r>
              <w:rPr>
                <w:rFonts w:hint="eastAsia" w:asciiTheme="minorEastAsia" w:hAnsiTheme="minorEastAsia" w:eastAsiaTheme="minorEastAsia" w:cstheme="minorEastAsia"/>
                <w:color w:val="auto"/>
                <w:sz w:val="21"/>
                <w:szCs w:val="21"/>
                <w:highlight w:val="none"/>
              </w:rPr>
              <w:t>供应的业绩，每多提供一个业绩得5分，满分40分。</w:t>
            </w:r>
          </w:p>
          <w:p w14:paraId="5192D135">
            <w:pPr>
              <w:pStyle w:val="2"/>
              <w:keepNext w:val="0"/>
              <w:keepLines w:val="0"/>
              <w:suppressLineNumbers w:val="0"/>
              <w:adjustRightInd w:val="0"/>
              <w:snapToGrid w:val="0"/>
              <w:spacing w:before="0" w:beforeLines="0" w:beforeAutospacing="0" w:afterLines="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cstheme="minorEastAsia"/>
                <w:color w:val="auto"/>
                <w:sz w:val="21"/>
                <w:szCs w:val="21"/>
                <w:lang w:val="en-US" w:eastAsia="zh-CN"/>
              </w:rPr>
              <w:t>投标人</w:t>
            </w:r>
            <w:r>
              <w:rPr>
                <w:rFonts w:hint="eastAsia" w:asciiTheme="minorEastAsia" w:hAnsiTheme="minorEastAsia" w:eastAsiaTheme="minorEastAsia" w:cstheme="minorEastAsia"/>
                <w:color w:val="auto"/>
                <w:sz w:val="21"/>
                <w:szCs w:val="21"/>
              </w:rPr>
              <w:t>业绩合同应提供包含项目名称、合同总金额、合同签订时间、合同签字盖章页等关键内容的关键页的扫描件；</w:t>
            </w:r>
            <w:r>
              <w:rPr>
                <w:rFonts w:hint="eastAsia" w:asciiTheme="minorEastAsia" w:hAnsiTheme="minorEastAsia" w:eastAsiaTheme="minorEastAsia" w:cstheme="minorEastAsia"/>
                <w:b/>
                <w:bCs/>
                <w:color w:val="auto"/>
                <w:sz w:val="21"/>
                <w:szCs w:val="21"/>
                <w:highlight w:val="yellow"/>
                <w:lang w:val="en-US" w:eastAsia="zh-CN"/>
              </w:rPr>
              <w:t>（每个业绩至少提供一张该项目的增值税发票或收到业主转账的收款凭证，未提供，该业绩无效）</w:t>
            </w:r>
          </w:p>
          <w:p w14:paraId="0A104422">
            <w:pPr>
              <w:pStyle w:val="2"/>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9" w:type="pct"/>
            <w:vMerge w:val="continue"/>
            <w:vAlign w:val="center"/>
          </w:tcPr>
          <w:p w14:paraId="15F3468D">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775" w:type="dxa"/>
            <w:vAlign w:val="center"/>
          </w:tcPr>
          <w:p w14:paraId="140FFC93">
            <w:pPr>
              <w:pStyle w:val="2"/>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企业实力</w:t>
            </w:r>
          </w:p>
          <w:p w14:paraId="6CFE3F6C">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32 </w:t>
            </w:r>
            <w:r>
              <w:rPr>
                <w:rFonts w:hint="eastAsia" w:asciiTheme="minorEastAsia" w:hAnsiTheme="minorEastAsia" w:eastAsiaTheme="minorEastAsia" w:cstheme="minorEastAsia"/>
                <w:color w:val="auto"/>
                <w:sz w:val="21"/>
                <w:szCs w:val="21"/>
              </w:rPr>
              <w:t>分）</w:t>
            </w:r>
          </w:p>
        </w:tc>
        <w:tc>
          <w:tcPr>
            <w:tcW w:w="5272" w:type="dxa"/>
            <w:vAlign w:val="center"/>
          </w:tcPr>
          <w:p w14:paraId="04AAE44F">
            <w:pPr>
              <w:pStyle w:val="17"/>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企业实力：</w:t>
            </w:r>
          </w:p>
          <w:p w14:paraId="2A5717A1">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b/>
                <w:color w:val="auto"/>
                <w:kern w:val="0"/>
                <w:sz w:val="21"/>
                <w:szCs w:val="21"/>
                <w:lang w:bidi="ar"/>
              </w:rPr>
              <w:t>1.运输能力情况</w:t>
            </w:r>
            <w:r>
              <w:rPr>
                <w:rFonts w:hint="eastAsia" w:asciiTheme="minorEastAsia" w:hAnsiTheme="minorEastAsia" w:eastAsiaTheme="minorEastAsia" w:cstheme="minorEastAsia"/>
                <w:color w:val="auto"/>
                <w:kern w:val="0"/>
                <w:sz w:val="21"/>
                <w:szCs w:val="21"/>
                <w:lang w:bidi="ar"/>
              </w:rPr>
              <w:t>（须提供物流合同、协议书、自有货车证明等），评委根据上述证明材料综合评审，优秀的得8-6分；一般的得6-4分，较差得基础分3分，未提供不得分。</w:t>
            </w:r>
          </w:p>
          <w:p w14:paraId="46E0BC63">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2.机械设备情况</w:t>
            </w:r>
            <w:r>
              <w:rPr>
                <w:rFonts w:hint="eastAsia" w:asciiTheme="minorEastAsia" w:hAnsiTheme="minorEastAsia" w:eastAsiaTheme="minorEastAsia" w:cstheme="minorEastAsia"/>
                <w:color w:val="auto"/>
                <w:kern w:val="0"/>
                <w:sz w:val="21"/>
                <w:szCs w:val="21"/>
                <w:lang w:bidi="ar"/>
              </w:rPr>
              <w:t>（须提供自有设备照片、采购租赁合同协议书等，自有或租赁设备须明确证明材料），评委根据上述证明材料综合评审，优秀的得8-6分；一般的得6-4分，较差得基础分3分，未提供不得分</w:t>
            </w:r>
            <w:r>
              <w:rPr>
                <w:rFonts w:hint="eastAsia" w:asciiTheme="minorEastAsia" w:hAnsiTheme="minorEastAsia" w:eastAsiaTheme="minorEastAsia" w:cstheme="minorEastAsia"/>
                <w:color w:val="auto"/>
                <w:kern w:val="0"/>
                <w:sz w:val="21"/>
                <w:szCs w:val="21"/>
                <w:lang w:eastAsia="zh-CN" w:bidi="ar"/>
              </w:rPr>
              <w:t>。</w:t>
            </w:r>
          </w:p>
          <w:p w14:paraId="20A3340D">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3.厂区规模情况</w:t>
            </w:r>
            <w:r>
              <w:rPr>
                <w:rFonts w:hint="eastAsia" w:asciiTheme="minorEastAsia" w:hAnsiTheme="minorEastAsia" w:eastAsiaTheme="minorEastAsia" w:cstheme="minorEastAsia"/>
                <w:color w:val="auto"/>
                <w:kern w:val="0"/>
                <w:sz w:val="21"/>
                <w:szCs w:val="21"/>
                <w:lang w:bidi="ar"/>
              </w:rPr>
              <w:t>（须提供厂区、加工车间照片、房屋购买租赁合同协议书等，自有或租赁厂房须明确证明材料），评委根据上述证明材料综合评审，优秀的得8-6分；一般的得6-4分，较差得基础分3分，未提供不得分</w:t>
            </w:r>
            <w:r>
              <w:rPr>
                <w:rFonts w:hint="eastAsia" w:asciiTheme="minorEastAsia" w:hAnsiTheme="minorEastAsia" w:eastAsiaTheme="minorEastAsia" w:cstheme="minorEastAsia"/>
                <w:color w:val="auto"/>
                <w:kern w:val="0"/>
                <w:sz w:val="21"/>
                <w:szCs w:val="21"/>
                <w:lang w:eastAsia="zh-CN" w:bidi="ar"/>
              </w:rPr>
              <w:t>。</w:t>
            </w:r>
          </w:p>
          <w:p w14:paraId="16120F2D">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4.人员情况</w:t>
            </w:r>
            <w:r>
              <w:rPr>
                <w:rFonts w:hint="eastAsia" w:asciiTheme="minorEastAsia" w:hAnsiTheme="minorEastAsia" w:eastAsiaTheme="minorEastAsia" w:cstheme="minorEastAsia"/>
                <w:color w:val="auto"/>
                <w:kern w:val="0"/>
                <w:sz w:val="21"/>
                <w:szCs w:val="21"/>
                <w:lang w:bidi="ar"/>
              </w:rPr>
              <w:t>（生产人员、安装人员、售后人员情况，可提供公司社保名录等证明材料），评委根据上述证明材料综合评审，优秀的得8-6分；一般的得6-4分，较差得基础分3分，未提供不得分</w:t>
            </w:r>
            <w:r>
              <w:rPr>
                <w:rFonts w:hint="eastAsia" w:asciiTheme="minorEastAsia" w:hAnsiTheme="minorEastAsia" w:eastAsiaTheme="minorEastAsia" w:cstheme="minorEastAsia"/>
                <w:color w:val="auto"/>
                <w:kern w:val="0"/>
                <w:sz w:val="21"/>
                <w:szCs w:val="21"/>
                <w:lang w:eastAsia="zh-CN" w:bidi="ar"/>
              </w:rPr>
              <w:t>。</w:t>
            </w:r>
          </w:p>
          <w:p w14:paraId="74227D3A">
            <w:pPr>
              <w:pStyle w:val="17"/>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本项累计32分。</w:t>
            </w:r>
            <w:r>
              <w:rPr>
                <w:rFonts w:hint="eastAsia" w:asciiTheme="minorEastAsia" w:hAnsiTheme="minorEastAsia" w:eastAsiaTheme="minorEastAsia" w:cstheme="minorEastAsia"/>
                <w:b/>
                <w:color w:val="auto"/>
                <w:kern w:val="0"/>
                <w:sz w:val="21"/>
                <w:szCs w:val="21"/>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9" w:type="pct"/>
            <w:vMerge w:val="continue"/>
            <w:vAlign w:val="center"/>
          </w:tcPr>
          <w:p w14:paraId="770DBF94">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775" w:type="dxa"/>
            <w:vAlign w:val="center"/>
          </w:tcPr>
          <w:p w14:paraId="4ECBFC91">
            <w:pPr>
              <w:keepNext w:val="0"/>
              <w:keepLines w:val="0"/>
              <w:suppressLineNumbers w:val="0"/>
              <w:spacing w:before="0" w:beforeLines="0" w:beforeAutospacing="0" w:after="0" w:afterLines="0" w:afterAutospacing="0"/>
              <w:ind w:left="618" w:right="0" w:hanging="618" w:hangingChars="3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生产</w:t>
            </w:r>
            <w:r>
              <w:rPr>
                <w:rFonts w:hint="eastAsia" w:asciiTheme="minorEastAsia" w:hAnsiTheme="minorEastAsia" w:eastAsiaTheme="minorEastAsia" w:cstheme="minorEastAsia"/>
                <w:color w:val="auto"/>
                <w:spacing w:val="-1"/>
                <w:sz w:val="21"/>
                <w:szCs w:val="21"/>
              </w:rPr>
              <w:t>体系认</w:t>
            </w:r>
            <w:r>
              <w:rPr>
                <w:rFonts w:hint="eastAsia" w:asciiTheme="minorEastAsia" w:hAnsiTheme="minorEastAsia" w:eastAsiaTheme="minorEastAsia" w:cstheme="minorEastAsia"/>
                <w:color w:val="auto"/>
                <w:sz w:val="21"/>
                <w:szCs w:val="21"/>
              </w:rPr>
              <w:t>证</w:t>
            </w:r>
          </w:p>
          <w:p w14:paraId="3DD1C912">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6 </w:t>
            </w:r>
            <w:r>
              <w:rPr>
                <w:rFonts w:hint="eastAsia" w:asciiTheme="minorEastAsia" w:hAnsiTheme="minorEastAsia" w:eastAsiaTheme="minorEastAsia" w:cstheme="minorEastAsia"/>
                <w:color w:val="auto"/>
                <w:sz w:val="21"/>
                <w:szCs w:val="21"/>
              </w:rPr>
              <w:t>分）</w:t>
            </w:r>
          </w:p>
        </w:tc>
        <w:tc>
          <w:tcPr>
            <w:tcW w:w="5272" w:type="dxa"/>
            <w:vAlign w:val="center"/>
          </w:tcPr>
          <w:p w14:paraId="2A3771DF">
            <w:pPr>
              <w:pStyle w:val="3"/>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kern w:val="0"/>
                <w:sz w:val="21"/>
                <w:szCs w:val="21"/>
                <w:lang w:val="en-US" w:eastAsia="zh-CN" w:bidi="ar"/>
              </w:rPr>
              <w:t>投标人</w:t>
            </w:r>
            <w:r>
              <w:rPr>
                <w:rFonts w:hint="eastAsia" w:asciiTheme="minorEastAsia" w:hAnsiTheme="minorEastAsia" w:eastAsiaTheme="minorEastAsia" w:cstheme="minorEastAsia"/>
                <w:color w:val="auto"/>
                <w:kern w:val="0"/>
                <w:sz w:val="21"/>
                <w:szCs w:val="21"/>
                <w:lang w:bidi="ar"/>
              </w:rPr>
              <w:t>具有有效期内的质量管理体系认证证书、环境管理体系认证证书、职业健康安全管理体系认证证书的，每提供1个得2分，总分6分。提供证书扫描件，未提供或提供材料不符合要求的不得分。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9" w:hRule="atLeast"/>
          <w:jc w:val="center"/>
        </w:trPr>
        <w:tc>
          <w:tcPr>
            <w:tcW w:w="499" w:type="pct"/>
            <w:vMerge w:val="continue"/>
            <w:vAlign w:val="center"/>
          </w:tcPr>
          <w:p w14:paraId="249875D6">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775" w:type="dxa"/>
            <w:vAlign w:val="center"/>
          </w:tcPr>
          <w:p w14:paraId="35D6DDFC">
            <w:pPr>
              <w:pStyle w:val="2"/>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供货方案</w:t>
            </w:r>
          </w:p>
          <w:p w14:paraId="705269C5">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red"/>
                <w:lang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1</w:t>
            </w:r>
            <w:r>
              <w:rPr>
                <w:rFonts w:hint="eastAsia" w:asciiTheme="minorEastAsia" w:hAnsiTheme="minorEastAsia" w:eastAsiaTheme="minorEastAsia" w:cstheme="minorEastAsia"/>
                <w:color w:val="auto"/>
                <w:sz w:val="21"/>
                <w:szCs w:val="21"/>
                <w:u w:val="single"/>
                <w:lang w:val="en-US" w:eastAsia="zh-CN"/>
              </w:rPr>
              <w:t>4</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5272" w:type="dxa"/>
            <w:vAlign w:val="center"/>
          </w:tcPr>
          <w:p w14:paraId="67BB5418">
            <w:pPr>
              <w:pStyle w:val="2"/>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bidi="ar"/>
              </w:rPr>
              <w:t>安装供货方案合理,对项目关键技术主要施工艺有深入的表述,对重点、难点问题有合理化建议解决方案完整、经济、安全、切实可行,措施得力，评委综合评分，优秀的得14-10分；一般的得9-5分，较差得基础分4分，未提供不得分。</w:t>
            </w:r>
            <w:r>
              <w:rPr>
                <w:rFonts w:hint="eastAsia" w:asciiTheme="minorEastAsia" w:hAnsiTheme="minorEastAsia" w:eastAsiaTheme="minorEastAsia" w:cstheme="minorEastAsia"/>
                <w:color w:val="auto"/>
                <w:sz w:val="21"/>
                <w:szCs w:val="21"/>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83" w:hRule="atLeast"/>
          <w:jc w:val="center"/>
        </w:trPr>
        <w:tc>
          <w:tcPr>
            <w:tcW w:w="499" w:type="pct"/>
            <w:vMerge w:val="continue"/>
            <w:vAlign w:val="center"/>
          </w:tcPr>
          <w:p w14:paraId="1728D70F">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775" w:type="dxa"/>
            <w:vAlign w:val="center"/>
          </w:tcPr>
          <w:p w14:paraId="1CA911EC">
            <w:pPr>
              <w:pStyle w:val="19"/>
              <w:keepNext w:val="0"/>
              <w:keepLines w:val="0"/>
              <w:suppressLineNumbers w:val="0"/>
              <w:spacing w:before="0" w:beforeLines="0" w:beforeAutospacing="0" w:afterLines="0" w:afterAutospacing="0"/>
              <w:ind w:left="0" w:leftChars="0" w:right="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售后服务方案</w:t>
            </w:r>
          </w:p>
          <w:p w14:paraId="3C872E9F">
            <w:pPr>
              <w:pStyle w:val="19"/>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满分</w:t>
            </w:r>
            <w:r>
              <w:rPr>
                <w:rFonts w:hint="eastAsia" w:asciiTheme="minorEastAsia" w:hAnsiTheme="minorEastAsia" w:eastAsiaTheme="minorEastAsia" w:cstheme="minorEastAsia"/>
                <w:color w:val="auto"/>
                <w:sz w:val="21"/>
                <w:szCs w:val="21"/>
                <w:u w:val="single"/>
                <w:lang w:val="en-US" w:eastAsia="zh-CN"/>
              </w:rPr>
              <w:t xml:space="preserve"> 8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lang w:eastAsia="zh-CN"/>
              </w:rPr>
              <w:t>）</w:t>
            </w:r>
          </w:p>
        </w:tc>
        <w:tc>
          <w:tcPr>
            <w:tcW w:w="5272" w:type="dxa"/>
            <w:vAlign w:val="center"/>
          </w:tcPr>
          <w:p w14:paraId="3686DE7B">
            <w:pPr>
              <w:pStyle w:val="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lang w:val="en-US" w:eastAsia="zh-CN"/>
              </w:rPr>
              <w:t>根据投标人售后服务方案及增值服务进行综合评审。评委综合评分，优秀的得8-6分；一般的得5-3分，较差得基础分2分，未提供不得分。</w:t>
            </w:r>
          </w:p>
        </w:tc>
      </w:tr>
    </w:tbl>
    <w:p w14:paraId="037EC387">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sz w:val="21"/>
          <w:szCs w:val="24"/>
        </w:rPr>
      </w:pPr>
      <w:r>
        <w:rPr>
          <w:rFonts w:hint="eastAsia" w:ascii="Times New Roman" w:hAnsi="Times New Roman"/>
          <w:sz w:val="21"/>
          <w:szCs w:val="24"/>
          <w:lang w:val="en-US" w:eastAsia="zh-CN"/>
        </w:rPr>
        <w:t>1.1</w:t>
      </w: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sz w:val="21"/>
          <w:szCs w:val="24"/>
          <w:highlight w:val="yellow"/>
          <w:lang w:eastAsia="zh-CN"/>
        </w:rPr>
      </w:pPr>
      <w:r>
        <w:rPr>
          <w:rFonts w:hint="eastAsia" w:ascii="Times New Roman" w:hAnsi="Times New Roman" w:eastAsiaTheme="minorEastAsia"/>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1A86034B">
      <w:pPr>
        <w:spacing w:line="440" w:lineRule="exact"/>
        <w:ind w:firstLine="420"/>
        <w:rPr>
          <w:rFonts w:hint="default" w:ascii="Times New Roman" w:hAnsi="Times New Roman" w:cs="Times New Roman"/>
          <w:color w:val="auto"/>
          <w:highlight w:val="none"/>
          <w:lang w:val="en-US" w:eastAsia="zh-CN"/>
        </w:rPr>
      </w:pPr>
    </w:p>
    <w:p w14:paraId="65D6F07C">
      <w:pPr>
        <w:pStyle w:val="2"/>
        <w:rPr>
          <w:rFonts w:hint="default"/>
          <w:color w:val="auto"/>
        </w:rPr>
      </w:pPr>
    </w:p>
    <w:p w14:paraId="1141E05D">
      <w:pPr>
        <w:rPr>
          <w:rFonts w:hint="default"/>
          <w:color w:val="auto"/>
        </w:rPr>
      </w:pPr>
    </w:p>
    <w:p w14:paraId="7F9EE705">
      <w:pPr>
        <w:pStyle w:val="5"/>
        <w:numPr>
          <w:ilvl w:val="0"/>
          <w:numId w:val="0"/>
        </w:numPr>
        <w:spacing w:before="312" w:after="312"/>
        <w:ind w:leftChars="0"/>
        <w:jc w:val="center"/>
        <w:rPr>
          <w:rFonts w:ascii="Times New Roman" w:hAnsi="Times New Roman" w:eastAsia="宋体" w:cs="Times New Roman"/>
          <w:color w:val="auto"/>
        </w:rPr>
      </w:pPr>
      <w:bookmarkStart w:id="70" w:name="_Toc22218"/>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70"/>
    </w:p>
    <w:p w14:paraId="1558D023">
      <w:pPr>
        <w:rPr>
          <w:color w:val="auto"/>
        </w:rPr>
      </w:pPr>
    </w:p>
    <w:p w14:paraId="37368B5D">
      <w:pPr>
        <w:pStyle w:val="32"/>
        <w:rPr>
          <w:rFonts w:hint="eastAsia" w:ascii="Times New Roman" w:hAnsi="Times New Roman" w:eastAsia="宋体" w:cs="Times New Roman"/>
          <w:color w:val="auto"/>
        </w:rPr>
      </w:pPr>
    </w:p>
    <w:p w14:paraId="0E6FDAD6">
      <w:pPr>
        <w:pStyle w:val="32"/>
        <w:rPr>
          <w:rFonts w:hint="eastAsia" w:ascii="Times New Roman" w:hAnsi="Times New Roman" w:eastAsia="宋体" w:cs="Times New Roman"/>
          <w:color w:val="auto"/>
        </w:rPr>
      </w:pPr>
    </w:p>
    <w:p w14:paraId="58CDC6FF">
      <w:pPr>
        <w:pStyle w:val="32"/>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19B184A8">
      <w:pPr>
        <w:bidi w:val="0"/>
        <w:jc w:val="left"/>
        <w:rPr>
          <w:rFonts w:hint="eastAsia" w:asciiTheme="minorHAnsi" w:hAnsiTheme="minorHAnsi" w:eastAsiaTheme="minorEastAsia" w:cstheme="minorBidi"/>
          <w:color w:val="auto"/>
          <w:kern w:val="2"/>
          <w:sz w:val="21"/>
          <w:szCs w:val="24"/>
          <w:lang w:val="en-US" w:eastAsia="zh-CN" w:bidi="ar-SA"/>
        </w:rPr>
      </w:pPr>
    </w:p>
    <w:p w14:paraId="63DAC813">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698B4F3">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0C2D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安徽省经工物资有限公司</w:t>
      </w:r>
      <w:permEnd w:id="1"/>
      <w:r>
        <w:rPr>
          <w:rFonts w:hint="eastAsia" w:ascii="仿宋_GB2312" w:hAnsi="仿宋_GB2312" w:eastAsia="仿宋_GB2312" w:cs="仿宋_GB2312"/>
          <w:color w:val="auto"/>
          <w:sz w:val="28"/>
          <w:szCs w:val="28"/>
          <w:highlight w:val="none"/>
        </w:rPr>
        <w:t>（以下简称甲方）</w:t>
      </w:r>
    </w:p>
    <w:p w14:paraId="34C2A1B5">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38C588AE">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20F12AB6">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2CCD1387">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permStart w:id="4"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4"/>
      <w:r>
        <w:rPr>
          <w:rFonts w:hint="eastAsia" w:ascii="仿宋_GB2312" w:hAnsi="仿宋_GB2312" w:eastAsia="仿宋_GB2312" w:cs="仿宋_GB2312"/>
          <w:color w:val="auto"/>
          <w:kern w:val="2"/>
          <w:sz w:val="28"/>
          <w:szCs w:val="28"/>
          <w:highlight w:val="none"/>
          <w:lang w:val="en-US" w:eastAsia="zh-CN" w:bidi="ar-SA"/>
        </w:rPr>
        <w:t>）。</w:t>
      </w:r>
    </w:p>
    <w:p w14:paraId="7E6B425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w:t>
      </w:r>
      <w:r>
        <w:rPr>
          <w:rFonts w:hint="eastAsia" w:ascii="仿宋_GB2312" w:hAnsi="仿宋_GB2312" w:eastAsia="仿宋_GB2312" w:cs="仿宋_GB2312"/>
          <w:color w:val="auto"/>
          <w:kern w:val="2"/>
          <w:sz w:val="28"/>
          <w:szCs w:val="28"/>
          <w:highlight w:val="yellow"/>
          <w:lang w:val="en-US" w:eastAsia="zh-CN" w:bidi="ar-SA"/>
        </w:rPr>
        <w:t>清单中所列项目已包含全部工作内容，除甲方要求增加工程量外，乙方不得以任何理由增加清单项目</w:t>
      </w:r>
      <w:r>
        <w:rPr>
          <w:rFonts w:hint="eastAsia" w:ascii="仿宋_GB2312" w:hAnsi="仿宋_GB2312" w:eastAsia="仿宋_GB2312" w:cs="仿宋_GB2312"/>
          <w:color w:val="auto"/>
          <w:kern w:val="2"/>
          <w:sz w:val="28"/>
          <w:szCs w:val="28"/>
          <w:highlight w:val="none"/>
          <w:lang w:val="en-US" w:eastAsia="zh-CN" w:bidi="ar-SA"/>
        </w:rPr>
        <w:t>。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风险、交通、保洁、协调及完成本合同范围工作内容的安全费用、技术费用、措施费用、乙方人员保险费用以及与货物供应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3E5CE15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73508C9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1D4894D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14:paraId="0611C1A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5"/>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29A5CC6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7156A4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ermEnd w:id="6"/>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F7C230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1DBFFD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171B376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55B40EA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D0F1D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年，质量保证期（以下简称质保期）为交工验收合格后</w:t>
      </w:r>
      <w:permStart w:id="8" w:edGrp="everyone"/>
      <w:r>
        <w:rPr>
          <w:rFonts w:hint="eastAsia" w:ascii="仿宋_GB2312" w:hAnsi="仿宋_GB2312" w:eastAsia="仿宋_GB2312" w:cs="仿宋_GB2312"/>
          <w:color w:val="auto"/>
          <w:sz w:val="28"/>
          <w:szCs w:val="28"/>
          <w:highlight w:val="none"/>
          <w:u w:val="single"/>
          <w:lang w:val="en-US" w:eastAsia="zh-CN"/>
        </w:rPr>
        <w:t xml:space="preserve">  2  </w:t>
      </w:r>
      <w:permEnd w:id="8"/>
      <w:r>
        <w:rPr>
          <w:rFonts w:hint="eastAsia" w:ascii="仿宋_GB2312" w:hAnsi="仿宋_GB2312" w:eastAsia="仿宋_GB2312" w:cs="仿宋_GB2312"/>
          <w:color w:val="auto"/>
          <w:sz w:val="28"/>
          <w:szCs w:val="28"/>
          <w:highlight w:val="none"/>
          <w:lang w:val="en-US" w:eastAsia="zh-CN"/>
        </w:rPr>
        <w:t>年，</w:t>
      </w:r>
      <w:r>
        <w:rPr>
          <w:rFonts w:hint="eastAsia" w:ascii="仿宋_GB2312" w:hAnsi="仿宋_GB2312" w:eastAsia="仿宋_GB2312" w:cs="仿宋_GB2312"/>
          <w:color w:val="auto"/>
          <w:sz w:val="28"/>
          <w:szCs w:val="28"/>
          <w:highlight w:val="yellow"/>
          <w:lang w:val="en-US" w:eastAsia="zh-CN"/>
        </w:rPr>
        <w:t>若乙方在响应文件中承诺质保期更长的，质保期从其承诺</w:t>
      </w:r>
      <w:r>
        <w:rPr>
          <w:rFonts w:hint="eastAsia" w:ascii="仿宋_GB2312" w:hAnsi="仿宋_GB2312" w:eastAsia="仿宋_GB2312" w:cs="仿宋_GB2312"/>
          <w:color w:val="auto"/>
          <w:sz w:val="28"/>
          <w:szCs w:val="28"/>
          <w:highlight w:val="none"/>
          <w:lang w:val="en-US" w:eastAsia="zh-CN"/>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D110F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C6EDE5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9C50C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08BBB16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288233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yellow"/>
          <w:u w:val="none"/>
          <w:lang w:val="en-US" w:eastAsia="zh-CN"/>
        </w:rPr>
      </w:pPr>
      <w:r>
        <w:rPr>
          <w:rFonts w:hint="eastAsia" w:ascii="黑体" w:hAnsi="黑体" w:eastAsia="黑体" w:cs="黑体"/>
          <w:b w:val="0"/>
          <w:bCs/>
          <w:color w:val="auto"/>
          <w:sz w:val="28"/>
          <w:szCs w:val="28"/>
          <w:highlight w:val="yellow"/>
        </w:rPr>
        <w:t>第</w:t>
      </w:r>
      <w:r>
        <w:rPr>
          <w:rFonts w:hint="eastAsia" w:ascii="黑体" w:hAnsi="黑体" w:eastAsia="黑体" w:cs="黑体"/>
          <w:b w:val="0"/>
          <w:bCs/>
          <w:color w:val="auto"/>
          <w:sz w:val="28"/>
          <w:szCs w:val="28"/>
          <w:highlight w:val="yellow"/>
          <w:lang w:val="en-US" w:eastAsia="zh-CN"/>
        </w:rPr>
        <w:t>五</w:t>
      </w:r>
      <w:r>
        <w:rPr>
          <w:rFonts w:hint="eastAsia" w:ascii="黑体" w:hAnsi="黑体" w:eastAsia="黑体" w:cs="黑体"/>
          <w:b w:val="0"/>
          <w:bCs/>
          <w:color w:val="auto"/>
          <w:sz w:val="28"/>
          <w:szCs w:val="28"/>
          <w:highlight w:val="yellow"/>
        </w:rPr>
        <w:t>条</w:t>
      </w:r>
      <w:r>
        <w:rPr>
          <w:rFonts w:hint="eastAsia" w:ascii="黑体" w:hAnsi="黑体" w:eastAsia="黑体" w:cs="黑体"/>
          <w:b w:val="0"/>
          <w:bCs/>
          <w:color w:val="auto"/>
          <w:sz w:val="28"/>
          <w:szCs w:val="28"/>
          <w:highlight w:val="yellow"/>
          <w:lang w:val="en-US" w:eastAsia="zh-CN"/>
        </w:rPr>
        <w:t xml:space="preserve">  结算方式及期限</w:t>
      </w:r>
    </w:p>
    <w:p w14:paraId="79A204E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permStart w:id="9" w:edGrp="everyone"/>
      <w:r>
        <w:rPr>
          <w:rFonts w:hint="eastAsia" w:ascii="仿宋_GB2312" w:hAnsi="仿宋_GB2312" w:eastAsia="仿宋_GB2312" w:cs="仿宋_GB2312"/>
          <w:color w:val="auto"/>
          <w:sz w:val="28"/>
          <w:szCs w:val="28"/>
          <w:highlight w:val="none"/>
          <w:lang w:val="en-US" w:eastAsia="zh-CN"/>
        </w:rPr>
        <w:t>1.货到工地经甲方指定签收人验收合格并签收后，甲方按该批验收合格货物价款的</w:t>
      </w:r>
      <w:r>
        <w:rPr>
          <w:rFonts w:hint="eastAsia" w:ascii="仿宋_GB2312" w:hAnsi="仿宋_GB2312" w:eastAsia="仿宋_GB2312" w:cs="仿宋_GB2312"/>
          <w:color w:val="auto"/>
          <w:sz w:val="28"/>
          <w:szCs w:val="28"/>
          <w:highlight w:val="none"/>
          <w:u w:val="single"/>
          <w:lang w:val="en-US" w:eastAsia="zh-CN"/>
        </w:rPr>
        <w:t>70</w:t>
      </w:r>
      <w:r>
        <w:rPr>
          <w:rFonts w:hint="eastAsia" w:ascii="仿宋_GB2312" w:hAnsi="仿宋_GB2312" w:eastAsia="仿宋_GB2312" w:cs="仿宋_GB2312"/>
          <w:color w:val="auto"/>
          <w:sz w:val="28"/>
          <w:szCs w:val="28"/>
          <w:highlight w:val="none"/>
          <w:lang w:val="en-US" w:eastAsia="zh-CN"/>
        </w:rPr>
        <w:t xml:space="preserve"> %支付进度款。</w:t>
      </w:r>
    </w:p>
    <w:p w14:paraId="4356FFC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2.产品全部安装完毕，经甲方指定签收人验收合格并签字，办理完成结算手续后，甲方向乙方支付至结算价的</w:t>
      </w:r>
      <w:r>
        <w:rPr>
          <w:rFonts w:hint="eastAsia" w:ascii="仿宋_GB2312" w:hAnsi="仿宋_GB2312" w:eastAsia="仿宋_GB2312" w:cs="仿宋_GB2312"/>
          <w:color w:val="auto"/>
          <w:sz w:val="28"/>
          <w:szCs w:val="28"/>
          <w:highlight w:val="none"/>
          <w:u w:val="single"/>
          <w:lang w:val="en-US" w:eastAsia="zh-CN"/>
        </w:rPr>
        <w:t>97</w:t>
      </w:r>
      <w:r>
        <w:rPr>
          <w:rFonts w:hint="eastAsia" w:ascii="仿宋_GB2312" w:hAnsi="仿宋_GB2312" w:eastAsia="仿宋_GB2312" w:cs="仿宋_GB2312"/>
          <w:color w:val="auto"/>
          <w:sz w:val="28"/>
          <w:szCs w:val="28"/>
          <w:highlight w:val="none"/>
          <w:lang w:val="en-US" w:eastAsia="zh-CN"/>
        </w:rPr>
        <w:t>%。</w:t>
      </w:r>
    </w:p>
    <w:permEnd w:id="9"/>
    <w:p w14:paraId="151A7E8A">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3.甲方预留最终审定金额的</w:t>
      </w:r>
      <w:r>
        <w:rPr>
          <w:rFonts w:hint="eastAsia" w:ascii="仿宋_GB2312" w:hAnsi="仿宋_GB2312" w:eastAsia="仿宋_GB2312" w:cs="仿宋_GB2312"/>
          <w:color w:val="auto"/>
          <w:sz w:val="28"/>
          <w:szCs w:val="28"/>
          <w:highlight w:val="none"/>
          <w:u w:val="single"/>
          <w:lang w:val="en-US" w:eastAsia="zh-CN"/>
        </w:rPr>
        <w:t xml:space="preserve">3 </w:t>
      </w:r>
      <w:r>
        <w:rPr>
          <w:rFonts w:hint="eastAsia" w:ascii="仿宋_GB2312" w:hAnsi="仿宋_GB2312" w:eastAsia="仿宋_GB2312" w:cs="仿宋_GB2312"/>
          <w:color w:val="auto"/>
          <w:sz w:val="28"/>
          <w:szCs w:val="28"/>
          <w:highlight w:val="none"/>
          <w:lang w:val="en-US" w:eastAsia="zh-CN"/>
        </w:rPr>
        <w:t>%作为质保金，在缺陷责任期后无质量问题一次性无息支付。</w:t>
      </w:r>
    </w:p>
    <w:p w14:paraId="02B92091">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4.响应保证金转为履约保证金，合同履行完成无违约行为并经甲方认定同意后28 天内无息退还。</w:t>
      </w:r>
    </w:p>
    <w:p w14:paraId="3FBDC6E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1EA9B6C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6.乙方提供符合采购人财务要求的国家税务局13%增值税专用发票后办理结算，发票需要做到“三流一致”，也即“货物、劳务及应税服务流”、“资金流”、“发票流”必须都是同一受票方。</w:t>
      </w:r>
    </w:p>
    <w:p w14:paraId="6F09AC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37C4A082">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5B861516">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78D128E0">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6A3A7332">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4.对于乙方因违反本合同约定需支付的违约金，甲方有权在应付货款中直接予以扣除。 </w:t>
      </w:r>
    </w:p>
    <w:p w14:paraId="01B713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AF58C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2FEA91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3FF0AF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6807CC0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408F7B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3216805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4920E14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4807B79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726BC8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7DF6374D">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4D3793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DE22DE6">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45BD0C9B">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1E98E50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32050439">
      <w:pPr>
        <w:bidi w:val="0"/>
        <w:rPr>
          <w:rFonts w:hint="eastAsia"/>
          <w:highlight w:val="none"/>
          <w:lang w:val="en-US" w:eastAsia="zh-CN"/>
        </w:rPr>
      </w:pPr>
    </w:p>
    <w:p w14:paraId="13E2C6B5">
      <w:pPr>
        <w:pStyle w:val="2"/>
        <w:bidi w:val="0"/>
        <w:rPr>
          <w:rFonts w:hint="eastAsia"/>
          <w:highlight w:val="none"/>
          <w:lang w:val="en-US" w:eastAsia="zh-CN"/>
        </w:rPr>
      </w:pPr>
    </w:p>
    <w:p w14:paraId="73DF31A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DBB9C56">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1194E36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393E60E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25E9561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61A42EB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79DC59D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A5BA6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28F5B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520A1C0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2EDF6C8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0F670B66">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5A725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附件1：</w:t>
      </w:r>
    </w:p>
    <w:p w14:paraId="373D6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3AC98F9D">
      <w:pPr>
        <w:pStyle w:val="2"/>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lang w:val="en-US" w:eastAsia="zh-CN"/>
        </w:rPr>
      </w:pPr>
    </w:p>
    <w:p w14:paraId="4AFBF1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14:paraId="278957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045E6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67A10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1AEC43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355EF3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2B6138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088738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6AD9E7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327DA3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0DFB81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04F979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10CD58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42A265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B4256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57C273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508873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64A7C2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75E421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118BD7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38BE2C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605ADF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35840E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14:paraId="112F31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382980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ECBB7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0F82EA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5C6748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63FCCD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0FD09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349257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665EEF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E80D888">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796A7804">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p>
    <w:p w14:paraId="34A73004">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p>
    <w:p w14:paraId="2125968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p>
    <w:p w14:paraId="1E6F4DE8">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3C2242DF">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750205E">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6A9720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3E2CC8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14:paraId="7A7C21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76F4AF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14:paraId="347ABF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6B281E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5A74002B">
      <w:pPr>
        <w:pStyle w:val="2"/>
        <w:rPr>
          <w:rFonts w:hint="eastAsia"/>
          <w:color w:val="auto"/>
        </w:rPr>
      </w:pPr>
    </w:p>
    <w:p w14:paraId="44D5FB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14:paraId="028DCA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14:paraId="78229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02321F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78857D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14:paraId="0F62B2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2CF63E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6B66E4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7CA7FB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771C77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567E515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0E78A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14:paraId="1FC881AC">
      <w:pPr>
        <w:pStyle w:val="10"/>
        <w:bidi w:val="0"/>
        <w:rPr>
          <w:rFonts w:hint="eastAsia"/>
          <w:color w:val="auto"/>
        </w:rPr>
      </w:pPr>
    </w:p>
    <w:p w14:paraId="393656CA">
      <w:pPr>
        <w:pStyle w:val="5"/>
        <w:numPr>
          <w:ilvl w:val="255"/>
          <w:numId w:val="0"/>
        </w:numPr>
        <w:spacing w:before="312" w:after="312"/>
        <w:ind w:left="402"/>
        <w:rPr>
          <w:rFonts w:ascii="Times New Roman" w:hAnsi="Times New Roman" w:eastAsia="宋体" w:cs="Times New Roman"/>
          <w:color w:val="auto"/>
        </w:rPr>
      </w:pPr>
      <w:bookmarkStart w:id="71" w:name="_Toc13849"/>
      <w:r>
        <w:rPr>
          <w:rFonts w:hint="eastAsia" w:ascii="Times New Roman" w:hAnsi="Times New Roman" w:eastAsia="宋体" w:cs="Times New Roman"/>
          <w:color w:val="auto"/>
          <w:lang w:val="en-US" w:eastAsia="zh-CN"/>
        </w:rPr>
        <w:t>第五章 供货要</w:t>
      </w:r>
      <w:r>
        <w:rPr>
          <w:rFonts w:ascii="Times New Roman" w:hAnsi="Times New Roman" w:eastAsia="宋体" w:cs="Times New Roman"/>
          <w:color w:val="auto"/>
        </w:rPr>
        <w:t>求及清单</w:t>
      </w:r>
      <w:bookmarkEnd w:id="71"/>
    </w:p>
    <w:p w14:paraId="7908DC8F">
      <w:pPr>
        <w:pStyle w:val="18"/>
        <w:spacing w:beforeLines="0" w:afterLines="0"/>
        <w:ind w:firstLine="0" w:firstLineChars="0"/>
        <w:jc w:val="center"/>
        <w:rPr>
          <w:rFonts w:hint="eastAsia" w:ascii="宋体" w:hAnsi="宋体" w:cs="宋体"/>
          <w:b/>
          <w:color w:val="auto"/>
          <w:sz w:val="21"/>
          <w:szCs w:val="21"/>
        </w:rPr>
      </w:pPr>
      <w:r>
        <w:rPr>
          <w:rFonts w:hint="eastAsia" w:ascii="宋体" w:hAnsi="宋体" w:cs="宋体"/>
          <w:b/>
          <w:color w:val="auto"/>
          <w:sz w:val="28"/>
          <w:szCs w:val="28"/>
          <w:lang w:eastAsia="zh-CN"/>
        </w:rPr>
        <w:t>木门</w:t>
      </w:r>
      <w:r>
        <w:rPr>
          <w:rFonts w:hint="eastAsia" w:ascii="宋体" w:hAnsi="宋体" w:cs="宋体"/>
          <w:b/>
          <w:color w:val="auto"/>
          <w:sz w:val="28"/>
          <w:szCs w:val="28"/>
        </w:rPr>
        <w:t>材料报价清单</w:t>
      </w:r>
    </w:p>
    <w:p w14:paraId="32A0E4C4">
      <w:pPr>
        <w:snapToGrid w:val="0"/>
        <w:spacing w:beforeLines="0" w:afterLines="0" w:line="400" w:lineRule="exact"/>
        <w:jc w:val="left"/>
        <w:rPr>
          <w:rFonts w:hint="eastAsia" w:ascii="宋体" w:hAnsi="宋体" w:cs="宋体"/>
          <w:b/>
          <w:color w:val="auto"/>
          <w:sz w:val="24"/>
          <w:szCs w:val="24"/>
        </w:rPr>
      </w:pPr>
      <w:r>
        <w:rPr>
          <w:rFonts w:hint="eastAsia" w:ascii="宋体" w:hAnsi="宋体" w:cs="宋体"/>
          <w:b/>
          <w:color w:val="auto"/>
          <w:sz w:val="24"/>
          <w:szCs w:val="24"/>
        </w:rPr>
        <w:t>（清单详见附件）</w:t>
      </w:r>
    </w:p>
    <w:p w14:paraId="08858408">
      <w:pPr>
        <w:pStyle w:val="2"/>
        <w:spacing w:beforeLines="0" w:afterLines="0"/>
        <w:rPr>
          <w:rFonts w:hint="eastAsia"/>
          <w:color w:val="auto"/>
          <w:sz w:val="21"/>
          <w:szCs w:val="24"/>
        </w:rPr>
      </w:pPr>
    </w:p>
    <w:p w14:paraId="6EB2BDB2">
      <w:pPr>
        <w:snapToGrid w:val="0"/>
        <w:spacing w:beforeLines="0" w:afterLines="0"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1.上述费用包括货物的原材料、生产、包装、运输、保险、卸货叉车费（如有）、人工费、</w:t>
      </w:r>
      <w:r>
        <w:rPr>
          <w:rFonts w:hint="eastAsia" w:ascii="宋体" w:hAnsi="宋体" w:cs="宋体"/>
          <w:color w:val="auto"/>
          <w:sz w:val="24"/>
          <w:szCs w:val="24"/>
          <w:lang w:val="en-US" w:eastAsia="zh-CN"/>
        </w:rPr>
        <w:t>安装费、</w:t>
      </w:r>
      <w:r>
        <w:rPr>
          <w:rFonts w:hint="eastAsia" w:ascii="宋体" w:hAnsi="宋体" w:cs="宋体"/>
          <w:color w:val="auto"/>
          <w:sz w:val="24"/>
          <w:szCs w:val="24"/>
        </w:rPr>
        <w:t>卸车费、利润、税费等相关费用。</w:t>
      </w:r>
    </w:p>
    <w:p w14:paraId="11370612">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2.最终结算以实际供货安装数量为准，送货时附带相关检测报告。</w:t>
      </w:r>
    </w:p>
    <w:p w14:paraId="20139CF5">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rPr>
        <w:t>涉及</w:t>
      </w:r>
      <w:r>
        <w:rPr>
          <w:rFonts w:hint="eastAsia" w:ascii="宋体" w:hAnsi="宋体" w:cs="宋体"/>
          <w:b/>
          <w:color w:val="auto"/>
          <w:sz w:val="24"/>
          <w:szCs w:val="24"/>
          <w:lang w:eastAsia="zh-CN"/>
        </w:rPr>
        <w:t>木门</w:t>
      </w:r>
      <w:r>
        <w:rPr>
          <w:rFonts w:hint="eastAsia" w:ascii="宋体" w:hAnsi="宋体" w:cs="宋体"/>
          <w:b/>
          <w:color w:val="auto"/>
          <w:sz w:val="24"/>
          <w:szCs w:val="24"/>
        </w:rPr>
        <w:t>复试费用均由供应商承担，抽检频率和批次按国家、行业标准或甲方要求执行。</w:t>
      </w:r>
    </w:p>
    <w:p w14:paraId="720BD334">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eastAsia="zh-CN"/>
        </w:rPr>
        <w:t>木门</w:t>
      </w:r>
      <w:r>
        <w:rPr>
          <w:rFonts w:hint="eastAsia" w:ascii="宋体" w:hAnsi="宋体" w:cs="宋体"/>
          <w:color w:val="auto"/>
          <w:sz w:val="24"/>
          <w:szCs w:val="24"/>
        </w:rPr>
        <w:t>须在包装外壁醒目位置及材料上永久性标示生产厂家、生产批次、品牌标志、规格型号、唯一性可追溯性编码标识（如二维码）等信息。</w:t>
      </w:r>
    </w:p>
    <w:p w14:paraId="6BB17B65">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eastAsia="zh-CN"/>
        </w:rPr>
        <w:t>木门</w:t>
      </w:r>
      <w:r>
        <w:rPr>
          <w:rFonts w:hint="eastAsia" w:ascii="宋体" w:hAnsi="宋体" w:cs="宋体"/>
          <w:color w:val="auto"/>
          <w:sz w:val="24"/>
          <w:szCs w:val="24"/>
        </w:rPr>
        <w:t>供货进度应满足采购人工程进度分批次实施的安排和要求，中标人应充分理解并全力配合采购人的</w:t>
      </w:r>
      <w:r>
        <w:rPr>
          <w:rFonts w:hint="eastAsia" w:ascii="宋体" w:hAnsi="宋体" w:cs="宋体"/>
          <w:color w:val="auto"/>
          <w:sz w:val="24"/>
          <w:szCs w:val="24"/>
          <w:lang w:eastAsia="zh-CN"/>
        </w:rPr>
        <w:t>木门</w:t>
      </w:r>
      <w:r>
        <w:rPr>
          <w:rFonts w:hint="eastAsia" w:ascii="宋体" w:hAnsi="宋体" w:cs="宋体"/>
          <w:color w:val="auto"/>
          <w:sz w:val="24"/>
          <w:szCs w:val="24"/>
        </w:rPr>
        <w:t>材料采购、进场工作，并承担因送货次数增加而引起的运输成本增加等相应风险。</w:t>
      </w:r>
    </w:p>
    <w:p w14:paraId="24430F2A">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6.中标人对提供的</w:t>
      </w:r>
      <w:r>
        <w:rPr>
          <w:rFonts w:hint="eastAsia" w:ascii="宋体" w:hAnsi="宋体" w:cs="宋体"/>
          <w:color w:val="auto"/>
          <w:sz w:val="24"/>
          <w:szCs w:val="24"/>
          <w:lang w:eastAsia="zh-CN"/>
        </w:rPr>
        <w:t>木门</w:t>
      </w:r>
      <w:r>
        <w:rPr>
          <w:rFonts w:hint="eastAsia" w:ascii="宋体" w:hAnsi="宋体" w:cs="宋体"/>
          <w:color w:val="auto"/>
          <w:sz w:val="24"/>
          <w:szCs w:val="24"/>
        </w:rPr>
        <w:t>质量负总责，材料进场应按程序履行报验、交接手续；因</w:t>
      </w:r>
      <w:r>
        <w:rPr>
          <w:rFonts w:hint="eastAsia" w:ascii="宋体" w:hAnsi="宋体" w:cs="宋体"/>
          <w:color w:val="auto"/>
          <w:sz w:val="24"/>
          <w:szCs w:val="24"/>
          <w:lang w:eastAsia="zh-CN"/>
        </w:rPr>
        <w:t>木门</w:t>
      </w:r>
      <w:r>
        <w:rPr>
          <w:rFonts w:hint="eastAsia" w:ascii="宋体" w:hAnsi="宋体" w:cs="宋体"/>
          <w:color w:val="auto"/>
          <w:sz w:val="24"/>
          <w:szCs w:val="24"/>
        </w:rPr>
        <w:t>材料质量问题，将视作违约，中标人须赔偿由此造成返工的全部工程建设费用及其他一切损失，同时由采购人追究中标人的违约责任，情节严重的，依法追究相关责任。</w:t>
      </w:r>
    </w:p>
    <w:p w14:paraId="2698A358">
      <w:pPr>
        <w:pStyle w:val="2"/>
        <w:rPr>
          <w:rFonts w:hint="eastAsia" w:ascii="宋体" w:hAnsi="宋体" w:cs="宋体"/>
          <w:b w:val="0"/>
          <w:bCs/>
          <w:color w:val="auto"/>
          <w:sz w:val="24"/>
          <w:lang w:val="en-US" w:eastAsia="zh-CN"/>
        </w:rPr>
      </w:pPr>
    </w:p>
    <w:p w14:paraId="5423CFA3">
      <w:pPr>
        <w:pStyle w:val="4"/>
        <w:ind w:left="0" w:leftChars="0" w:firstLine="0" w:firstLineChars="0"/>
        <w:jc w:val="both"/>
        <w:rPr>
          <w:rFonts w:hint="eastAsia"/>
          <w:color w:val="auto"/>
          <w:lang w:val="en-US" w:eastAsia="zh-CN"/>
        </w:rPr>
      </w:pPr>
    </w:p>
    <w:p w14:paraId="29146CFD">
      <w:pPr>
        <w:rPr>
          <w:color w:val="auto"/>
        </w:rPr>
      </w:pPr>
      <w:r>
        <w:rPr>
          <w:color w:val="auto"/>
        </w:rPr>
        <w:drawing>
          <wp:inline distT="0" distB="0" distL="114300" distR="114300">
            <wp:extent cx="5314950" cy="1521460"/>
            <wp:effectExtent l="0" t="0" r="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314950" cy="1521460"/>
                    </a:xfrm>
                    <a:prstGeom prst="rect">
                      <a:avLst/>
                    </a:prstGeom>
                    <a:noFill/>
                    <a:ln>
                      <a:noFill/>
                    </a:ln>
                  </pic:spPr>
                </pic:pic>
              </a:graphicData>
            </a:graphic>
          </wp:inline>
        </w:drawing>
      </w:r>
    </w:p>
    <w:p w14:paraId="0A132BCA">
      <w:pPr>
        <w:rPr>
          <w:color w:val="auto"/>
        </w:rPr>
      </w:pPr>
      <w:r>
        <w:rPr>
          <w:color w:val="auto"/>
        </w:rPr>
        <w:br w:type="page"/>
      </w:r>
    </w:p>
    <w:p w14:paraId="79600E89">
      <w:pPr>
        <w:pStyle w:val="5"/>
        <w:numPr>
          <w:ilvl w:val="255"/>
          <w:numId w:val="0"/>
        </w:numPr>
        <w:spacing w:before="312" w:after="312"/>
        <w:ind w:left="402"/>
        <w:rPr>
          <w:rFonts w:hint="eastAsia" w:ascii="Times New Roman" w:hAnsi="Times New Roman" w:eastAsia="宋体" w:cs="Times New Roman"/>
          <w:color w:val="auto"/>
        </w:rPr>
      </w:pPr>
      <w:bookmarkStart w:id="72" w:name="_Toc24198"/>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72"/>
    </w:p>
    <w:p w14:paraId="21BA21DA">
      <w:pPr>
        <w:jc w:val="left"/>
        <w:rPr>
          <w:rFonts w:ascii="Times New Roman" w:hAnsi="Times New Roman" w:eastAsia="宋体" w:cs="Times New Roman"/>
          <w:color w:val="auto"/>
        </w:rPr>
      </w:pPr>
      <w:r>
        <w:rPr>
          <w:rFonts w:ascii="Times New Roman" w:hAnsi="Times New Roman" w:eastAsia="宋体" w:cs="Times New Roman"/>
          <w:color w:val="auto"/>
        </w:rPr>
        <w:br w:type="page"/>
      </w:r>
    </w:p>
    <w:p w14:paraId="09D6E9D9">
      <w:pPr>
        <w:pStyle w:val="7"/>
        <w:rPr>
          <w:rFonts w:hint="eastAsia" w:ascii="方正小标宋简体" w:hAnsi="方正小标宋简体" w:eastAsia="方正小标宋简体" w:cs="方正小标宋简体"/>
          <w:kern w:val="2"/>
          <w:sz w:val="44"/>
          <w:szCs w:val="44"/>
          <w:u w:val="single"/>
        </w:rPr>
      </w:pPr>
      <w:bookmarkStart w:id="73" w:name="_Toc26419"/>
    </w:p>
    <w:p w14:paraId="0F2980AE">
      <w:pPr>
        <w:rPr>
          <w:rFonts w:hint="eastAsia"/>
        </w:rPr>
      </w:pPr>
    </w:p>
    <w:p w14:paraId="4C0B2D1C">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包</w:t>
      </w:r>
    </w:p>
    <w:p w14:paraId="5E541004">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1978CE8">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8526955">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0F95D0A5">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84A681C">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74" w:name="_Toc29738"/>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74"/>
    </w:p>
    <w:p w14:paraId="7DF8C628">
      <w:pPr>
        <w:pStyle w:val="16"/>
        <w:keepNext w:val="0"/>
        <w:keepLines w:val="0"/>
        <w:widowControl w:val="0"/>
        <w:suppressLineNumbers w:val="0"/>
        <w:spacing w:before="0" w:beforeAutospacing="1" w:after="120" w:afterAutospacing="0"/>
        <w:ind w:left="420" w:leftChars="200" w:right="0" w:firstLine="1000" w:firstLineChars="200"/>
        <w:jc w:val="left"/>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28"/>
          <w:szCs w:val="28"/>
          <w:lang w:val="en-US" w:eastAsia="zh-CN" w:bidi="ar"/>
        </w:rPr>
        <w:t>（商务及技术文件）</w:t>
      </w:r>
    </w:p>
    <w:p w14:paraId="6EF8E0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0171B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BCBC0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7D4AF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18A1464">
      <w:pPr>
        <w:pStyle w:val="16"/>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F6AC38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4AF16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0CCD7D6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C827C5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33A81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全称、盖单位章</w:t>
      </w:r>
      <w:r>
        <w:rPr>
          <w:rFonts w:hint="default" w:ascii="Times New Roman" w:hAnsi="Times New Roman" w:eastAsia="黑体" w:cs="Times New Roman"/>
          <w:kern w:val="2"/>
          <w:sz w:val="28"/>
          <w:szCs w:val="28"/>
          <w:u w:val="single"/>
          <w:lang w:val="en-US" w:eastAsia="zh-CN" w:bidi="ar"/>
        </w:rPr>
        <w:t xml:space="preserve">)    </w:t>
      </w:r>
    </w:p>
    <w:p w14:paraId="362D531F">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7F830BD">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lang w:val="en-US" w:eastAsia="zh-CN" w:bidi="ar"/>
        </w:rPr>
      </w:pPr>
      <w:r>
        <w:rPr>
          <w:rFonts w:hint="eastAsia" w:ascii="Times New Roman" w:hAnsi="Times New Roman" w:eastAsia="黑体" w:cs="Times New Roman"/>
          <w:kern w:val="2"/>
          <w:sz w:val="28"/>
          <w:szCs w:val="28"/>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14:paraId="2AD1AA10">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kern w:val="2"/>
          <w:sz w:val="28"/>
          <w:szCs w:val="28"/>
          <w:lang w:val="en-US" w:eastAsia="zh-CN" w:bidi="ar"/>
        </w:rPr>
      </w:pPr>
    </w:p>
    <w:p w14:paraId="1F181E4C">
      <w:pPr>
        <w:bidi w:val="0"/>
        <w:rPr>
          <w:rFonts w:hint="eastAsia"/>
        </w:rPr>
      </w:pPr>
    </w:p>
    <w:p w14:paraId="5C2FEE3B">
      <w:pPr>
        <w:pStyle w:val="5"/>
        <w:numPr>
          <w:ilvl w:val="0"/>
          <w:numId w:val="0"/>
        </w:numPr>
        <w:rPr>
          <w:rFonts w:hint="eastAsia" w:eastAsia="方正小标宋_GBK"/>
          <w:color w:val="auto"/>
          <w:sz w:val="36"/>
          <w:szCs w:val="44"/>
        </w:rPr>
      </w:pPr>
      <w:r>
        <w:rPr>
          <w:rFonts w:hint="eastAsia" w:ascii="Times New Roman" w:hAnsi="Times New Roman" w:eastAsia="黑体"/>
          <w:color w:val="auto"/>
          <w:sz w:val="28"/>
          <w:szCs w:val="28"/>
        </w:rPr>
        <w:t>一、</w:t>
      </w:r>
      <w:r>
        <w:rPr>
          <w:rFonts w:hint="eastAsia" w:ascii="方正小标宋_GBK" w:hAnsi="方正小标宋_GBK" w:eastAsia="方正小标宋_GBK" w:cs="方正小标宋_GBK"/>
          <w:color w:val="auto"/>
          <w:sz w:val="30"/>
          <w:szCs w:val="30"/>
        </w:rPr>
        <w:t>响应函（不含报价）</w:t>
      </w:r>
      <w:bookmarkEnd w:id="73"/>
    </w:p>
    <w:p w14:paraId="49B3464C">
      <w:pPr>
        <w:pStyle w:val="2"/>
        <w:tabs>
          <w:tab w:val="left" w:pos="972"/>
        </w:tabs>
        <w:spacing w:before="77" w:beforeLines="0" w:afterLines="0"/>
        <w:ind w:left="235"/>
        <w:rPr>
          <w:rFonts w:hint="eastAsia" w:ascii="宋体" w:hAnsi="宋体" w:cs="宋体"/>
          <w:color w:val="auto"/>
          <w:sz w:val="24"/>
          <w:szCs w:val="24"/>
        </w:rPr>
      </w:pPr>
      <w:r>
        <w:rPr>
          <w:rFonts w:hint="eastAsia" w:ascii="宋体" w:hAnsi="宋体" w:cs="宋体"/>
          <w:color w:val="auto"/>
          <w:w w:val="99"/>
          <w:sz w:val="24"/>
          <w:szCs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7"/>
        <w:numPr>
          <w:ilvl w:val="0"/>
          <w:numId w:val="3"/>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7"/>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7"/>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2"/>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3"/>
        <w:spacing w:beforeLines="0" w:afterLines="0"/>
        <w:rPr>
          <w:rFonts w:hint="eastAsia"/>
          <w:color w:val="auto"/>
          <w:sz w:val="18"/>
          <w:szCs w:val="24"/>
        </w:rPr>
      </w:pPr>
    </w:p>
    <w:p w14:paraId="4368A36F">
      <w:pPr>
        <w:pStyle w:val="4"/>
        <w:spacing w:beforeLines="0" w:afterLines="0"/>
        <w:rPr>
          <w:rFonts w:hint="eastAsia" w:eastAsia="宋体"/>
          <w:color w:val="auto"/>
          <w:sz w:val="21"/>
          <w:szCs w:val="21"/>
        </w:rPr>
      </w:pPr>
    </w:p>
    <w:p w14:paraId="24B7FA17">
      <w:pPr>
        <w:rPr>
          <w:rFonts w:hint="eastAsia"/>
          <w:color w:val="auto"/>
        </w:rPr>
      </w:pPr>
    </w:p>
    <w:p w14:paraId="76B08196">
      <w:pPr>
        <w:pStyle w:val="2"/>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75" w:name="_Hlk122530524"/>
      <w:r>
        <w:rPr>
          <w:rFonts w:hint="eastAsia" w:ascii="宋体" w:hAnsi="宋体" w:cs="宋体"/>
          <w:color w:val="auto"/>
          <w:sz w:val="24"/>
          <w:szCs w:val="24"/>
          <w:u w:val="single"/>
        </w:rPr>
        <w:t xml:space="preserve">                         </w:t>
      </w:r>
      <w:bookmarkEnd w:id="75"/>
      <w:r>
        <w:rPr>
          <w:rFonts w:hint="eastAsia" w:ascii="宋体" w:hAnsi="宋体" w:cs="宋体"/>
          <w:color w:val="auto"/>
          <w:sz w:val="24"/>
          <w:szCs w:val="24"/>
        </w:rPr>
        <w:t>（盖单位章）</w:t>
      </w:r>
    </w:p>
    <w:p w14:paraId="7CB2BE99">
      <w:pPr>
        <w:pStyle w:val="2"/>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2"/>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3"/>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6"/>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5AECEEB9">
      <w:pPr>
        <w:pStyle w:val="3"/>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0C53FF84">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bookmarkStart w:id="76" w:name="_Toc23378"/>
      <w:r>
        <w:rPr>
          <w:rFonts w:hint="eastAsia" w:ascii="黑体" w:hAnsi="宋体" w:eastAsia="黑体" w:cs="黑体"/>
          <w:color w:val="auto"/>
          <w:kern w:val="2"/>
          <w:sz w:val="28"/>
          <w:szCs w:val="28"/>
          <w:lang w:val="en-US" w:eastAsia="zh-CN" w:bidi="ar"/>
        </w:rPr>
        <w:t>二、法定代表人身份证明及授权委托书</w:t>
      </w:r>
      <w:bookmarkEnd w:id="76"/>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包响应文件、签订合同和处理有关事宜，其法律后果由我方承担。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4D69B7A7">
      <w:pPr>
        <w:rPr>
          <w:rFonts w:hint="default" w:ascii="Times New Roman" w:hAnsi="Times New Roman" w:eastAsia="黑体" w:cs="Times New Roman"/>
          <w:color w:val="auto"/>
          <w:kern w:val="2"/>
          <w:sz w:val="24"/>
          <w:szCs w:val="24"/>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77" w:name="_Toc19890"/>
      <w:r>
        <w:rPr>
          <w:rFonts w:hint="eastAsia" w:ascii="黑体" w:hAnsi="宋体" w:eastAsia="黑体" w:cs="黑体"/>
          <w:color w:val="auto"/>
          <w:kern w:val="2"/>
          <w:sz w:val="28"/>
          <w:szCs w:val="28"/>
          <w:lang w:val="en-US" w:eastAsia="zh-CN" w:bidi="ar"/>
        </w:rPr>
        <w:t>三、供应商基本情况</w:t>
      </w:r>
      <w:bookmarkEnd w:id="77"/>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0"/>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pStyle w:val="16"/>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color w:val="auto"/>
          <w:kern w:val="2"/>
          <w:sz w:val="28"/>
          <w:szCs w:val="28"/>
        </w:rPr>
      </w:pPr>
      <w:bookmarkStart w:id="78" w:name="_Toc9989"/>
      <w:r>
        <w:rPr>
          <w:rFonts w:hint="eastAsia" w:ascii="黑体" w:hAnsi="宋体" w:eastAsia="黑体" w:cs="黑体"/>
          <w:color w:val="auto"/>
          <w:kern w:val="2"/>
          <w:sz w:val="28"/>
          <w:szCs w:val="28"/>
          <w:lang w:val="en-US" w:eastAsia="zh-CN" w:bidi="ar"/>
        </w:rPr>
        <w:t>四、近年类似业绩情况</w:t>
      </w:r>
      <w:bookmarkEnd w:id="78"/>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6"/>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79" w:name="_Toc29607"/>
      <w:r>
        <w:rPr>
          <w:rFonts w:hint="eastAsia" w:ascii="黑体" w:hAnsi="宋体" w:eastAsia="黑体" w:cs="黑体"/>
          <w:color w:val="auto"/>
          <w:kern w:val="2"/>
          <w:sz w:val="28"/>
          <w:szCs w:val="28"/>
          <w:lang w:val="en-US" w:eastAsia="zh-CN" w:bidi="ar"/>
        </w:rPr>
        <w:t>五、信誉情况</w:t>
      </w:r>
      <w:bookmarkEnd w:id="79"/>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6"/>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75B93371">
      <w:pPr>
        <w:pStyle w:val="16"/>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6"/>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rPr>
      </w:pPr>
      <w:bookmarkStart w:id="80" w:name="_Toc1569"/>
      <w:r>
        <w:rPr>
          <w:rFonts w:hint="eastAsia" w:ascii="黑体" w:hAnsi="宋体" w:eastAsia="黑体" w:cs="黑体"/>
          <w:color w:val="auto"/>
          <w:kern w:val="2"/>
          <w:sz w:val="28"/>
          <w:szCs w:val="28"/>
          <w:lang w:val="en-US" w:eastAsia="zh-CN" w:bidi="ar"/>
        </w:rPr>
        <w:t>六、技术性能（质量）指标描述</w:t>
      </w:r>
    </w:p>
    <w:p w14:paraId="1E95D8F6">
      <w:pPr>
        <w:keepNext w:val="0"/>
        <w:keepLines w:val="0"/>
        <w:widowControl w:val="0"/>
        <w:suppressLineNumbers w:val="0"/>
        <w:spacing w:before="0" w:beforeLines="0" w:beforeAutospacing="0" w:after="0" w:afterLines="0" w:afterAutospacing="0" w:line="440" w:lineRule="exact"/>
        <w:ind w:left="0" w:right="0"/>
        <w:jc w:val="both"/>
        <w:rPr>
          <w:rFonts w:hint="default" w:ascii="Times New Roman" w:hAnsi="Times New Roman"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09E895D0">
      <w:pPr>
        <w:keepNext w:val="0"/>
        <w:keepLines w:val="0"/>
        <w:widowControl w:val="0"/>
        <w:suppressLineNumbers w:val="0"/>
        <w:spacing w:before="0" w:beforeLines="0" w:beforeAutospacing="0" w:after="0" w:afterLines="0" w:afterAutospacing="0" w:line="440" w:lineRule="exact"/>
        <w:ind w:left="0" w:right="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企业实力</w:t>
      </w:r>
    </w:p>
    <w:p w14:paraId="61BDD627">
      <w:pPr>
        <w:keepNext w:val="0"/>
        <w:keepLines w:val="0"/>
        <w:widowControl w:val="0"/>
        <w:suppressLineNumbers w:val="0"/>
        <w:spacing w:before="0" w:beforeLines="0" w:beforeAutospacing="0" w:after="0" w:afterLines="0" w:afterAutospacing="0" w:line="440" w:lineRule="exact"/>
        <w:ind w:left="0" w:right="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生产体系认证</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0C3A6E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EDC335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730DB3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62FF5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C722E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9B7F6F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七、供货方案</w:t>
      </w:r>
      <w:bookmarkEnd w:id="80"/>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6E7955E">
      <w:pPr>
        <w:keepNext w:val="0"/>
        <w:keepLines w:val="0"/>
        <w:widowControl w:val="0"/>
        <w:suppressLineNumbers w:val="0"/>
        <w:spacing w:before="0" w:beforeAutospacing="0" w:after="0" w:afterAutospacing="0" w:line="440" w:lineRule="exact"/>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供应商应按项目特点编制供货方案</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文字宜精炼、内容具有针对性</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EE310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4C42973B">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625C0E6D">
      <w:pPr>
        <w:spacing w:beforeLines="0" w:afterLines="0" w:line="440" w:lineRule="exact"/>
        <w:jc w:val="center"/>
        <w:outlineLvl w:val="0"/>
        <w:rPr>
          <w:rFonts w:hint="eastAsia" w:ascii="Times New Roman" w:hAnsi="Times New Roman" w:eastAsia="黑体"/>
          <w:color w:val="auto"/>
          <w:sz w:val="28"/>
          <w:szCs w:val="28"/>
        </w:rPr>
      </w:pPr>
      <w:r>
        <w:rPr>
          <w:rFonts w:hint="default" w:ascii="Times New Roman" w:hAnsi="Times New Roman" w:eastAsia="黑体" w:cs="Times New Roman"/>
          <w:color w:val="auto"/>
          <w:kern w:val="2"/>
          <w:sz w:val="28"/>
          <w:szCs w:val="28"/>
          <w:lang w:val="en-US" w:eastAsia="zh-CN" w:bidi="ar"/>
        </w:rPr>
        <w:t xml:space="preserve"> </w:t>
      </w:r>
      <w:bookmarkStart w:id="81" w:name="_Toc7941"/>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售后</w:t>
      </w:r>
      <w:r>
        <w:rPr>
          <w:rFonts w:hint="eastAsia" w:ascii="Times New Roman" w:hAnsi="Times New Roman" w:eastAsia="黑体"/>
          <w:color w:val="auto"/>
          <w:sz w:val="28"/>
          <w:szCs w:val="28"/>
        </w:rPr>
        <w:t>方案</w:t>
      </w:r>
    </w:p>
    <w:p w14:paraId="227F444B">
      <w:pPr>
        <w:spacing w:beforeLines="0" w:afterLines="0" w:line="440" w:lineRule="exact"/>
        <w:ind w:firstLine="480" w:firstLineChars="200"/>
        <w:rPr>
          <w:rFonts w:hint="eastAsia" w:ascii="Times New Roman" w:hAnsi="Times New Roman"/>
          <w:color w:val="auto"/>
          <w:sz w:val="24"/>
          <w:szCs w:val="24"/>
        </w:rPr>
      </w:pPr>
      <w:r>
        <w:rPr>
          <w:rFonts w:hint="eastAsia" w:ascii="宋体" w:hAnsi="宋体" w:cs="宋体"/>
          <w:color w:val="auto"/>
          <w:sz w:val="24"/>
          <w:szCs w:val="24"/>
          <w:lang w:bidi="ar"/>
        </w:rPr>
        <w:t>供应商应按项目特点编制供货方案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r>
        <w:rPr>
          <w:rFonts w:hint="eastAsia" w:ascii="宋体" w:hAnsi="宋体" w:cs="宋体"/>
          <w:color w:val="auto"/>
          <w:sz w:val="24"/>
          <w:szCs w:val="24"/>
          <w:lang w:bidi="ar"/>
        </w:rPr>
        <w:t>。</w:t>
      </w:r>
    </w:p>
    <w:p w14:paraId="0399ACD9">
      <w:pPr>
        <w:spacing w:beforeLines="0" w:afterLines="0" w:line="440" w:lineRule="exact"/>
        <w:jc w:val="center"/>
        <w:outlineLvl w:val="0"/>
        <w:rPr>
          <w:rFonts w:hint="eastAsia" w:ascii="Times New Roman" w:hAnsi="Times New Roman" w:eastAsia="黑体"/>
          <w:color w:val="auto"/>
          <w:sz w:val="28"/>
          <w:szCs w:val="28"/>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81"/>
    <w:p w14:paraId="735BEFF5">
      <w:pPr>
        <w:spacing w:beforeLines="0" w:afterLines="0" w:line="440" w:lineRule="exact"/>
        <w:rPr>
          <w:rFonts w:hint="eastAsia" w:ascii="Times New Roman" w:hAnsi="Times New Roman" w:eastAsia="Times New Roman"/>
          <w:color w:val="auto"/>
          <w:sz w:val="20"/>
          <w:szCs w:val="20"/>
        </w:rPr>
      </w:pPr>
    </w:p>
    <w:p w14:paraId="039EC7DC">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52E8D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5DC3760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2" w:name="_Toc30485"/>
      <w:r>
        <w:rPr>
          <w:rFonts w:hint="eastAsia" w:ascii="黑体" w:hAnsi="宋体" w:eastAsia="黑体" w:cs="黑体"/>
          <w:color w:val="auto"/>
          <w:kern w:val="2"/>
          <w:sz w:val="28"/>
          <w:szCs w:val="28"/>
          <w:lang w:val="en-US" w:eastAsia="zh-CN" w:bidi="ar"/>
        </w:rPr>
        <w:t>九、承诺书</w:t>
      </w:r>
      <w:bookmarkEnd w:id="82"/>
    </w:p>
    <w:p w14:paraId="0D42E53B">
      <w:pPr>
        <w:pStyle w:val="16"/>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 xml:space="preserve">                    </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Times New Roman" w:hAnsi="Times New Roman" w:eastAsia="宋体" w:cs="Times New Roman"/>
          <w:color w:val="auto"/>
          <w:kern w:val="2"/>
          <w:sz w:val="24"/>
          <w:szCs w:val="24"/>
          <w:u w:val="none"/>
          <w:lang w:val="en-US" w:eastAsia="zh-CN" w:bidi="ar"/>
        </w:rPr>
        <w:t>包</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法定代表人或其委托代理人：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89FC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03EE9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网址：</w:t>
      </w:r>
      <w:r>
        <w:rPr>
          <w:rFonts w:hint="default" w:ascii="Times New Roman" w:hAnsi="Times New Roman" w:eastAsia="宋体" w:cs="Times New Roman"/>
          <w:color w:val="auto"/>
          <w:kern w:val="2"/>
          <w:sz w:val="24"/>
          <w:szCs w:val="24"/>
          <w:u w:val="single"/>
          <w:lang w:val="en-US" w:eastAsia="zh-CN" w:bidi="ar"/>
        </w:rPr>
        <w:t xml:space="preserve">                                 </w:t>
      </w:r>
    </w:p>
    <w:p w14:paraId="30F1A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电话：</w:t>
      </w:r>
      <w:r>
        <w:rPr>
          <w:rFonts w:hint="default" w:ascii="Times New Roman" w:hAnsi="Times New Roman" w:eastAsia="宋体" w:cs="Times New Roman"/>
          <w:color w:val="auto"/>
          <w:kern w:val="2"/>
          <w:sz w:val="24"/>
          <w:szCs w:val="24"/>
          <w:u w:val="single"/>
          <w:lang w:val="en-US" w:eastAsia="zh-CN" w:bidi="ar"/>
        </w:rPr>
        <w:t xml:space="preserve">                                 </w:t>
      </w:r>
    </w:p>
    <w:p w14:paraId="3C527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传真：</w:t>
      </w:r>
      <w:r>
        <w:rPr>
          <w:rFonts w:hint="default" w:ascii="Times New Roman" w:hAnsi="Times New Roman" w:eastAsia="宋体" w:cs="Times New Roman"/>
          <w:color w:val="auto"/>
          <w:kern w:val="2"/>
          <w:sz w:val="24"/>
          <w:szCs w:val="24"/>
          <w:u w:val="single"/>
          <w:lang w:val="en-US" w:eastAsia="zh-CN" w:bidi="ar"/>
        </w:rPr>
        <w:t xml:space="preserve">                                 </w:t>
      </w:r>
    </w:p>
    <w:p w14:paraId="68AB4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邮政编码：</w:t>
      </w:r>
      <w:r>
        <w:rPr>
          <w:rFonts w:hint="default" w:ascii="Times New Roman" w:hAnsi="Times New Roman" w:eastAsia="宋体" w:cs="Times New Roman"/>
          <w:color w:val="auto"/>
          <w:kern w:val="2"/>
          <w:sz w:val="24"/>
          <w:szCs w:val="24"/>
          <w:u w:val="single"/>
          <w:lang w:val="en-US" w:eastAsia="zh-CN" w:bidi="ar"/>
        </w:rPr>
        <w:t xml:space="preserve">                             </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748F70FD">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3" w:name="_Toc2975"/>
      <w:r>
        <w:rPr>
          <w:rFonts w:hint="eastAsia" w:ascii="黑体" w:hAnsi="宋体" w:eastAsia="黑体" w:cs="黑体"/>
          <w:color w:val="auto"/>
          <w:kern w:val="2"/>
          <w:sz w:val="28"/>
          <w:szCs w:val="28"/>
          <w:lang w:val="en-US" w:eastAsia="zh-CN" w:bidi="ar"/>
        </w:rPr>
        <w:t>十、其他材料</w:t>
      </w:r>
      <w:bookmarkEnd w:id="83"/>
    </w:p>
    <w:p w14:paraId="1698877D">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601F193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50"/>
          <w:szCs w:val="50"/>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r>
        <w:rPr>
          <w:rFonts w:hint="eastAsia" w:ascii="方正小标宋简体" w:hAnsi="方正小标宋简体" w:eastAsia="方正小标宋简体" w:cs="方正小标宋简体"/>
          <w:kern w:val="2"/>
          <w:sz w:val="44"/>
          <w:szCs w:val="44"/>
          <w:u w:val="single"/>
          <w:lang w:val="en-US" w:eastAsia="zh-CN"/>
        </w:rPr>
        <w:t xml:space="preserve">    </w:t>
      </w:r>
      <w:r>
        <w:rPr>
          <w:rFonts w:hint="eastAsia" w:ascii="方正小标宋简体" w:hAnsi="方正小标宋简体" w:eastAsia="方正小标宋简体" w:cs="方正小标宋简体"/>
          <w:kern w:val="2"/>
          <w:sz w:val="44"/>
          <w:szCs w:val="44"/>
          <w:u w:val="none"/>
          <w:lang w:val="en-US" w:eastAsia="zh-CN"/>
        </w:rPr>
        <w:t>包</w:t>
      </w:r>
      <w:r>
        <w:rPr>
          <w:rFonts w:hint="default" w:ascii="Times New Roman" w:hAnsi="Times New Roman" w:eastAsia="黑体" w:cs="Times New Roman"/>
          <w:kern w:val="2"/>
          <w:sz w:val="50"/>
          <w:szCs w:val="50"/>
          <w:u w:val="none"/>
          <w:lang w:val="en-US" w:eastAsia="zh-CN" w:bidi="ar"/>
        </w:rPr>
        <w:t xml:space="preserve"> </w:t>
      </w:r>
    </w:p>
    <w:p w14:paraId="3C6DF528">
      <w:pPr>
        <w:jc w:val="both"/>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84" w:name="_Toc2786"/>
      <w:r>
        <w:rPr>
          <w:rFonts w:ascii="Times New Roman" w:hAnsi="Times New Roman" w:eastAsia="黑体" w:cs="Times New Roman"/>
          <w:color w:val="auto"/>
          <w:sz w:val="50"/>
          <w:szCs w:val="50"/>
        </w:rPr>
        <w:t>响  应  文  件</w:t>
      </w:r>
      <w:bookmarkEnd w:id="84"/>
    </w:p>
    <w:p w14:paraId="7382D764">
      <w:pPr>
        <w:pStyle w:val="19"/>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19"/>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19"/>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jc w:val="center"/>
        <w:outlineLvl w:val="1"/>
        <w:rPr>
          <w:rFonts w:hint="eastAsia" w:ascii="Times New Roman" w:hAnsi="Times New Roman" w:eastAsia="黑体" w:cs="Times New Roman"/>
          <w:color w:val="auto"/>
          <w:sz w:val="28"/>
          <w:szCs w:val="28"/>
          <w:lang w:eastAsia="zh-CN"/>
        </w:rPr>
      </w:pPr>
      <w:bookmarkStart w:id="85" w:name="_Toc24269_WPSOffice_Level1"/>
      <w:bookmarkStart w:id="86" w:name="_Toc29968"/>
      <w:bookmarkStart w:id="87" w:name="_Toc8703"/>
      <w:bookmarkStart w:id="88" w:name="_Toc30031_WPSOffice_Level1"/>
      <w:bookmarkStart w:id="89" w:name="_Toc1924"/>
      <w:bookmarkStart w:id="90" w:name="_Toc11805_WPSOffice_Level1"/>
      <w:bookmarkStart w:id="91" w:name="_Toc1687_WPSOffice_Level1"/>
      <w:bookmarkStart w:id="92" w:name="_Toc18312_WPSOffice_Level1"/>
      <w:bookmarkStart w:id="93" w:name="_Toc29399_WPSOffice_Level1"/>
      <w:bookmarkStart w:id="94" w:name="_Toc23583"/>
      <w:bookmarkStart w:id="95" w:name="_Toc2765_WPSOffice_Level1"/>
      <w:bookmarkStart w:id="96" w:name="_Toc15092"/>
      <w:r>
        <w:rPr>
          <w:rFonts w:ascii="Times New Roman" w:hAnsi="Times New Roman" w:eastAsia="黑体" w:cs="Times New Roman"/>
          <w:color w:val="auto"/>
          <w:sz w:val="28"/>
          <w:szCs w:val="28"/>
        </w:rPr>
        <w:t>一、</w:t>
      </w:r>
      <w:bookmarkEnd w:id="85"/>
      <w:bookmarkEnd w:id="86"/>
      <w:bookmarkEnd w:id="87"/>
      <w:bookmarkEnd w:id="88"/>
      <w:bookmarkEnd w:id="89"/>
      <w:bookmarkEnd w:id="90"/>
      <w:bookmarkEnd w:id="91"/>
      <w:bookmarkEnd w:id="92"/>
      <w:bookmarkEnd w:id="93"/>
      <w:bookmarkEnd w:id="94"/>
      <w:bookmarkEnd w:id="95"/>
      <w:bookmarkEnd w:id="96"/>
      <w:r>
        <w:rPr>
          <w:rFonts w:hint="eastAsia" w:ascii="Times New Roman" w:hAnsi="Times New Roman" w:eastAsia="黑体" w:cs="Times New Roman"/>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(采购人名称)：</w:t>
      </w:r>
    </w:p>
    <w:p w14:paraId="1D13F3E4">
      <w:pPr>
        <w:pStyle w:val="2"/>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2"/>
        <w:rPr>
          <w:rFonts w:hint="eastAsia" w:ascii="Times New Roman" w:hAnsi="Times New Roman" w:cs="Times New Roman"/>
          <w:color w:val="auto"/>
          <w:sz w:val="24"/>
        </w:rPr>
      </w:pPr>
    </w:p>
    <w:p w14:paraId="2564B337">
      <w:pPr>
        <w:pStyle w:val="32"/>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签名</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19"/>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2"/>
        <w:rPr>
          <w:color w:val="auto"/>
        </w:rPr>
      </w:pPr>
    </w:p>
    <w:p w14:paraId="3659ED9B">
      <w:pPr>
        <w:pStyle w:val="19"/>
        <w:rPr>
          <w:rFonts w:ascii="Times New Roman" w:hAnsi="Times New Roman" w:cs="Times New Roman"/>
          <w:color w:val="auto"/>
          <w:sz w:val="24"/>
        </w:rPr>
      </w:pPr>
    </w:p>
    <w:p w14:paraId="0B9FD6BB">
      <w:pPr>
        <w:adjustRightInd w:val="0"/>
        <w:snapToGrid w:val="0"/>
        <w:jc w:val="center"/>
        <w:outlineLvl w:val="1"/>
        <w:rPr>
          <w:rFonts w:ascii="Times New Roman" w:hAnsi="Times New Roman" w:eastAsia="华文中宋" w:cs="Times New Roman"/>
          <w:b/>
          <w:bCs/>
          <w:color w:val="auto"/>
          <w:sz w:val="28"/>
          <w:szCs w:val="28"/>
        </w:rPr>
      </w:pPr>
      <w:bookmarkStart w:id="97" w:name="_Toc272486050"/>
      <w:bookmarkStart w:id="98" w:name="_Toc162490440"/>
      <w:bookmarkStart w:id="99" w:name="_Toc153421230"/>
      <w:r>
        <w:rPr>
          <w:rFonts w:ascii="Times New Roman" w:hAnsi="Times New Roman" w:eastAsia="华文中宋" w:cs="Times New Roman"/>
          <w:b/>
          <w:color w:val="auto"/>
          <w:sz w:val="24"/>
        </w:rPr>
        <w:t>二、</w:t>
      </w:r>
      <w:bookmarkEnd w:id="97"/>
      <w:bookmarkEnd w:id="98"/>
      <w:bookmarkEnd w:id="99"/>
      <w:r>
        <w:rPr>
          <w:rFonts w:ascii="Times New Roman" w:hAnsi="Times New Roman" w:eastAsia="华文中宋" w:cs="Times New Roman"/>
          <w:b/>
          <w:bCs/>
          <w:color w:val="auto"/>
          <w:sz w:val="28"/>
          <w:szCs w:val="28"/>
        </w:rPr>
        <w:t>已标价</w:t>
      </w:r>
      <w:r>
        <w:rPr>
          <w:rFonts w:hint="eastAsia" w:ascii="Times New Roman" w:hAnsi="Times New Roman" w:eastAsia="华文中宋" w:cs="Times New Roman"/>
          <w:b/>
          <w:bCs/>
          <w:color w:val="auto"/>
          <w:sz w:val="28"/>
          <w:szCs w:val="28"/>
        </w:rPr>
        <w:t>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w:t>
      </w:r>
      <w:r>
        <w:rPr>
          <w:rFonts w:hint="eastAsia" w:ascii="宋体" w:hAnsi="宋体"/>
          <w:color w:val="auto"/>
          <w:szCs w:val="21"/>
          <w:highlight w:val="none"/>
          <w:u w:val="none"/>
          <w:lang w:val="en-US" w:eastAsia="zh-CN"/>
        </w:rPr>
        <w:t>安装费、</w:t>
      </w:r>
      <w:bookmarkStart w:id="100" w:name="_GoBack"/>
      <w:bookmarkEnd w:id="100"/>
      <w:r>
        <w:rPr>
          <w:rFonts w:hint="eastAsia" w:ascii="宋体" w:hAnsi="宋体"/>
          <w:color w:val="auto"/>
          <w:szCs w:val="21"/>
          <w:highlight w:val="none"/>
          <w:u w:val="none"/>
        </w:rPr>
        <w:t>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70026314">
      <w:pPr>
        <w:bidi w:val="0"/>
        <w:rPr>
          <w:rFonts w:hint="eastAsia"/>
          <w:color w:val="auto"/>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406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color w:val="auto"/>
                <w:lang w:val="en-US" w:eastAsia="zh-CN"/>
              </w:rPr>
            </w:pPr>
            <w:r>
              <w:rPr>
                <w:rFonts w:hint="eastAsia"/>
                <w:color w:val="auto"/>
                <w:highlight w:val="none"/>
                <w:lang w:val="en-US" w:eastAsia="zh-CN"/>
              </w:rPr>
              <w:t>木门采购项目</w:t>
            </w:r>
          </w:p>
        </w:tc>
        <w:tc>
          <w:tcPr>
            <w:tcW w:w="192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406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lang w:val="en-US" w:eastAsia="zh-CN"/>
              </w:rPr>
              <w:t>合计</w:t>
            </w:r>
          </w:p>
        </w:tc>
        <w:tc>
          <w:tcPr>
            <w:tcW w:w="192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04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color w:val="auto"/>
          <w:lang w:val="en-US" w:eastAsia="zh-CN"/>
        </w:rPr>
      </w:pPr>
    </w:p>
    <w:p w14:paraId="581676FD">
      <w:pPr>
        <w:pStyle w:val="18"/>
        <w:rPr>
          <w:rFonts w:hint="eastAsia"/>
          <w:color w:val="auto"/>
          <w:lang w:val="en-US" w:eastAsia="zh-CN"/>
        </w:rPr>
      </w:pPr>
    </w:p>
    <w:p w14:paraId="71D1A16A">
      <w:pPr>
        <w:pStyle w:val="18"/>
        <w:rPr>
          <w:rFonts w:hint="eastAsia"/>
          <w:color w:val="auto"/>
          <w:lang w:val="en-US" w:eastAsia="zh-CN"/>
        </w:rPr>
      </w:pPr>
    </w:p>
    <w:p w14:paraId="4BB2DBFD">
      <w:pPr>
        <w:pStyle w:val="18"/>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上述费用包括货物的原材料、生产、包装、运输、保险、</w:t>
      </w:r>
      <w:r>
        <w:rPr>
          <w:rFonts w:hint="eastAsia" w:ascii="宋体" w:hAnsi="宋体" w:cs="宋体"/>
          <w:b w:val="0"/>
          <w:bCs/>
          <w:color w:val="auto"/>
          <w:sz w:val="24"/>
          <w:lang w:val="en-US" w:eastAsia="zh-CN"/>
        </w:rPr>
        <w:t>卸货叉车费（如有）、</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安装费、卸车费、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bCs w:val="0"/>
          <w:color w:val="auto"/>
          <w:sz w:val="24"/>
          <w:highlight w:val="none"/>
          <w:lang w:val="en-US" w:eastAsia="zh-CN"/>
        </w:rPr>
        <w:t>涉及木门检测复试费用均由供应商承担，抽检频率和批次按国家、行业标准或甲方要求执行。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4.木门须在包装外壁醒目位置及卷材上永久性标示生产厂家、生产批次、品牌标志、规格型号、唯一性可追溯性编码标识（如二维码）等信息。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5.木门供货进度应满足采购人工程进度分批次实施的安排和要求，中标人应充分理解并全力配合采购人的木门采购、进场工作，并承担因送货次数增加而引起的运输成本增加等相应风险。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木门质量负总责，材料进场应按程序履行报验、交接手续；因木门质量问题，将视作违约，中标人须赔偿由此造成返工的全部工程建设费用及其他一切损失，同时由采购人追究中标人的违约责任，情节严重的，依法追究相关责任。</w:t>
      </w:r>
    </w:p>
    <w:p w14:paraId="6E46E437">
      <w:pPr>
        <w:pStyle w:val="12"/>
        <w:adjustRightInd w:val="0"/>
        <w:snapToGrid w:val="0"/>
        <w:jc w:val="center"/>
        <w:rPr>
          <w:rFonts w:ascii="Times New Roman" w:hAnsi="Times New Roman" w:cs="Times New Roman"/>
          <w:color w:val="auto"/>
        </w:rPr>
      </w:pPr>
    </w:p>
    <w:p w14:paraId="4D6E4DEF">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1477DFDA">
      <w:pPr>
        <w:pStyle w:val="12"/>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Times New Roman" w:hAnsi="Times New Roman" w:eastAsia="华文中宋" w:cs="Times New Roman"/>
          <w:b/>
          <w:smallCaps/>
          <w:color w:val="auto"/>
          <w:sz w:val="24"/>
          <w:szCs w:val="24"/>
          <w:highlight w:val="yellow"/>
          <w:lang w:val="en-US" w:eastAsia="zh-CN"/>
        </w:rPr>
        <w:t>后附报价清单</w:t>
      </w:r>
    </w:p>
    <w:p w14:paraId="133742F3">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5D16C7CF">
      <w:pPr>
        <w:pStyle w:val="12"/>
        <w:adjustRightInd w:val="0"/>
        <w:snapToGrid w:val="0"/>
        <w:jc w:val="center"/>
        <w:outlineLvl w:val="1"/>
        <w:rPr>
          <w:rFonts w:ascii="Times New Roman" w:hAnsi="Times New Roman" w:eastAsia="华文中宋" w:cs="Times New Roman"/>
          <w:b/>
          <w:color w:val="auto"/>
          <w:sz w:val="24"/>
          <w:szCs w:val="24"/>
        </w:rPr>
      </w:pPr>
      <w:r>
        <w:rPr>
          <w:rFonts w:ascii="Times New Roman" w:hAnsi="Times New Roman" w:eastAsia="华文中宋" w:cs="Times New Roman"/>
          <w:b/>
          <w:smallCaps/>
          <w:color w:val="auto"/>
          <w:sz w:val="24"/>
          <w:szCs w:val="24"/>
        </w:rPr>
        <w:t>三、</w:t>
      </w:r>
      <w:r>
        <w:rPr>
          <w:rFonts w:hint="eastAsia" w:ascii="Times New Roman" w:hAnsi="Times New Roman" w:eastAsia="华文中宋" w:cs="Times New Roman"/>
          <w:b/>
          <w:smallCaps/>
          <w:color w:val="auto"/>
          <w:sz w:val="24"/>
          <w:szCs w:val="24"/>
          <w:lang w:eastAsia="zh-CN"/>
        </w:rPr>
        <w:t>响应</w:t>
      </w:r>
      <w:r>
        <w:rPr>
          <w:rFonts w:ascii="Times New Roman" w:hAnsi="Times New Roman" w:eastAsia="华文中宋" w:cs="Times New Roman"/>
          <w:b/>
          <w:color w:val="auto"/>
          <w:sz w:val="24"/>
          <w:szCs w:val="24"/>
        </w:rPr>
        <w:t>报价需要说明的其他资料</w:t>
      </w:r>
    </w:p>
    <w:p w14:paraId="08CAB758">
      <w:pPr>
        <w:adjustRightInd w:val="0"/>
        <w:snapToGrid w:val="0"/>
        <w:ind w:firstLine="480" w:firstLineChars="200"/>
        <w:jc w:val="center"/>
        <w:rPr>
          <w:rFonts w:ascii="Times New Roman" w:hAnsi="Times New Roman" w:cs="Times New Roman"/>
          <w:color w:val="auto"/>
          <w:sz w:val="24"/>
        </w:rPr>
      </w:pPr>
      <w:r>
        <w:rPr>
          <w:rFonts w:hint="eastAsia" w:ascii="Times New Roman" w:hAnsi="Times New Roman" w:cs="Times New Roman"/>
          <w:color w:val="auto"/>
          <w:sz w:val="24"/>
          <w:lang w:eastAsia="zh-CN"/>
        </w:rPr>
        <w:t>响应</w:t>
      </w:r>
      <w:r>
        <w:rPr>
          <w:rFonts w:ascii="Times New Roman" w:hAnsi="Times New Roman" w:cs="Times New Roman"/>
          <w:color w:val="auto"/>
          <w:sz w:val="24"/>
        </w:rPr>
        <w:t>单位认为需对其</w:t>
      </w:r>
      <w:r>
        <w:rPr>
          <w:rFonts w:hint="eastAsia" w:ascii="Times New Roman" w:hAnsi="Times New Roman" w:cs="Times New Roman"/>
          <w:color w:val="auto"/>
          <w:sz w:val="24"/>
          <w:lang w:eastAsia="zh-CN"/>
        </w:rPr>
        <w:t>响应</w:t>
      </w:r>
      <w:r>
        <w:rPr>
          <w:rFonts w:ascii="Times New Roman" w:hAnsi="Times New Roman" w:cs="Times New Roman"/>
          <w:color w:val="auto"/>
          <w:sz w:val="24"/>
        </w:rPr>
        <w:t>报价进行其他补充说明及证明材料</w:t>
      </w:r>
    </w:p>
    <w:p w14:paraId="34C21B0D">
      <w:pPr>
        <w:pStyle w:val="19"/>
        <w:rPr>
          <w:rFonts w:ascii="Times New Roman" w:hAnsi="Times New Roman" w:cs="Times New Roman"/>
          <w:color w:val="auto"/>
          <w:sz w:val="24"/>
        </w:rPr>
      </w:pPr>
    </w:p>
    <w:p w14:paraId="5934982E">
      <w:pPr>
        <w:rPr>
          <w:rFonts w:ascii="Times New Roman" w:hAnsi="Times New Roman" w:cs="Times New Roman"/>
          <w:color w:val="auto"/>
          <w:sz w:val="24"/>
        </w:rPr>
      </w:pPr>
    </w:p>
    <w:p w14:paraId="18EDBFB3">
      <w:pPr>
        <w:pStyle w:val="19"/>
        <w:rPr>
          <w:rFonts w:ascii="Times New Roman" w:hAnsi="Times New Roman" w:cs="Times New Roman"/>
          <w:color w:val="auto"/>
          <w:sz w:val="24"/>
        </w:rPr>
      </w:pPr>
    </w:p>
    <w:p w14:paraId="1D66B5E8">
      <w:pPr>
        <w:rPr>
          <w:rFonts w:ascii="Times New Roman" w:hAnsi="Times New Roman" w:cs="Times New Roman"/>
          <w:color w:val="auto"/>
          <w:sz w:val="24"/>
        </w:rPr>
      </w:pPr>
    </w:p>
    <w:p w14:paraId="2ADE3158">
      <w:pPr>
        <w:pStyle w:val="19"/>
        <w:rPr>
          <w:rFonts w:ascii="Times New Roman" w:hAnsi="Times New Roman" w:cs="Times New Roman"/>
          <w:color w:val="auto"/>
          <w:sz w:val="24"/>
        </w:rPr>
      </w:pPr>
    </w:p>
    <w:p w14:paraId="5EEABA31">
      <w:pPr>
        <w:rPr>
          <w:rFonts w:ascii="Times New Roman" w:hAnsi="Times New Roman" w:cs="Times New Roman"/>
          <w:color w:val="auto"/>
          <w:sz w:val="24"/>
        </w:rPr>
      </w:pPr>
    </w:p>
    <w:p w14:paraId="41A5DB6C">
      <w:pPr>
        <w:pStyle w:val="19"/>
        <w:rPr>
          <w:rFonts w:ascii="Times New Roman" w:hAnsi="Times New Roman" w:cs="Times New Roman"/>
          <w:color w:val="auto"/>
          <w:sz w:val="24"/>
        </w:rPr>
      </w:pPr>
    </w:p>
    <w:p w14:paraId="2715B041">
      <w:pPr>
        <w:rPr>
          <w:rFonts w:ascii="Times New Roman" w:hAnsi="Times New Roman" w:cs="Times New Roman"/>
          <w:color w:val="auto"/>
          <w:sz w:val="24"/>
        </w:rPr>
      </w:pPr>
    </w:p>
    <w:p w14:paraId="334913F0">
      <w:pPr>
        <w:pStyle w:val="32"/>
        <w:rPr>
          <w:rFonts w:ascii="Times New Roman" w:hAnsi="Times New Roman" w:cs="Times New Roman"/>
          <w:color w:val="auto"/>
          <w:sz w:val="24"/>
        </w:rPr>
      </w:pPr>
    </w:p>
    <w:p w14:paraId="0C1676CE">
      <w:pPr>
        <w:rPr>
          <w:rFonts w:hint="eastAsia"/>
          <w:b/>
          <w:bCs/>
          <w:color w:val="auto"/>
          <w:sz w:val="28"/>
          <w:szCs w:val="28"/>
          <w:lang w:val="en-US" w:eastAsia="zh-CN"/>
        </w:rPr>
      </w:pPr>
    </w:p>
    <w:p w14:paraId="28FC1CAC">
      <w:pPr>
        <w:pStyle w:val="18"/>
        <w:rPr>
          <w:rFonts w:hint="eastAsia"/>
          <w:color w:val="auto"/>
          <w:lang w:val="en-US" w:eastAsia="zh-CN"/>
        </w:rPr>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9C9">
    <w:pPr>
      <w:pStyle w:val="13"/>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37B6">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6537B6">
                    <w:pPr>
                      <w:pStyle w:val="13"/>
                    </w:pPr>
                    <w:r>
                      <w:fldChar w:fldCharType="begin"/>
                    </w:r>
                    <w:r>
                      <w:instrText xml:space="preserve"> PAGE  \* MERGEFORMAT </w:instrText>
                    </w:r>
                    <w:r>
                      <w:fldChar w:fldCharType="separate"/>
                    </w:r>
                    <w:r>
                      <w:t>2</w:t>
                    </w:r>
                    <w:r>
                      <w:fldChar w:fldCharType="end"/>
                    </w:r>
                  </w:p>
                </w:txbxContent>
              </v:textbox>
            </v:shape>
          </w:pict>
        </mc:Fallback>
      </mc:AlternateContent>
    </w:r>
  </w:p>
  <w:p w14:paraId="52D9D5ED">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3"/>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3"/>
                    </w:pPr>
                    <w:r>
                      <w:fldChar w:fldCharType="begin"/>
                    </w:r>
                    <w:r>
                      <w:instrText xml:space="preserve"> PAGE  \* MERGEFORMAT </w:instrText>
                    </w:r>
                    <w:r>
                      <w:fldChar w:fldCharType="separate"/>
                    </w:r>
                    <w:r>
                      <w:t>3</w:t>
                    </w:r>
                    <w:r>
                      <w:fldChar w:fldCharType="end"/>
                    </w:r>
                  </w:p>
                </w:txbxContent>
              </v:textbox>
            </v:shape>
          </w:pict>
        </mc:Fallback>
      </mc:AlternateContent>
    </w:r>
  </w:p>
  <w:p w14:paraId="1A0C7666">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7CC1">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7825E">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D7825E">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65EA">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3"/>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4FE0">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87EA">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2E95D47B"/>
    <w:multiLevelType w:val="singleLevel"/>
    <w:tmpl w:val="2E95D47B"/>
    <w:lvl w:ilvl="0" w:tentative="0">
      <w:start w:val="1"/>
      <w:numFmt w:val="decimal"/>
      <w:pStyle w:val="6"/>
      <w:suff w:val="nothing"/>
      <w:lvlText w:val="%1．"/>
      <w:lvlJc w:val="left"/>
      <w:pPr>
        <w:ind w:left="17"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C6E94"/>
    <w:rsid w:val="00950240"/>
    <w:rsid w:val="00A15DCF"/>
    <w:rsid w:val="00D704DB"/>
    <w:rsid w:val="00E30FAC"/>
    <w:rsid w:val="00E8570D"/>
    <w:rsid w:val="010A3C11"/>
    <w:rsid w:val="010E69FF"/>
    <w:rsid w:val="017D7CB0"/>
    <w:rsid w:val="0211370D"/>
    <w:rsid w:val="022655F4"/>
    <w:rsid w:val="023E3C6A"/>
    <w:rsid w:val="0286092F"/>
    <w:rsid w:val="028D5673"/>
    <w:rsid w:val="02C26D91"/>
    <w:rsid w:val="02D346A3"/>
    <w:rsid w:val="02DF3606"/>
    <w:rsid w:val="02F05C02"/>
    <w:rsid w:val="0371289F"/>
    <w:rsid w:val="038863C7"/>
    <w:rsid w:val="03A9557F"/>
    <w:rsid w:val="03F914B2"/>
    <w:rsid w:val="04230E30"/>
    <w:rsid w:val="042516B9"/>
    <w:rsid w:val="042F2C67"/>
    <w:rsid w:val="045E338A"/>
    <w:rsid w:val="047010F6"/>
    <w:rsid w:val="04701D1E"/>
    <w:rsid w:val="04E034BC"/>
    <w:rsid w:val="054416D2"/>
    <w:rsid w:val="05AF29EE"/>
    <w:rsid w:val="05D2339D"/>
    <w:rsid w:val="05F62696"/>
    <w:rsid w:val="05F94BA8"/>
    <w:rsid w:val="060774EA"/>
    <w:rsid w:val="06341F34"/>
    <w:rsid w:val="068727A0"/>
    <w:rsid w:val="07063EDC"/>
    <w:rsid w:val="071432F2"/>
    <w:rsid w:val="073835B2"/>
    <w:rsid w:val="076958CF"/>
    <w:rsid w:val="07A31864"/>
    <w:rsid w:val="07AF3996"/>
    <w:rsid w:val="080B2B96"/>
    <w:rsid w:val="081D6FC0"/>
    <w:rsid w:val="08412974"/>
    <w:rsid w:val="0881185D"/>
    <w:rsid w:val="08907C6B"/>
    <w:rsid w:val="08E91129"/>
    <w:rsid w:val="09187C60"/>
    <w:rsid w:val="091A677A"/>
    <w:rsid w:val="09210464"/>
    <w:rsid w:val="096867B1"/>
    <w:rsid w:val="09B13FF7"/>
    <w:rsid w:val="0A2E7496"/>
    <w:rsid w:val="0A466107"/>
    <w:rsid w:val="0A64315D"/>
    <w:rsid w:val="0A941F2B"/>
    <w:rsid w:val="0AAD73BC"/>
    <w:rsid w:val="0AB84C95"/>
    <w:rsid w:val="0AED0915"/>
    <w:rsid w:val="0AF3003D"/>
    <w:rsid w:val="0B286939"/>
    <w:rsid w:val="0B416FFB"/>
    <w:rsid w:val="0BA10DDD"/>
    <w:rsid w:val="0BB2614A"/>
    <w:rsid w:val="0BC86369"/>
    <w:rsid w:val="0BCC3D77"/>
    <w:rsid w:val="0BDD422F"/>
    <w:rsid w:val="0C024903"/>
    <w:rsid w:val="0C126BE9"/>
    <w:rsid w:val="0C425774"/>
    <w:rsid w:val="0C433DD8"/>
    <w:rsid w:val="0CB62B1E"/>
    <w:rsid w:val="0D604989"/>
    <w:rsid w:val="0D676CED"/>
    <w:rsid w:val="0DBD0BDC"/>
    <w:rsid w:val="0DC42165"/>
    <w:rsid w:val="0DE02F17"/>
    <w:rsid w:val="0E436CA2"/>
    <w:rsid w:val="0EA07AC2"/>
    <w:rsid w:val="0EB73ADA"/>
    <w:rsid w:val="0EBA46A3"/>
    <w:rsid w:val="0EBB2DAD"/>
    <w:rsid w:val="0ED411DA"/>
    <w:rsid w:val="0F531ACB"/>
    <w:rsid w:val="0F6F4854"/>
    <w:rsid w:val="0F9D4A1B"/>
    <w:rsid w:val="0F9F0794"/>
    <w:rsid w:val="0FB568C1"/>
    <w:rsid w:val="0FBE1FCA"/>
    <w:rsid w:val="0FD41FBD"/>
    <w:rsid w:val="0FD4370B"/>
    <w:rsid w:val="101A751A"/>
    <w:rsid w:val="103E486A"/>
    <w:rsid w:val="106D5B52"/>
    <w:rsid w:val="1090350E"/>
    <w:rsid w:val="10944070"/>
    <w:rsid w:val="10A6372F"/>
    <w:rsid w:val="10DA535D"/>
    <w:rsid w:val="10F863AD"/>
    <w:rsid w:val="110D2AFF"/>
    <w:rsid w:val="112131E2"/>
    <w:rsid w:val="11681ED6"/>
    <w:rsid w:val="119C482A"/>
    <w:rsid w:val="11C6025A"/>
    <w:rsid w:val="11DF30C9"/>
    <w:rsid w:val="11F528ED"/>
    <w:rsid w:val="11FD4CD5"/>
    <w:rsid w:val="129325F3"/>
    <w:rsid w:val="12983425"/>
    <w:rsid w:val="12FA3B2F"/>
    <w:rsid w:val="13431F92"/>
    <w:rsid w:val="13955E86"/>
    <w:rsid w:val="13C13BEB"/>
    <w:rsid w:val="13D604FC"/>
    <w:rsid w:val="13E11194"/>
    <w:rsid w:val="13EC1865"/>
    <w:rsid w:val="144A391D"/>
    <w:rsid w:val="14B7657F"/>
    <w:rsid w:val="14CE63E8"/>
    <w:rsid w:val="150E5893"/>
    <w:rsid w:val="15133F2C"/>
    <w:rsid w:val="15AF385B"/>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772E3"/>
    <w:rsid w:val="1D3F5364"/>
    <w:rsid w:val="1D9C6C71"/>
    <w:rsid w:val="1DC0096E"/>
    <w:rsid w:val="1DD02C25"/>
    <w:rsid w:val="1DFB32CC"/>
    <w:rsid w:val="1E085F02"/>
    <w:rsid w:val="1E764DB5"/>
    <w:rsid w:val="1E7E7378"/>
    <w:rsid w:val="1EEE0DF0"/>
    <w:rsid w:val="1F0529C7"/>
    <w:rsid w:val="1F091FF2"/>
    <w:rsid w:val="1F8615BF"/>
    <w:rsid w:val="1F93095F"/>
    <w:rsid w:val="1FB449F5"/>
    <w:rsid w:val="1FC01B05"/>
    <w:rsid w:val="1FE64151"/>
    <w:rsid w:val="1FEA7927"/>
    <w:rsid w:val="20220D88"/>
    <w:rsid w:val="202D724A"/>
    <w:rsid w:val="20432E03"/>
    <w:rsid w:val="20703AC9"/>
    <w:rsid w:val="20CE5700"/>
    <w:rsid w:val="20CE712B"/>
    <w:rsid w:val="20E701EC"/>
    <w:rsid w:val="21366A7E"/>
    <w:rsid w:val="21EC1864"/>
    <w:rsid w:val="2211172D"/>
    <w:rsid w:val="222F5C4D"/>
    <w:rsid w:val="22456F98"/>
    <w:rsid w:val="22853AE2"/>
    <w:rsid w:val="22886585"/>
    <w:rsid w:val="22A243CB"/>
    <w:rsid w:val="23610B8C"/>
    <w:rsid w:val="23767E36"/>
    <w:rsid w:val="241155A9"/>
    <w:rsid w:val="241D716E"/>
    <w:rsid w:val="244412FB"/>
    <w:rsid w:val="2472524B"/>
    <w:rsid w:val="24BB5C18"/>
    <w:rsid w:val="253902A6"/>
    <w:rsid w:val="253F05F7"/>
    <w:rsid w:val="254A0D4A"/>
    <w:rsid w:val="254B358D"/>
    <w:rsid w:val="256E6DFD"/>
    <w:rsid w:val="25891872"/>
    <w:rsid w:val="25B736EC"/>
    <w:rsid w:val="25CC7C14"/>
    <w:rsid w:val="2613091A"/>
    <w:rsid w:val="264D0AF2"/>
    <w:rsid w:val="265909F3"/>
    <w:rsid w:val="26BB5A5B"/>
    <w:rsid w:val="26E81DCB"/>
    <w:rsid w:val="26FE3B9A"/>
    <w:rsid w:val="273571C2"/>
    <w:rsid w:val="275A75F4"/>
    <w:rsid w:val="275E50DA"/>
    <w:rsid w:val="27621A0B"/>
    <w:rsid w:val="279E7B84"/>
    <w:rsid w:val="27B103DE"/>
    <w:rsid w:val="27DC4161"/>
    <w:rsid w:val="28302479"/>
    <w:rsid w:val="285445B2"/>
    <w:rsid w:val="28D24D9C"/>
    <w:rsid w:val="28F25980"/>
    <w:rsid w:val="28FE7045"/>
    <w:rsid w:val="2941798C"/>
    <w:rsid w:val="294C5129"/>
    <w:rsid w:val="295C70D0"/>
    <w:rsid w:val="295E4EA3"/>
    <w:rsid w:val="296F6FD1"/>
    <w:rsid w:val="29C70BBB"/>
    <w:rsid w:val="29CD4E78"/>
    <w:rsid w:val="29E4351B"/>
    <w:rsid w:val="2A305480"/>
    <w:rsid w:val="2A8F70B0"/>
    <w:rsid w:val="2A9C3DF6"/>
    <w:rsid w:val="2AE43776"/>
    <w:rsid w:val="2B06015E"/>
    <w:rsid w:val="2B1D5459"/>
    <w:rsid w:val="2B276CB6"/>
    <w:rsid w:val="2B4F4ECF"/>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2969EB"/>
    <w:rsid w:val="2F401502"/>
    <w:rsid w:val="2F462582"/>
    <w:rsid w:val="2F714B04"/>
    <w:rsid w:val="2F920A3A"/>
    <w:rsid w:val="2FED3439"/>
    <w:rsid w:val="2FFB71AB"/>
    <w:rsid w:val="300246FB"/>
    <w:rsid w:val="30793AE8"/>
    <w:rsid w:val="30B55C11"/>
    <w:rsid w:val="31165933"/>
    <w:rsid w:val="316E7428"/>
    <w:rsid w:val="319B3695"/>
    <w:rsid w:val="31BF0E0A"/>
    <w:rsid w:val="31D976DD"/>
    <w:rsid w:val="32164205"/>
    <w:rsid w:val="32332253"/>
    <w:rsid w:val="324271A8"/>
    <w:rsid w:val="329D4BAF"/>
    <w:rsid w:val="32D10F12"/>
    <w:rsid w:val="331D35F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85411B"/>
    <w:rsid w:val="388C7CC2"/>
    <w:rsid w:val="38B92676"/>
    <w:rsid w:val="38C23C8C"/>
    <w:rsid w:val="394D1ECD"/>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734E8A"/>
    <w:rsid w:val="3D805368"/>
    <w:rsid w:val="3D820C29"/>
    <w:rsid w:val="3DB57993"/>
    <w:rsid w:val="3DF132CA"/>
    <w:rsid w:val="3E103B9E"/>
    <w:rsid w:val="3E2829E9"/>
    <w:rsid w:val="3E5113D8"/>
    <w:rsid w:val="3E832EAB"/>
    <w:rsid w:val="3EBE76C5"/>
    <w:rsid w:val="3ECC22A5"/>
    <w:rsid w:val="3EDB2CE7"/>
    <w:rsid w:val="3F1E0E25"/>
    <w:rsid w:val="3F3E3276"/>
    <w:rsid w:val="3FA70E1B"/>
    <w:rsid w:val="3FB452E6"/>
    <w:rsid w:val="3FB5178A"/>
    <w:rsid w:val="3FF744E4"/>
    <w:rsid w:val="40077B0C"/>
    <w:rsid w:val="40290860"/>
    <w:rsid w:val="40297A82"/>
    <w:rsid w:val="403D54CD"/>
    <w:rsid w:val="406D41CF"/>
    <w:rsid w:val="407707ED"/>
    <w:rsid w:val="408028ED"/>
    <w:rsid w:val="40D95004"/>
    <w:rsid w:val="40F13E3D"/>
    <w:rsid w:val="41212AAF"/>
    <w:rsid w:val="4178455B"/>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A04B0"/>
    <w:rsid w:val="445B0426"/>
    <w:rsid w:val="44623B29"/>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9410045"/>
    <w:rsid w:val="497B5EAF"/>
    <w:rsid w:val="49BB5BEF"/>
    <w:rsid w:val="49E550B8"/>
    <w:rsid w:val="4A304D72"/>
    <w:rsid w:val="4ADA08DD"/>
    <w:rsid w:val="4AF53CDA"/>
    <w:rsid w:val="4B302190"/>
    <w:rsid w:val="4B4B4D50"/>
    <w:rsid w:val="4B920BD1"/>
    <w:rsid w:val="4BCD1E1A"/>
    <w:rsid w:val="4C0D05F0"/>
    <w:rsid w:val="4C336232"/>
    <w:rsid w:val="4C4D68A6"/>
    <w:rsid w:val="4C5440D8"/>
    <w:rsid w:val="4C5B1CC0"/>
    <w:rsid w:val="4C6063F0"/>
    <w:rsid w:val="4CDE25B8"/>
    <w:rsid w:val="4D031C9B"/>
    <w:rsid w:val="4D237C5B"/>
    <w:rsid w:val="4D6E195B"/>
    <w:rsid w:val="4DB33731"/>
    <w:rsid w:val="4DB34E9F"/>
    <w:rsid w:val="4DD45985"/>
    <w:rsid w:val="4DDE57A5"/>
    <w:rsid w:val="4DE4323A"/>
    <w:rsid w:val="4DED5CE9"/>
    <w:rsid w:val="4E015B9A"/>
    <w:rsid w:val="4E040F77"/>
    <w:rsid w:val="4E0D2791"/>
    <w:rsid w:val="4EF15C0F"/>
    <w:rsid w:val="4F0478A8"/>
    <w:rsid w:val="4F0E4A13"/>
    <w:rsid w:val="4F245FE4"/>
    <w:rsid w:val="4F570614"/>
    <w:rsid w:val="4F7A3E56"/>
    <w:rsid w:val="4F7E3AF1"/>
    <w:rsid w:val="4FC81DBA"/>
    <w:rsid w:val="4FF260E2"/>
    <w:rsid w:val="50083210"/>
    <w:rsid w:val="501047BA"/>
    <w:rsid w:val="50493828"/>
    <w:rsid w:val="5051384E"/>
    <w:rsid w:val="50792360"/>
    <w:rsid w:val="507C1E50"/>
    <w:rsid w:val="50932863"/>
    <w:rsid w:val="50A92418"/>
    <w:rsid w:val="50C64757"/>
    <w:rsid w:val="511A7AB0"/>
    <w:rsid w:val="512E2388"/>
    <w:rsid w:val="51801680"/>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80D32"/>
    <w:rsid w:val="53807F59"/>
    <w:rsid w:val="53966D81"/>
    <w:rsid w:val="53C77F81"/>
    <w:rsid w:val="549A6B3D"/>
    <w:rsid w:val="549C03CB"/>
    <w:rsid w:val="54C469B0"/>
    <w:rsid w:val="54E35FFA"/>
    <w:rsid w:val="54F71AA5"/>
    <w:rsid w:val="55164621"/>
    <w:rsid w:val="55184EF2"/>
    <w:rsid w:val="55CE5FAF"/>
    <w:rsid w:val="55D65B5E"/>
    <w:rsid w:val="55FF50B5"/>
    <w:rsid w:val="563E671E"/>
    <w:rsid w:val="5647080A"/>
    <w:rsid w:val="56695122"/>
    <w:rsid w:val="567C6706"/>
    <w:rsid w:val="568D4A8B"/>
    <w:rsid w:val="56AD68BF"/>
    <w:rsid w:val="56E322E1"/>
    <w:rsid w:val="56F72C39"/>
    <w:rsid w:val="5741059C"/>
    <w:rsid w:val="5787376C"/>
    <w:rsid w:val="57EC71D5"/>
    <w:rsid w:val="581A249A"/>
    <w:rsid w:val="58340631"/>
    <w:rsid w:val="588621CE"/>
    <w:rsid w:val="588927B2"/>
    <w:rsid w:val="58A14202"/>
    <w:rsid w:val="58AC03AC"/>
    <w:rsid w:val="58B3037A"/>
    <w:rsid w:val="5906675A"/>
    <w:rsid w:val="593212FE"/>
    <w:rsid w:val="593432C8"/>
    <w:rsid w:val="598F3C15"/>
    <w:rsid w:val="59A44AE5"/>
    <w:rsid w:val="59C43179"/>
    <w:rsid w:val="59E21F44"/>
    <w:rsid w:val="59EF7044"/>
    <w:rsid w:val="59FB5B93"/>
    <w:rsid w:val="5A1256BA"/>
    <w:rsid w:val="5A1B2694"/>
    <w:rsid w:val="5A736D06"/>
    <w:rsid w:val="5AB51CCA"/>
    <w:rsid w:val="5AB57322"/>
    <w:rsid w:val="5AB86B82"/>
    <w:rsid w:val="5AED4C1B"/>
    <w:rsid w:val="5B2D4472"/>
    <w:rsid w:val="5BA52831"/>
    <w:rsid w:val="5BC0596D"/>
    <w:rsid w:val="5BE5635E"/>
    <w:rsid w:val="5BE74621"/>
    <w:rsid w:val="5C03587B"/>
    <w:rsid w:val="5C082ED9"/>
    <w:rsid w:val="5C453255"/>
    <w:rsid w:val="5C4805D9"/>
    <w:rsid w:val="5C7236C4"/>
    <w:rsid w:val="5CAD7A90"/>
    <w:rsid w:val="5CBA0A27"/>
    <w:rsid w:val="5CE24F97"/>
    <w:rsid w:val="5CEC3B27"/>
    <w:rsid w:val="5D047455"/>
    <w:rsid w:val="5D656145"/>
    <w:rsid w:val="5DA53F1B"/>
    <w:rsid w:val="5DA54794"/>
    <w:rsid w:val="5DC63FF9"/>
    <w:rsid w:val="5F4571B2"/>
    <w:rsid w:val="5F6A078D"/>
    <w:rsid w:val="5F9A7BFD"/>
    <w:rsid w:val="5FA23A48"/>
    <w:rsid w:val="5FB36CBE"/>
    <w:rsid w:val="5FC627A0"/>
    <w:rsid w:val="5FD076A0"/>
    <w:rsid w:val="5FED36FB"/>
    <w:rsid w:val="606F72DB"/>
    <w:rsid w:val="60BC5E8F"/>
    <w:rsid w:val="60CC0666"/>
    <w:rsid w:val="610E27AB"/>
    <w:rsid w:val="61393910"/>
    <w:rsid w:val="61710A64"/>
    <w:rsid w:val="61D84352"/>
    <w:rsid w:val="61DA4AD9"/>
    <w:rsid w:val="61F335F4"/>
    <w:rsid w:val="623D3E1F"/>
    <w:rsid w:val="629D4803"/>
    <w:rsid w:val="62AE498D"/>
    <w:rsid w:val="62ED1A72"/>
    <w:rsid w:val="637F5A87"/>
    <w:rsid w:val="638048A2"/>
    <w:rsid w:val="638A2399"/>
    <w:rsid w:val="63D57455"/>
    <w:rsid w:val="63EF2CB1"/>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576847"/>
    <w:rsid w:val="6683497C"/>
    <w:rsid w:val="66B21CD0"/>
    <w:rsid w:val="66E872A7"/>
    <w:rsid w:val="676E5CC7"/>
    <w:rsid w:val="67E14BAB"/>
    <w:rsid w:val="67EE0AE5"/>
    <w:rsid w:val="67F71E56"/>
    <w:rsid w:val="683A3D2B"/>
    <w:rsid w:val="684C44B3"/>
    <w:rsid w:val="68880F3A"/>
    <w:rsid w:val="690F1726"/>
    <w:rsid w:val="6942765C"/>
    <w:rsid w:val="6A2D5CB0"/>
    <w:rsid w:val="6A4D2110"/>
    <w:rsid w:val="6A663992"/>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D4F2A"/>
    <w:rsid w:val="6CFE27E3"/>
    <w:rsid w:val="6D274D94"/>
    <w:rsid w:val="6D8C026B"/>
    <w:rsid w:val="6D955447"/>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D02A4"/>
    <w:rsid w:val="6FC83DE4"/>
    <w:rsid w:val="6FD9651F"/>
    <w:rsid w:val="6FDB7D0C"/>
    <w:rsid w:val="6FDC23B5"/>
    <w:rsid w:val="705D0EFE"/>
    <w:rsid w:val="7060279C"/>
    <w:rsid w:val="706B3710"/>
    <w:rsid w:val="706B4417"/>
    <w:rsid w:val="70784F6A"/>
    <w:rsid w:val="70AD066D"/>
    <w:rsid w:val="70B2470E"/>
    <w:rsid w:val="70B46822"/>
    <w:rsid w:val="70D77260"/>
    <w:rsid w:val="710377E1"/>
    <w:rsid w:val="713117D3"/>
    <w:rsid w:val="713F23B2"/>
    <w:rsid w:val="715F2A54"/>
    <w:rsid w:val="716B764B"/>
    <w:rsid w:val="71817101"/>
    <w:rsid w:val="71943263"/>
    <w:rsid w:val="71B80224"/>
    <w:rsid w:val="71CF7BDA"/>
    <w:rsid w:val="71DE09E8"/>
    <w:rsid w:val="720B21A0"/>
    <w:rsid w:val="72231CD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7E3905"/>
    <w:rsid w:val="77813724"/>
    <w:rsid w:val="77822AD2"/>
    <w:rsid w:val="779A33A8"/>
    <w:rsid w:val="78263FA6"/>
    <w:rsid w:val="783E7867"/>
    <w:rsid w:val="7846297D"/>
    <w:rsid w:val="7859644F"/>
    <w:rsid w:val="78941235"/>
    <w:rsid w:val="78B13B95"/>
    <w:rsid w:val="78E40FA3"/>
    <w:rsid w:val="791E0B39"/>
    <w:rsid w:val="79487052"/>
    <w:rsid w:val="79586707"/>
    <w:rsid w:val="79941F77"/>
    <w:rsid w:val="79BE0C60"/>
    <w:rsid w:val="79C218C0"/>
    <w:rsid w:val="79E06FD9"/>
    <w:rsid w:val="79F006ED"/>
    <w:rsid w:val="7A2B3BCE"/>
    <w:rsid w:val="7A7430CC"/>
    <w:rsid w:val="7A80169B"/>
    <w:rsid w:val="7AC3206E"/>
    <w:rsid w:val="7AC51215"/>
    <w:rsid w:val="7AE446F6"/>
    <w:rsid w:val="7AFF6ACD"/>
    <w:rsid w:val="7B0326A2"/>
    <w:rsid w:val="7B0F54EB"/>
    <w:rsid w:val="7B436E21"/>
    <w:rsid w:val="7B54666E"/>
    <w:rsid w:val="7B5B0429"/>
    <w:rsid w:val="7BBC6B0F"/>
    <w:rsid w:val="7BF1357F"/>
    <w:rsid w:val="7C4A2065"/>
    <w:rsid w:val="7C796F1F"/>
    <w:rsid w:val="7C855349"/>
    <w:rsid w:val="7CAA6238"/>
    <w:rsid w:val="7D085F7C"/>
    <w:rsid w:val="7D404FB3"/>
    <w:rsid w:val="7D8C697F"/>
    <w:rsid w:val="7DA02855"/>
    <w:rsid w:val="7DC73E5B"/>
    <w:rsid w:val="7DC73F51"/>
    <w:rsid w:val="7E0B1DFF"/>
    <w:rsid w:val="7E134C71"/>
    <w:rsid w:val="7E2A3C98"/>
    <w:rsid w:val="7E5043EB"/>
    <w:rsid w:val="7E604231"/>
    <w:rsid w:val="7EB34E00"/>
    <w:rsid w:val="7EF2571C"/>
    <w:rsid w:val="7F107F87"/>
    <w:rsid w:val="7F210F90"/>
    <w:rsid w:val="7F3405C5"/>
    <w:rsid w:val="7F361298"/>
    <w:rsid w:val="7F837A13"/>
    <w:rsid w:val="7F9F2560"/>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8">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unhideWhenUsed/>
    <w:qFormat/>
    <w:uiPriority w:val="99"/>
    <w:pPr>
      <w:ind w:left="864" w:right="864"/>
      <w:jc w:val="center"/>
    </w:pPr>
    <w:rPr>
      <w:rFonts w:ascii="Times New Roman" w:hAnsi="Times New Roman"/>
      <w:i/>
      <w:iCs/>
      <w:color w:val="404040"/>
      <w:szCs w:val="21"/>
    </w:rPr>
  </w:style>
  <w:style w:type="paragraph" w:styleId="9">
    <w:name w:val="List 3"/>
    <w:basedOn w:val="1"/>
    <w:qFormat/>
    <w:uiPriority w:val="0"/>
    <w:pPr>
      <w:spacing w:line="240" w:lineRule="auto"/>
      <w:ind w:firstLine="0" w:firstLineChars="0"/>
    </w:pPr>
    <w:rPr>
      <w:szCs w:val="20"/>
    </w:rPr>
  </w:style>
  <w:style w:type="paragraph" w:styleId="10">
    <w:name w:val="Body Text Indent"/>
    <w:basedOn w:val="1"/>
    <w:next w:val="11"/>
    <w:link w:val="38"/>
    <w:qFormat/>
    <w:uiPriority w:val="0"/>
    <w:pPr>
      <w:spacing w:after="120"/>
      <w:ind w:left="420" w:leftChars="200"/>
    </w:pPr>
  </w:style>
  <w:style w:type="paragraph" w:styleId="11">
    <w:name w:val="envelope return"/>
    <w:basedOn w:val="1"/>
    <w:unhideWhenUsed/>
    <w:qFormat/>
    <w:uiPriority w:val="99"/>
    <w:pPr>
      <w:snapToGrid w:val="0"/>
      <w:ind w:firstLine="200"/>
    </w:pPr>
    <w:rPr>
      <w:rFonts w:ascii="Arial" w:hAnsi="Arial" w:cs="Arial"/>
      <w:szCs w:val="20"/>
    </w:rPr>
  </w:style>
  <w:style w:type="paragraph" w:styleId="12">
    <w:name w:val="Plain Text"/>
    <w:basedOn w:val="1"/>
    <w:link w:val="39"/>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2"/>
    <w:qFormat/>
    <w:uiPriority w:val="99"/>
    <w:pPr>
      <w:ind w:firstLine="420" w:firstLineChars="100"/>
    </w:pPr>
  </w:style>
  <w:style w:type="paragraph" w:styleId="19">
    <w:name w:val="Body Text First Indent 2"/>
    <w:basedOn w:val="10"/>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10"/>
    <w:qFormat/>
    <w:uiPriority w:val="0"/>
  </w:style>
  <w:style w:type="character" w:customStyle="1" w:styleId="39">
    <w:name w:val="纯文本 Char"/>
    <w:link w:val="12"/>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22462</Words>
  <Characters>23534</Characters>
  <Lines>1</Lines>
  <Paragraphs>1</Paragraphs>
  <TotalTime>1</TotalTime>
  <ScaleCrop>false</ScaleCrop>
  <LinksUpToDate>false</LinksUpToDate>
  <CharactersWithSpaces>26251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2024-09-19T10:56:00Z</cp:lastPrinted>
  <dcterms:modified xsi:type="dcterms:W3CDTF">2024-10-06T09:40:47Z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F058A29E382344449565698A70CBAE00_13</vt:lpwstr>
  </property>
</Properties>
</file>