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70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徐州至淮北至阜阳高速公路亳州段房建工程、蚌埠管理处新建3#宿舍楼房建工程铝合金</w:t>
      </w:r>
    </w:p>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门窗采购及安装项目</w:t>
      </w:r>
    </w:p>
    <w:p w14:paraId="6200C9D4">
      <w:pPr>
        <w:spacing w:line="540" w:lineRule="exact"/>
        <w:ind w:firstLine="420"/>
        <w:rPr>
          <w:rFonts w:ascii="Times New Roman" w:hAnsi="Times New Roman" w:cs="Times New Roman"/>
          <w:szCs w:val="21"/>
        </w:rPr>
      </w:pPr>
    </w:p>
    <w:p w14:paraId="1E83A192">
      <w:pPr>
        <w:pStyle w:val="2"/>
        <w:rPr>
          <w:rFonts w:ascii="Times New Roman" w:hAnsi="Times New Roman" w:cs="Times New Roman"/>
          <w:szCs w:val="21"/>
        </w:rPr>
      </w:pPr>
    </w:p>
    <w:p w14:paraId="5C35004D"/>
    <w:p w14:paraId="459F8496">
      <w:pPr>
        <w:pStyle w:val="2"/>
        <w:rPr>
          <w:rFonts w:ascii="Times New Roman" w:hAnsi="Times New Roman" w:cs="Times New Roman"/>
          <w:szCs w:val="21"/>
        </w:rPr>
      </w:pPr>
    </w:p>
    <w:p w14:paraId="09568C00">
      <w:pPr>
        <w:pStyle w:val="2"/>
        <w:rPr>
          <w:rFonts w:ascii="Times New Roman" w:hAnsi="Times New Roman" w:cs="Times New Roman"/>
          <w:szCs w:val="21"/>
        </w:rPr>
      </w:pPr>
    </w:p>
    <w:p w14:paraId="749A388D">
      <w:pPr>
        <w:pStyle w:val="13"/>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10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21684420">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ascii="宋体" w:hAnsi="宋体" w:eastAsia="宋体"/>
        </w:rPr>
      </w:pPr>
    </w:p>
    <w:p w14:paraId="42F66DA1">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3"/>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2765"/>
      <w:bookmarkStart w:id="2" w:name="_Toc6496_WPSOffice_Level2"/>
      <w:bookmarkStart w:id="3" w:name="_Toc4489_WPSOffice_Level2"/>
      <w:bookmarkStart w:id="4" w:name="_Toc525632585"/>
      <w:bookmarkStart w:id="5" w:name="_Toc10395_WPSOffice_Level2"/>
      <w:bookmarkStart w:id="6" w:name="_Toc24354_WPSOffice_Level2"/>
      <w:bookmarkStart w:id="7" w:name="_Toc13871"/>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徐州至淮北至阜阳高速公路亳州段房建工程、蚌埠管理处新建3#宿舍楼房建工程铝合金门窗采购及安装项目。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徐州至淮北至阜阳高速公路亳州段房建工程、蚌埠管理处新建3#宿舍楼房建工程</w:t>
      </w:r>
      <w:r>
        <w:rPr>
          <w:rFonts w:hint="eastAsia" w:ascii="宋体" w:hAnsi="宋体" w:eastAsia="宋体" w:cs="宋体"/>
          <w:sz w:val="21"/>
          <w:szCs w:val="21"/>
          <w:u w:val="single"/>
          <w:lang w:val="en-US" w:eastAsia="zh-CN"/>
        </w:rPr>
        <w:t>铝合金门窗</w:t>
      </w:r>
      <w:r>
        <w:rPr>
          <w:rFonts w:hint="eastAsia" w:ascii="宋体" w:hAnsi="宋体" w:eastAsia="宋体" w:cs="宋体"/>
          <w:sz w:val="21"/>
          <w:szCs w:val="21"/>
          <w:u w:val="single"/>
          <w:lang w:eastAsia="zh-CN"/>
        </w:rPr>
        <w:t>采购及安装</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17858_WPSOffice_Level2"/>
      <w:bookmarkStart w:id="9" w:name="_Toc23266_WPSOffice_Level2"/>
      <w:bookmarkStart w:id="10" w:name="_Toc18367_WPSOffice_Level2"/>
      <w:bookmarkStart w:id="11" w:name="_Toc525632586"/>
      <w:bookmarkStart w:id="12" w:name="_Toc10274"/>
      <w:bookmarkStart w:id="13" w:name="_Toc8128_WPSOffice_Level2"/>
      <w:bookmarkStart w:id="14" w:name="_Toc18453"/>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铝合金门窗。</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产品品牌及参数详见采购清单。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总限价为228万元（含税价），其中徐淮阜限价185万，蚌埠处3#宿舍楼限价43万</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3E5BBB86">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yellow"/>
          <w:u w:val="none"/>
          <w:lang w:val="en-US" w:eastAsia="zh-CN"/>
        </w:rPr>
      </w:pPr>
      <w:r>
        <w:rPr>
          <w:rFonts w:hint="eastAsia" w:ascii="宋体" w:hAnsi="宋体" w:eastAsia="宋体" w:cs="宋体"/>
          <w:szCs w:val="21"/>
          <w:highlight w:val="yellow"/>
        </w:rPr>
        <w:t>2.</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 xml:space="preserve"> </w:t>
      </w:r>
      <w:r>
        <w:rPr>
          <w:rFonts w:hint="eastAsia" w:ascii="宋体" w:hAnsi="宋体" w:eastAsia="宋体" w:cs="宋体"/>
          <w:szCs w:val="21"/>
          <w:highlight w:val="yellow"/>
          <w:lang w:val="en-US" w:eastAsia="zh-CN"/>
        </w:rPr>
        <w:t>交货期</w:t>
      </w:r>
      <w:r>
        <w:rPr>
          <w:rFonts w:hint="eastAsia" w:ascii="宋体" w:hAnsi="宋体" w:eastAsia="宋体" w:cs="宋体"/>
          <w:szCs w:val="21"/>
          <w:highlight w:val="yellow"/>
        </w:rPr>
        <w:t>：</w:t>
      </w:r>
      <w:r>
        <w:rPr>
          <w:rFonts w:hint="eastAsia" w:ascii="宋体" w:hAnsi="宋体" w:eastAsia="宋体" w:cs="宋体"/>
          <w:sz w:val="21"/>
          <w:szCs w:val="21"/>
          <w:highlight w:val="yellow"/>
          <w:u w:val="single"/>
          <w:lang w:val="en-US" w:eastAsia="zh-CN"/>
        </w:rPr>
        <w:t>在</w:t>
      </w:r>
      <w:r>
        <w:rPr>
          <w:rFonts w:hint="eastAsia" w:ascii="宋体" w:hAnsi="宋体" w:eastAsia="宋体" w:cs="宋体"/>
          <w:kern w:val="0"/>
          <w:sz w:val="21"/>
          <w:szCs w:val="21"/>
          <w:highlight w:val="yellow"/>
          <w:u w:val="single"/>
        </w:rPr>
        <w:t>接到甲方通知之日起</w:t>
      </w:r>
      <w:r>
        <w:rPr>
          <w:rFonts w:hint="eastAsia" w:ascii="宋体" w:hAnsi="宋体" w:eastAsia="宋体" w:cs="宋体"/>
          <w:kern w:val="0"/>
          <w:sz w:val="21"/>
          <w:szCs w:val="21"/>
          <w:highlight w:val="yellow"/>
          <w:u w:val="single"/>
          <w:lang w:val="en-US" w:eastAsia="zh-CN"/>
        </w:rPr>
        <w:t>10天内完成窗框安装，30</w:t>
      </w:r>
      <w:r>
        <w:rPr>
          <w:rFonts w:hint="eastAsia" w:ascii="宋体" w:hAnsi="宋体" w:eastAsia="宋体" w:cs="宋体"/>
          <w:kern w:val="0"/>
          <w:sz w:val="21"/>
          <w:szCs w:val="21"/>
          <w:highlight w:val="yellow"/>
          <w:u w:val="single"/>
        </w:rPr>
        <w:t>天内</w:t>
      </w:r>
      <w:r>
        <w:rPr>
          <w:rFonts w:hint="eastAsia" w:ascii="宋体" w:hAnsi="宋体" w:eastAsia="宋体" w:cs="宋体"/>
          <w:kern w:val="0"/>
          <w:sz w:val="21"/>
          <w:szCs w:val="21"/>
          <w:highlight w:val="yellow"/>
          <w:u w:val="single"/>
          <w:lang w:val="en-US" w:eastAsia="zh-CN"/>
        </w:rPr>
        <w:t>完成玻璃固定、窗扇安装等全部工作（具体根据实际情况安排进度）</w:t>
      </w:r>
      <w:r>
        <w:rPr>
          <w:rFonts w:hint="eastAsia" w:ascii="宋体" w:hAnsi="宋体" w:eastAsia="宋体" w:cs="宋体"/>
          <w:kern w:val="0"/>
          <w:sz w:val="21"/>
          <w:szCs w:val="21"/>
          <w:highlight w:val="yellow"/>
          <w:u w:val="none"/>
          <w:lang w:eastAsia="zh-CN"/>
        </w:rPr>
        <w:t>。</w:t>
      </w:r>
      <w:r>
        <w:rPr>
          <w:rFonts w:hint="eastAsia" w:ascii="宋体" w:hAnsi="宋体" w:eastAsia="宋体" w:cs="宋体"/>
          <w:szCs w:val="21"/>
          <w:highlight w:val="yellow"/>
          <w:u w:val="none"/>
          <w:lang w:val="en-US" w:eastAsia="zh-CN"/>
        </w:rPr>
        <w:t xml:space="preserve"> </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2.8 项目地点：徐淮阜（涡阳西收费站、 涡阳收费站、涡阳县义门镇新庄村）；蚌埠处3#楼宿舍（蚌埠收费站）。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1622_WPSOffice_Level2"/>
      <w:bookmarkStart w:id="19" w:name="_Toc525632587"/>
      <w:bookmarkStart w:id="20" w:name="_Toc31673_WPSOffice_Level2"/>
      <w:bookmarkStart w:id="21" w:name="_Toc3714"/>
      <w:bookmarkStart w:id="22" w:name="_Toc6388"/>
      <w:bookmarkStart w:id="23" w:name="_Toc22379_WPSOffice_Level2"/>
      <w:bookmarkStart w:id="24" w:name="_Toc29516_WPSOffice_Level2"/>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2"/>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bCs/>
          <w:highlight w:val="yellow"/>
          <w:u w:val="single"/>
          <w:lang w:val="en-US" w:eastAsia="zh-CN"/>
        </w:rPr>
      </w:pPr>
      <w:r>
        <w:rPr>
          <w:rFonts w:hint="eastAsia" w:ascii="宋体" w:hAnsi="宋体" w:eastAsia="宋体" w:cs="宋体"/>
          <w:b/>
          <w:bCs/>
          <w:highlight w:val="yellow"/>
          <w:u w:val="single"/>
          <w:lang w:val="en-US" w:eastAsia="zh-CN"/>
        </w:rPr>
        <w:t>投标人至少提供1个自2021年1月1日以来，单项合同额不低于100万元的铝合金门窗供应</w:t>
      </w:r>
      <w:r>
        <w:rPr>
          <w:rFonts w:hint="eastAsia" w:ascii="宋体" w:hAnsi="宋体" w:eastAsia="宋体" w:cs="宋体"/>
          <w:b/>
          <w:bCs/>
          <w:color w:val="auto"/>
          <w:szCs w:val="21"/>
          <w:highlight w:val="yellow"/>
          <w:u w:val="single"/>
          <w:lang w:val="en-US" w:eastAsia="zh-CN"/>
        </w:rPr>
        <w:t>合同业绩（每个业绩至少提供一张该项目的增值税发票或收到业主转账的收款凭证）。</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54EA9F7E">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5666_WPSOffice_Level2"/>
      <w:bookmarkStart w:id="26" w:name="_Toc525632588"/>
      <w:bookmarkStart w:id="27" w:name="_Toc4751"/>
      <w:bookmarkStart w:id="28" w:name="_Toc1994"/>
      <w:bookmarkStart w:id="29" w:name="_Toc2996_WPSOffice_Level2"/>
      <w:bookmarkStart w:id="30" w:name="_Toc29452_WPSOffice_Level2"/>
      <w:bookmarkStart w:id="31" w:name="_Toc4109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14:paraId="7E757068">
      <w:pPr>
        <w:pageBreakBefore w:val="0"/>
        <w:kinsoku/>
        <w:wordWrap/>
        <w:overflowPunct/>
        <w:topLinePunct w:val="0"/>
        <w:bidi w:val="0"/>
        <w:adjustRightInd/>
        <w:snapToGrid w:val="0"/>
        <w:spacing w:line="460" w:lineRule="exact"/>
        <w:ind w:firstLine="367" w:firstLineChars="175"/>
        <w:textAlignment w:val="auto"/>
        <w:rPr>
          <w:rFonts w:ascii="Times New Roman" w:hAnsi="Times New Roman" w:cs="Times New Roman"/>
          <w:color w:val="000000" w:themeColor="text1"/>
          <w:szCs w:val="22"/>
          <w14:textFill>
            <w14:solidFill>
              <w14:schemeClr w14:val="tx1"/>
            </w14:solidFill>
          </w14:textFill>
        </w:rPr>
      </w:pPr>
      <w:bookmarkStart w:id="32" w:name="_Toc525632589"/>
      <w:bookmarkStart w:id="33" w:name="_Toc726"/>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15256002215</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14:paraId="4C7DCE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14:paraId="5C813060">
      <w:pPr>
        <w:pageBreakBefore w:val="0"/>
        <w:kinsoku/>
        <w:wordWrap/>
        <w:overflowPunct/>
        <w:topLinePunct w:val="0"/>
        <w:bidi w:val="0"/>
        <w:adjustRightInd/>
        <w:snapToGrid w:val="0"/>
        <w:spacing w:line="460" w:lineRule="exact"/>
        <w:ind w:firstLine="420" w:firstLineChars="200"/>
        <w:textAlignment w:val="auto"/>
        <w:rPr>
          <w:rFonts w:hint="eastAsia" w:eastAsiaTheme="minorEastAsia"/>
          <w:color w:val="auto"/>
          <w:highlight w:val="none"/>
          <w:lang w:val="en-US" w:eastAsia="zh-CN"/>
        </w:rPr>
      </w:pPr>
      <w:bookmarkStart w:id="34" w:name="_Toc525632591"/>
      <w:bookmarkStart w:id="35" w:name="_Toc22719"/>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10</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 15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 xml:space="preserve"> 10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 xml:space="preserve">15 </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14:paraId="690A38AF">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14:paraId="6C731678">
      <w:pPr>
        <w:pageBreakBefore w:val="0"/>
        <w:kinsoku/>
        <w:wordWrap/>
        <w:overflowPunct/>
        <w:topLinePunct w:val="0"/>
        <w:bidi w:val="0"/>
        <w:adjustRightInd/>
        <w:snapToGrid w:val="0"/>
        <w:spacing w:line="460" w:lineRule="exact"/>
        <w:ind w:firstLine="420" w:firstLineChars="200"/>
        <w:textAlignment w:val="auto"/>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lang w:val="en-US" w:eastAsia="zh-CN"/>
        </w:rPr>
        <w:t>_（地点）组织进行响应文件的启封。</w:t>
      </w:r>
    </w:p>
    <w:p w14:paraId="2D52D615">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eastAsia" w:ascii="宋体" w:hAnsi="宋体" w:eastAsia="宋体" w:cs="宋体"/>
          <w:b/>
          <w:bCs/>
          <w:kern w:val="2"/>
          <w:sz w:val="21"/>
          <w:szCs w:val="21"/>
          <w:highlight w:val="yellow"/>
          <w:lang w:val="en-US" w:eastAsia="zh-CN" w:bidi="ar"/>
        </w:rPr>
        <w:t>响应保证金的金额：</w:t>
      </w:r>
      <w:r>
        <w:rPr>
          <w:rFonts w:hint="eastAsia" w:ascii="宋体" w:hAnsi="宋体" w:eastAsia="宋体" w:cs="宋体"/>
          <w:b/>
          <w:bCs/>
          <w:kern w:val="2"/>
          <w:sz w:val="21"/>
          <w:szCs w:val="21"/>
          <w:highlight w:val="yellow"/>
          <w:u w:val="single"/>
          <w:lang w:val="en-US" w:eastAsia="zh-CN" w:bidi="ar"/>
        </w:rPr>
        <w:t xml:space="preserve"> 肆万元整 （</w:t>
      </w:r>
      <w:r>
        <w:rPr>
          <w:rFonts w:hint="default"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single"/>
          <w:lang w:val="en-US" w:eastAsia="zh-CN" w:bidi="ar"/>
        </w:rPr>
        <w:t>40</w:t>
      </w:r>
      <w:r>
        <w:rPr>
          <w:rFonts w:hint="default" w:ascii="宋体" w:hAnsi="宋体" w:eastAsia="宋体" w:cs="宋体"/>
          <w:b/>
          <w:bCs/>
          <w:kern w:val="2"/>
          <w:sz w:val="21"/>
          <w:szCs w:val="21"/>
          <w:highlight w:val="yellow"/>
          <w:u w:val="single"/>
          <w:lang w:val="en-US" w:eastAsia="zh-CN" w:bidi="ar"/>
        </w:rPr>
        <w:t>000.00</w:t>
      </w:r>
      <w:r>
        <w:rPr>
          <w:rFonts w:hint="eastAsia" w:ascii="宋体" w:hAnsi="宋体" w:eastAsia="宋体" w:cs="宋体"/>
          <w:b/>
          <w:bCs/>
          <w:kern w:val="2"/>
          <w:sz w:val="21"/>
          <w:szCs w:val="21"/>
          <w:highlight w:val="yellow"/>
          <w:u w:val="single"/>
          <w:lang w:val="en-US" w:eastAsia="zh-CN" w:bidi="ar"/>
        </w:rPr>
        <w:t>）</w:t>
      </w:r>
      <w:r>
        <w:rPr>
          <w:rFonts w:hint="eastAsia" w:ascii="宋体" w:hAnsi="宋体" w:eastAsia="宋体" w:cs="宋体"/>
          <w:b/>
          <w:bCs/>
          <w:kern w:val="2"/>
          <w:sz w:val="21"/>
          <w:szCs w:val="21"/>
          <w:highlight w:val="yellow"/>
          <w:u w:val="none"/>
          <w:lang w:val="en-US" w:eastAsia="zh-CN" w:bidi="ar"/>
        </w:rPr>
        <w:t>。</w:t>
      </w:r>
    </w:p>
    <w:p w14:paraId="2AF6C0D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响应保证金的递交形式：银行转账</w:t>
      </w:r>
    </w:p>
    <w:p w14:paraId="510523B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none"/>
        </w:rPr>
      </w:pPr>
      <w:r>
        <w:rPr>
          <w:rFonts w:hint="eastAsia" w:ascii="宋体" w:hAnsi="宋体" w:eastAsia="宋体" w:cs="宋体"/>
          <w:b/>
          <w:bCs/>
          <w:kern w:val="2"/>
          <w:sz w:val="21"/>
          <w:szCs w:val="21"/>
          <w:highlight w:val="none"/>
          <w:lang w:val="en-US" w:eastAsia="zh-CN" w:bidi="ar"/>
        </w:rPr>
        <w:t>递交截止时间：</w:t>
      </w:r>
      <w:r>
        <w:rPr>
          <w:rFonts w:hint="default" w:ascii="Times New Roman" w:hAnsi="Times New Roman" w:eastAsia="宋体" w:cs="Times New Roman"/>
          <w:b/>
          <w:bCs/>
          <w:kern w:val="2"/>
          <w:sz w:val="21"/>
          <w:szCs w:val="21"/>
          <w:highlight w:val="none"/>
          <w:lang w:val="en-US" w:eastAsia="zh-CN" w:bidi="ar"/>
        </w:rPr>
        <w:t>2024</w:t>
      </w:r>
      <w:r>
        <w:rPr>
          <w:rFonts w:hint="eastAsia" w:ascii="宋体" w:hAnsi="宋体" w:eastAsia="宋体" w:cs="宋体"/>
          <w:b/>
          <w:bCs/>
          <w:kern w:val="2"/>
          <w:sz w:val="21"/>
          <w:szCs w:val="21"/>
          <w:highlight w:val="none"/>
          <w:lang w:val="en-US" w:eastAsia="zh-CN" w:bidi="ar"/>
        </w:rPr>
        <w:t>年</w:t>
      </w:r>
      <w:r>
        <w:rPr>
          <w:rFonts w:hint="eastAsia" w:ascii="Times New Roman" w:hAnsi="Times New Roman" w:eastAsia="宋体" w:cs="Times New Roman"/>
          <w:b/>
          <w:bCs/>
          <w:kern w:val="2"/>
          <w:sz w:val="21"/>
          <w:szCs w:val="21"/>
          <w:highlight w:val="none"/>
          <w:lang w:val="en-US" w:eastAsia="zh-CN" w:bidi="ar"/>
        </w:rPr>
        <w:t>10</w:t>
      </w:r>
      <w:r>
        <w:rPr>
          <w:rFonts w:hint="eastAsia" w:ascii="宋体" w:hAnsi="宋体" w:eastAsia="宋体" w:cs="宋体"/>
          <w:b/>
          <w:bCs/>
          <w:kern w:val="2"/>
          <w:sz w:val="21"/>
          <w:szCs w:val="21"/>
          <w:highlight w:val="none"/>
          <w:lang w:val="en-US" w:eastAsia="zh-CN" w:bidi="ar"/>
        </w:rPr>
        <w:t>月</w:t>
      </w:r>
      <w:r>
        <w:rPr>
          <w:rFonts w:hint="eastAsia" w:ascii="Times New Roman" w:hAnsi="Times New Roman" w:eastAsia="宋体" w:cs="Times New Roman"/>
          <w:b/>
          <w:bCs/>
          <w:kern w:val="2"/>
          <w:sz w:val="21"/>
          <w:szCs w:val="21"/>
          <w:highlight w:val="none"/>
          <w:lang w:val="en-US" w:eastAsia="zh-CN" w:bidi="ar"/>
        </w:rPr>
        <w:t>15</w:t>
      </w:r>
      <w:r>
        <w:rPr>
          <w:rFonts w:hint="eastAsia" w:ascii="宋体" w:hAnsi="宋体" w:eastAsia="宋体" w:cs="宋体"/>
          <w:b/>
          <w:bCs/>
          <w:kern w:val="2"/>
          <w:sz w:val="21"/>
          <w:szCs w:val="21"/>
          <w:highlight w:val="none"/>
          <w:lang w:val="en-US" w:eastAsia="zh-CN" w:bidi="ar"/>
        </w:rPr>
        <w:t>日</w:t>
      </w:r>
      <w:r>
        <w:rPr>
          <w:rFonts w:hint="eastAsia" w:ascii="Times New Roman" w:hAnsi="Times New Roman" w:eastAsia="宋体" w:cs="Times New Roman"/>
          <w:b/>
          <w:bCs/>
          <w:kern w:val="2"/>
          <w:sz w:val="21"/>
          <w:szCs w:val="21"/>
          <w:highlight w:val="none"/>
          <w:lang w:val="en-US" w:eastAsia="zh-CN" w:bidi="ar"/>
        </w:rPr>
        <w:t>14</w:t>
      </w:r>
      <w:r>
        <w:rPr>
          <w:rFonts w:hint="eastAsia" w:ascii="宋体" w:hAnsi="宋体" w:eastAsia="宋体" w:cs="宋体"/>
          <w:b/>
          <w:bCs/>
          <w:kern w:val="2"/>
          <w:sz w:val="21"/>
          <w:szCs w:val="21"/>
          <w:highlight w:val="none"/>
          <w:lang w:val="en-US" w:eastAsia="zh-CN" w:bidi="ar"/>
        </w:rPr>
        <w:t>时</w:t>
      </w:r>
      <w:r>
        <w:rPr>
          <w:rFonts w:hint="eastAsia" w:ascii="Times New Roman" w:hAnsi="Times New Roman" w:eastAsia="宋体" w:cs="Times New Roman"/>
          <w:b/>
          <w:bCs/>
          <w:kern w:val="2"/>
          <w:sz w:val="21"/>
          <w:szCs w:val="21"/>
          <w:highlight w:val="none"/>
          <w:lang w:val="en-US" w:eastAsia="zh-CN" w:bidi="ar"/>
        </w:rPr>
        <w:t>3</w:t>
      </w:r>
      <w:r>
        <w:rPr>
          <w:rFonts w:hint="default" w:ascii="Times New Roman" w:hAnsi="Times New Roman" w:eastAsia="宋体" w:cs="Times New Roman"/>
          <w:b/>
          <w:bCs/>
          <w:kern w:val="2"/>
          <w:sz w:val="21"/>
          <w:szCs w:val="21"/>
          <w:highlight w:val="none"/>
          <w:lang w:val="en-US" w:eastAsia="zh-CN" w:bidi="ar"/>
        </w:rPr>
        <w:t>0</w:t>
      </w:r>
      <w:r>
        <w:rPr>
          <w:rFonts w:hint="eastAsia" w:ascii="宋体" w:hAnsi="宋体" w:eastAsia="宋体" w:cs="宋体"/>
          <w:b/>
          <w:bCs/>
          <w:kern w:val="2"/>
          <w:sz w:val="21"/>
          <w:szCs w:val="21"/>
          <w:highlight w:val="none"/>
          <w:lang w:val="en-US" w:eastAsia="zh-CN" w:bidi="ar"/>
        </w:rPr>
        <w:t>分。</w:t>
      </w:r>
    </w:p>
    <w:p w14:paraId="3BB495C3">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若采用电汇（转账）形式，响应保证金必须由供应商的账户一次性汇入所示账户，并在响应截止时间前到账，否则无效。</w:t>
      </w:r>
    </w:p>
    <w:p w14:paraId="1EF041C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响应保证金的账户信息：</w:t>
      </w:r>
    </w:p>
    <w:p w14:paraId="07BF75A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户</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安徽省经工物资有限公司</w:t>
      </w:r>
    </w:p>
    <w:p w14:paraId="2B100078">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工行合肥蜀山支行</w:t>
      </w:r>
    </w:p>
    <w:p w14:paraId="5EBF629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账</w:t>
      </w:r>
      <w:r>
        <w:rPr>
          <w:rFonts w:hint="eastAsia"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号：</w:t>
      </w:r>
      <w:r>
        <w:rPr>
          <w:rFonts w:hint="default" w:ascii="Times New Roman" w:hAnsi="Times New Roman" w:eastAsia="宋体" w:cs="Times New Roman"/>
          <w:kern w:val="2"/>
          <w:sz w:val="21"/>
          <w:szCs w:val="21"/>
          <w:highlight w:val="none"/>
          <w:lang w:val="en-US" w:eastAsia="zh-CN" w:bidi="ar"/>
        </w:rPr>
        <w:t>1302012119200034038</w:t>
      </w:r>
    </w:p>
    <w:p w14:paraId="799E462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付款备注：铝合金门窗响应保证金</w:t>
      </w:r>
    </w:p>
    <w:p w14:paraId="2344E64E">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1B9734ED">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p w14:paraId="7323527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）如采用银行转账或银行电汇：</w:t>
      </w:r>
    </w:p>
    <w:p w14:paraId="42885B45">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①响应保证金的到账截止时间：响应截止时间。</w:t>
      </w:r>
    </w:p>
    <w:p w14:paraId="50EA2BD4">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②供应商账户汇入到上述账户，采购人不接受以个人名义或以现金形式提交的响应保证金。</w:t>
      </w:r>
    </w:p>
    <w:p w14:paraId="04F836AF">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Calibri" w:hAnsi="Calibri" w:eastAsia="宋体" w:cs="Times New Roman"/>
          <w:kern w:val="2"/>
          <w:sz w:val="21"/>
          <w:szCs w:val="21"/>
          <w:highlight w:val="yellow"/>
        </w:rPr>
      </w:pPr>
      <w:r>
        <w:rPr>
          <w:rFonts w:hint="eastAsia" w:ascii="宋体" w:hAnsi="宋体" w:eastAsia="宋体" w:cs="宋体"/>
          <w:b/>
          <w:bCs/>
          <w:kern w:val="2"/>
          <w:sz w:val="21"/>
          <w:szCs w:val="21"/>
          <w:highlight w:val="yellow"/>
          <w:lang w:val="en-US" w:eastAsia="zh-CN" w:bidi="ar"/>
        </w:rPr>
        <w:t>（</w:t>
      </w:r>
      <w:r>
        <w:rPr>
          <w:rFonts w:hint="default" w:ascii="Times New Roman" w:hAnsi="Times New Roman" w:eastAsia="宋体" w:cs="Times New Roman"/>
          <w:b/>
          <w:bCs/>
          <w:kern w:val="2"/>
          <w:sz w:val="21"/>
          <w:szCs w:val="21"/>
          <w:highlight w:val="yellow"/>
          <w:lang w:val="en-US" w:eastAsia="zh-CN" w:bidi="ar"/>
        </w:rPr>
        <w:t>2</w:t>
      </w:r>
      <w:r>
        <w:rPr>
          <w:rFonts w:hint="eastAsia" w:ascii="宋体" w:hAnsi="宋体" w:eastAsia="宋体" w:cs="宋体"/>
          <w:b/>
          <w:bCs/>
          <w:kern w:val="2"/>
          <w:sz w:val="21"/>
          <w:szCs w:val="21"/>
          <w:highlight w:val="yellow"/>
          <w:lang w:val="en-US" w:eastAsia="zh-CN" w:bidi="ar"/>
        </w:rPr>
        <w:t>）成交后，响应保证金自动转为履约保证金。</w:t>
      </w:r>
    </w:p>
    <w:p w14:paraId="66FF7507">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14:paraId="4A6F32B7">
      <w:pPr>
        <w:pageBreakBefore w:val="0"/>
        <w:kinsoku/>
        <w:wordWrap/>
        <w:overflowPunct/>
        <w:topLinePunct w:val="0"/>
        <w:bidi w:val="0"/>
        <w:adjustRightInd/>
        <w:snapToGrid w:val="0"/>
        <w:spacing w:line="460" w:lineRule="exact"/>
        <w:ind w:firstLine="420" w:firstLineChars="200"/>
        <w:textAlignment w:val="auto"/>
        <w:rPr>
          <w:rFonts w:hint="default"/>
          <w:lang w:val="en-US" w:eastAsia="zh-CN"/>
        </w:rPr>
      </w:pPr>
      <w:bookmarkStart w:id="36" w:name="_Toc20572_WPSOffice_Level2"/>
      <w:bookmarkStart w:id="37" w:name="_Toc525632592"/>
      <w:bookmarkStart w:id="38" w:name="_Toc8501"/>
      <w:bookmarkStart w:id="39" w:name="_Toc26829"/>
      <w:bookmarkStart w:id="40" w:name="_Toc321_WPSOffice_Level2"/>
      <w:bookmarkStart w:id="41" w:name="_Toc28571_WPSOffice_Level2"/>
      <w:bookmarkStart w:id="42" w:name="_Toc14943_WPSOffice_Level2"/>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w:t>
      </w:r>
      <w:r>
        <w:rPr>
          <w:rFonts w:hint="eastAsia" w:ascii="Times New Roman" w:hAnsi="Times New Roman" w:cs="Times New Roman"/>
          <w:color w:val="000000" w:themeColor="text1"/>
          <w:szCs w:val="22"/>
          <w14:textFill>
            <w14:solidFill>
              <w14:schemeClr w14:val="tx1"/>
            </w14:solidFill>
          </w14:textFill>
        </w:rPr>
        <w:t>公告”栏目中</w:t>
      </w:r>
      <w:r>
        <w:rPr>
          <w:rFonts w:ascii="Times New Roman" w:hAnsi="Times New Roman" w:cs="Times New Roman"/>
          <w:color w:val="000000" w:themeColor="text1"/>
          <w:szCs w:val="22"/>
          <w14:textFill>
            <w14:solidFill>
              <w14:schemeClr w14:val="tx1"/>
            </w14:solidFill>
          </w14:textFill>
        </w:rPr>
        <w:t>发布。</w:t>
      </w:r>
    </w:p>
    <w:p w14:paraId="5DBE2D2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14:paraId="42AA70E5">
      <w:pPr>
        <w:pageBreakBefore w:val="0"/>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安徽交控建设工程集团有限公司</w:t>
      </w:r>
    </w:p>
    <w:p w14:paraId="0183C976">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室</w:t>
      </w:r>
      <w:r>
        <w:rPr>
          <w:rFonts w:hint="default" w:ascii="Times New Roman" w:hAnsi="Times New Roman" w:cs="Times New Roman"/>
          <w:color w:val="auto"/>
          <w:sz w:val="21"/>
          <w:szCs w:val="22"/>
          <w:highlight w:val="none"/>
          <w:u w:val="single"/>
          <w:lang w:val="en-US" w:eastAsia="zh-CN"/>
        </w:rPr>
        <w:t xml:space="preserve"> </w:t>
      </w:r>
    </w:p>
    <w:p w14:paraId="7A112477">
      <w:pPr>
        <w:pageBreakBefore w:val="0"/>
        <w:kinsoku/>
        <w:wordWrap/>
        <w:overflowPunct/>
        <w:topLinePunct w:val="0"/>
        <w:bidi w:val="0"/>
        <w:adjustRightInd/>
        <w:spacing w:line="460" w:lineRule="exact"/>
        <w:ind w:firstLine="420" w:firstLineChars="200"/>
        <w:textAlignment w:val="auto"/>
        <w:rPr>
          <w:rFonts w:hint="default" w:ascii="Times New Roman" w:hAnsi="Times New Roman" w:cs="Times New Roman"/>
          <w:color w:val="auto"/>
          <w:sz w:val="21"/>
          <w:szCs w:val="22"/>
          <w:highlight w:val="none"/>
          <w:u w:val="singl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方工  余工</w:t>
      </w:r>
      <w:r>
        <w:rPr>
          <w:rFonts w:hint="default" w:ascii="Times New Roman" w:hAnsi="Times New Roman" w:cs="Times New Roman"/>
          <w:color w:val="auto"/>
          <w:sz w:val="21"/>
          <w:szCs w:val="22"/>
          <w:highlight w:val="none"/>
          <w:u w:val="single"/>
        </w:rPr>
        <w:t xml:space="preserve"> </w:t>
      </w:r>
    </w:p>
    <w:p w14:paraId="5492B619">
      <w:pPr>
        <w:pageBreakBefore w:val="0"/>
        <w:widowControl/>
        <w:kinsoku/>
        <w:wordWrap/>
        <w:overflowPunct/>
        <w:topLinePunct w:val="0"/>
        <w:bidi w:val="0"/>
        <w:adjustRightInd/>
        <w:spacing w:line="460" w:lineRule="exact"/>
        <w:ind w:firstLine="420" w:firstLineChars="200"/>
        <w:textAlignment w:val="auto"/>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15256002215   13866130523  </w:t>
      </w:r>
    </w:p>
    <w:p w14:paraId="2FE607D9">
      <w:pPr>
        <w:pageBreakBefore w:val="0"/>
        <w:kinsoku/>
        <w:wordWrap/>
        <w:overflowPunct/>
        <w:topLinePunct w:val="0"/>
        <w:bidi w:val="0"/>
        <w:adjustRightInd/>
        <w:spacing w:line="460" w:lineRule="exact"/>
        <w:ind w:firstLine="420" w:firstLineChars="200"/>
        <w:textAlignment w:val="auto"/>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1197049604@qq.com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14:paraId="26A91422">
      <w:pPr>
        <w:pStyle w:val="2"/>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29CDA18">
      <w:pPr>
        <w:pStyle w:val="28"/>
        <w:pageBreakBefore w:val="0"/>
        <w:kinsoku/>
        <w:wordWrap/>
        <w:overflowPunct/>
        <w:topLinePunct w:val="0"/>
        <w:bidi w:val="0"/>
        <w:adjustRightInd/>
        <w:spacing w:line="4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7F01151">
      <w:pPr>
        <w:rPr>
          <w:rFonts w:ascii="Times New Roman" w:hAnsi="Times New Roman" w:cs="Times New Roman"/>
          <w:sz w:val="24"/>
          <w:szCs w:val="28"/>
        </w:rPr>
      </w:pP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3"/>
        <w:spacing w:before="312" w:after="312"/>
        <w:rPr>
          <w:rFonts w:hint="eastAsia" w:ascii="Times New Roman" w:hAnsi="Times New Roman" w:eastAsia="宋体" w:cs="Times New Roman"/>
        </w:rPr>
      </w:pPr>
      <w:bookmarkStart w:id="43" w:name="_Toc11819"/>
      <w:bookmarkStart w:id="44" w:name="_Toc6562"/>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2632"/>
        <w:gridCol w:w="5675"/>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1060"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632"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675"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63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63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highlight w:val="yellow"/>
              </w:rPr>
              <w:t>响应文件胶装，商务技术文件、报价文件分别密封，正副本密封在同一密封袋，封口处须密封并加盖企业公章。</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t>最高投标限价人民币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lang w:val="en-US" w:eastAsia="zh-CN"/>
              </w:rPr>
              <w:t>详见采购公告</w:t>
            </w:r>
            <w:r>
              <w:rPr>
                <w:rFonts w:hint="eastAsia" w:ascii="宋体" w:hAnsi="宋体" w:eastAsia="宋体" w:cs="宋体"/>
                <w:b/>
                <w:color w:val="auto"/>
                <w:sz w:val="21"/>
                <w:szCs w:val="21"/>
                <w:highlight w:val="none"/>
                <w:u w:val="none"/>
                <w:lang w:val="en-US" w:eastAsia="zh-CN"/>
              </w:rPr>
              <w:t>。</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EFF0928">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是否要求供应商递交响应保证金：</w:t>
            </w:r>
          </w:p>
          <w:p w14:paraId="6088C991">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□不要求     ☑要求，</w:t>
            </w:r>
          </w:p>
          <w:p w14:paraId="3D3D1F32">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响应保证金的形式：第一类：</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lang w:eastAsia="zh-CN"/>
              </w:rPr>
              <w:instrText xml:space="preserve">,</w:instrText>
            </w:r>
            <w:r>
              <w:rPr>
                <w:rFonts w:hint="eastAsia" w:ascii="宋体" w:hAnsi="宋体" w:eastAsia="宋体" w:cs="宋体"/>
                <w:color w:val="auto"/>
                <w:position w:val="2"/>
                <w:sz w:val="21"/>
                <w:szCs w:val="21"/>
                <w:lang w:eastAsia="zh-CN"/>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银行转账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eq \o\ac(□)</w:instrTex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银行电汇  </w:t>
            </w:r>
          </w:p>
          <w:p w14:paraId="09DD978E">
            <w:pPr>
              <w:pStyle w:val="7"/>
              <w:keepNext w:val="0"/>
              <w:keepLines w:val="0"/>
              <w:suppressLineNumbers w:val="0"/>
              <w:spacing w:before="0" w:beforeLines="0" w:beforeAutospacing="0" w:after="0" w:afterLines="0" w:afterAutospacing="0"/>
              <w:ind w:left="0" w:right="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响应保证金的金额：详见采购公告</w:t>
            </w:r>
            <w:r>
              <w:rPr>
                <w:rFonts w:hint="eastAsia" w:ascii="宋体" w:hAnsi="宋体" w:eastAsia="宋体" w:cs="宋体"/>
                <w:b/>
                <w:color w:val="auto"/>
                <w:sz w:val="21"/>
                <w:szCs w:val="21"/>
                <w:lang w:eastAsia="zh-CN"/>
              </w:rPr>
              <w:t>。</w:t>
            </w:r>
          </w:p>
          <w:p w14:paraId="7A1ABE59">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递交要求： </w:t>
            </w:r>
          </w:p>
          <w:p w14:paraId="1222CB32">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①投标保证金的到账截止时间：投标截止时间。</w:t>
            </w:r>
          </w:p>
          <w:p w14:paraId="574F482D">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yellow"/>
              </w:rPr>
              <w:t>②投标保证金应当从供应商账户转出</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不接受以个人名义或以现金形式提交的响应保证金。</w:t>
            </w:r>
          </w:p>
          <w:p w14:paraId="24477B65">
            <w:pPr>
              <w:pStyle w:val="7"/>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u w:val="single"/>
              </w:rPr>
            </w:pPr>
            <w:r>
              <w:rPr>
                <w:rFonts w:hint="eastAsia" w:ascii="宋体" w:hAnsi="宋体" w:eastAsia="宋体" w:cs="宋体"/>
                <w:color w:val="auto"/>
                <w:sz w:val="21"/>
                <w:szCs w:val="21"/>
              </w:rPr>
              <w:t>③转入的开户银行及账号见本项目招标公告所示。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其他可以不予退还投标保证金的情形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5B3D4F8">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（1）中标候选人放弃中标候选人资格；</w:t>
            </w:r>
          </w:p>
          <w:p w14:paraId="66890F5A">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（2）供应商在投标过程中存在弄虚作假、与采购人或者其他供应商串通投标、以行贿谋取中标、无正当理由放弃中标以及进行恶意投诉等投标不良行为的；</w:t>
            </w:r>
          </w:p>
          <w:p w14:paraId="30CF9BB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成交候选人无正当理由放弃成交资格的；或成交人无正当理由不与采购人签订合同的；或成交人在签订合同时向采购人提出附加条件或者更改合同实质性内容的；或者成交人不提交采购文件所要求的履约保证金的。</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2021</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w:t>
            </w:r>
            <w:r>
              <w:rPr>
                <w:rFonts w:hint="eastAsia" w:cs="宋体"/>
                <w:color w:val="000000"/>
                <w:sz w:val="21"/>
                <w:szCs w:val="21"/>
                <w:lang w:val="en-US" w:eastAsia="zh-CN"/>
              </w:rPr>
              <w:t>结果公示</w:t>
            </w:r>
            <w:r>
              <w:rPr>
                <w:rFonts w:hint="eastAsia" w:ascii="宋体" w:hAnsi="宋体" w:eastAsia="宋体" w:cs="宋体"/>
                <w:color w:val="000000"/>
                <w:sz w:val="21"/>
                <w:szCs w:val="21"/>
              </w:rPr>
              <w:t>”栏目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2C6791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1060"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A6BB22">
            <w:pPr>
              <w:keepNext w:val="0"/>
              <w:keepLines w:val="0"/>
              <w:widowControl/>
              <w:suppressLineNumbers w:val="0"/>
              <w:spacing w:before="0" w:beforeLines="0" w:beforeAutospacing="0" w:after="0" w:afterLines="0" w:afterAutospacing="0"/>
              <w:ind w:left="0" w:right="0"/>
              <w:jc w:val="center"/>
              <w:textAlignment w:val="center"/>
              <w:rPr>
                <w:rFonts w:hint="default" w:eastAsiaTheme="minorEastAsia"/>
                <w:color w:val="auto"/>
                <w:sz w:val="22"/>
                <w:szCs w:val="21"/>
                <w:lang w:val="en-US" w:eastAsia="zh-CN"/>
              </w:rPr>
            </w:pPr>
            <w:r>
              <w:rPr>
                <w:rFonts w:hint="eastAsia"/>
                <w:color w:val="auto"/>
                <w:sz w:val="22"/>
                <w:szCs w:val="21"/>
                <w:lang w:val="en-US" w:eastAsia="zh-CN"/>
              </w:rPr>
              <w:t>49</w:t>
            </w:r>
          </w:p>
        </w:tc>
        <w:tc>
          <w:tcPr>
            <w:tcW w:w="26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D28EB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送样</w:t>
            </w:r>
          </w:p>
        </w:tc>
        <w:tc>
          <w:tcPr>
            <w:tcW w:w="5675"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F0D70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拟中标人须在采购人通知5日内送样经采购人确认封样，供货材质、颜色、效果等须和封样产品一致或经采购人同意优化后不低于上述要求。如所送样品不符合产品要求或在供应过程中达不到采购人要求的：</w:t>
            </w:r>
          </w:p>
          <w:p w14:paraId="716334BB">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1）采购人有权终止中标候选人资格，并没收投标保证金；按候选人公示顺延成交人或重新采购。</w:t>
            </w:r>
          </w:p>
          <w:p w14:paraId="6444B8D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2）采购人有权终止合同，并依据合同规定追究法律责任。</w:t>
            </w:r>
          </w:p>
          <w:p w14:paraId="1A028DD3">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3）采购人有权对拟中标人违约行为按照约定进行处罚。</w:t>
            </w:r>
          </w:p>
          <w:p w14:paraId="47ED8B8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yellow"/>
                <w:lang w:val="en-US" w:eastAsia="zh-CN"/>
              </w:rPr>
              <w:t>4）采购人有权将未完成的工程量移交给第三方实施，供应商应无条件配合相关移交工作。</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367"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lang w:val="en-US" w:eastAsia="zh-CN"/>
              </w:rPr>
            </w:pPr>
            <w:r>
              <w:rPr>
                <w:rFonts w:hint="eastAsia"/>
                <w:color w:val="auto"/>
                <w:sz w:val="22"/>
                <w:szCs w:val="21"/>
                <w:lang w:val="en-US" w:eastAsia="zh-CN"/>
              </w:rPr>
              <w:t>50</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7ED555F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异议人或其他利害关系人对评标结果有异议的，应以书面形式提出，异议材料应包括：</w:t>
            </w:r>
          </w:p>
          <w:p w14:paraId="56ACDBD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（1）异议人的名称、地址及有效联系方式；</w:t>
            </w:r>
          </w:p>
          <w:p w14:paraId="3DCFF56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（2）异议事项的基本事实；</w:t>
            </w:r>
          </w:p>
          <w:p w14:paraId="012FE36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（3）有效线索和相关证明材料。</w:t>
            </w:r>
          </w:p>
          <w:p w14:paraId="16E0BA74">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524" w:hRule="atLeast"/>
          <w:jc w:val="center"/>
        </w:trPr>
        <w:tc>
          <w:tcPr>
            <w:tcW w:w="1060"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highlight w:val="yellow"/>
                <w:lang w:val="en-US" w:eastAsia="zh-CN"/>
              </w:rPr>
            </w:pPr>
            <w:r>
              <w:rPr>
                <w:rFonts w:hint="eastAsia"/>
                <w:color w:val="auto"/>
                <w:sz w:val="22"/>
                <w:szCs w:val="21"/>
                <w:highlight w:val="yellow"/>
                <w:lang w:val="en-US" w:eastAsia="zh-CN"/>
              </w:rPr>
              <w:t>51</w:t>
            </w:r>
          </w:p>
        </w:tc>
        <w:tc>
          <w:tcPr>
            <w:tcW w:w="8307"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p w14:paraId="0B0878D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2.材料常规检测费用含在报价中，采购人不另外单独支付。</w:t>
            </w:r>
          </w:p>
        </w:tc>
      </w:tr>
    </w:tbl>
    <w:p w14:paraId="709811FB">
      <w:pPr>
        <w:rPr>
          <w:rFonts w:ascii="Times New Roman" w:hAnsi="Times New Roman" w:eastAsia="黑体" w:cs="Times New Roman"/>
          <w:bCs/>
          <w:sz w:val="24"/>
          <w:szCs w:val="32"/>
        </w:rPr>
      </w:pPr>
      <w:bookmarkStart w:id="45" w:name="_Toc14201207"/>
      <w:bookmarkStart w:id="46" w:name="_Toc9067720"/>
      <w:bookmarkStart w:id="47" w:name="_Toc26656938"/>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2C0E0BEE">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1DC4EEEE">
      <w:pPr>
        <w:pStyle w:val="2"/>
        <w:spacing w:beforeLines="0" w:afterLines="0"/>
        <w:rPr>
          <w:rFonts w:hint="eastAsia"/>
          <w:sz w:val="21"/>
          <w:szCs w:val="24"/>
        </w:rPr>
      </w:pPr>
    </w:p>
    <w:p w14:paraId="0C63E4EF">
      <w:pPr>
        <w:pStyle w:val="2"/>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w:t>
      </w:r>
      <w:r>
        <w:rPr>
          <w:rFonts w:hint="eastAsia"/>
          <w:color w:val="auto"/>
          <w:sz w:val="24"/>
          <w:szCs w:val="24"/>
        </w:rPr>
        <w:t>（业绩最低要求）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rPr>
            </w:pPr>
            <w:r>
              <w:rPr>
                <w:rFonts w:hint="eastAsia" w:ascii="宋体" w:hAnsi="宋体" w:eastAsia="宋体" w:cs="宋体"/>
                <w:color w:val="auto"/>
                <w:sz w:val="21"/>
                <w:szCs w:val="21"/>
                <w:highlight w:val="yellow"/>
                <w:lang w:val="en-US" w:eastAsia="zh-CN"/>
              </w:rPr>
              <w:t>至少提供1个自2021年1月1日以来，单项合同额不低于100万元的铝合金门窗供应合同业绩（每个业绩至少提供一张该项目的增值税发票或收到业主转账的收款凭证）。</w:t>
            </w:r>
            <w:bookmarkStart w:id="172" w:name="_GoBack"/>
            <w:bookmarkEnd w:id="172"/>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2"/>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2"/>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08192E30">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174FA075">
      <w:pPr>
        <w:rPr>
          <w:rFonts w:hint="eastAsia"/>
        </w:rPr>
      </w:pPr>
    </w:p>
    <w:p w14:paraId="16533D52">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lang w:val="en-US" w:eastAsia="zh-CN"/>
        </w:rPr>
        <w:t>3</w:t>
      </w:r>
      <w:r>
        <w:rPr>
          <w:rFonts w:hint="eastAsia" w:ascii="黑体" w:eastAsia="黑体"/>
          <w:color w:val="auto"/>
          <w:sz w:val="24"/>
          <w:szCs w:val="24"/>
        </w:rPr>
        <w:t>资格审查条件</w:t>
      </w:r>
      <w:r>
        <w:rPr>
          <w:rFonts w:hint="eastAsia"/>
          <w:color w:val="auto"/>
          <w:sz w:val="24"/>
          <w:szCs w:val="24"/>
        </w:rPr>
        <w:t>（信誉最低要求）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14201210"/>
      <w:bookmarkStart w:id="51" w:name="_Toc26656941"/>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26656942"/>
      <w:bookmarkStart w:id="53" w:name="_Toc14201211"/>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14201212"/>
      <w:bookmarkStart w:id="55" w:name="_Toc2665694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26656944"/>
      <w:bookmarkStart w:id="57" w:name="_Toc1420121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14201215"/>
      <w:bookmarkStart w:id="59" w:name="_Toc2665694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26656947"/>
      <w:bookmarkStart w:id="61" w:name="_Toc14201216"/>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14201218"/>
      <w:bookmarkStart w:id="63" w:name="_Toc2665694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14201219"/>
      <w:bookmarkStart w:id="65" w:name="_Toc26656950"/>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26656951"/>
      <w:bookmarkStart w:id="67" w:name="_Toc9067721"/>
      <w:bookmarkStart w:id="68" w:name="_Toc14201220"/>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26656952"/>
      <w:bookmarkStart w:id="70" w:name="_Toc14201221"/>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26656953"/>
      <w:bookmarkStart w:id="72" w:name="_Toc14201222"/>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26656956"/>
      <w:bookmarkStart w:id="74" w:name="_Toc9067722"/>
      <w:bookmarkStart w:id="75" w:name="_Toc14201225"/>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26656957"/>
      <w:bookmarkStart w:id="77" w:name="_Toc14201226"/>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26656958"/>
      <w:bookmarkStart w:id="79" w:name="_Toc14201227"/>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lang w:eastAsia="zh-CN"/>
        </w:rPr>
        <w:t>（</w:t>
      </w:r>
      <w:r>
        <w:rPr>
          <w:rFonts w:hint="eastAsia" w:ascii="Times New Roman" w:hAnsi="Times New Roman"/>
          <w:color w:val="auto"/>
          <w:sz w:val="21"/>
          <w:szCs w:val="24"/>
          <w:lang w:val="en-US" w:eastAsia="zh-CN"/>
        </w:rPr>
        <w:t>1</w:t>
      </w:r>
      <w:r>
        <w:rPr>
          <w:rFonts w:hint="eastAsia" w:ascii="Times New Roman" w:hAnsi="Times New Roman"/>
          <w:color w:val="auto"/>
          <w:sz w:val="21"/>
          <w:szCs w:val="24"/>
          <w:lang w:eastAsia="zh-CN"/>
        </w:rPr>
        <w:t>）</w:t>
      </w:r>
      <w:r>
        <w:rPr>
          <w:rFonts w:hint="eastAsia" w:ascii="Times New Roman" w:hAnsi="Times New Roman"/>
          <w:color w:val="auto"/>
          <w:sz w:val="21"/>
          <w:szCs w:val="24"/>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（6）供货方案；</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（7）技术性能（质量）指标描述</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（8）承诺书</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（9）其他材料。</w:t>
      </w: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14201228"/>
      <w:bookmarkStart w:id="81" w:name="_Toc26656959"/>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14201229"/>
      <w:bookmarkStart w:id="83" w:name="_Toc26656960"/>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26656963"/>
      <w:bookmarkStart w:id="87" w:name="_Toc14201232"/>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14201233"/>
      <w:bookmarkStart w:id="89" w:name="_Toc26656964"/>
      <w:bookmarkStart w:id="90" w:name="_Toc906772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14201235"/>
      <w:bookmarkStart w:id="94" w:name="_Toc26656966"/>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w:t>
      </w:r>
      <w:r>
        <w:rPr>
          <w:rFonts w:hint="eastAsia" w:ascii="Times New Roman" w:hAnsi="Times New Roman" w:eastAsia="黑体" w:cs="黑体"/>
          <w:b/>
          <w:snapToGrid w:val="0"/>
          <w:kern w:val="0"/>
          <w:sz w:val="21"/>
          <w:szCs w:val="21"/>
          <w:highlight w:val="yellow"/>
          <w:lang w:val="en-US" w:eastAsia="zh-CN"/>
        </w:rPr>
        <w:t xml:space="preserve"> </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9067724"/>
      <w:bookmarkStart w:id="96" w:name="_Toc26656968"/>
      <w:bookmarkStart w:id="97" w:name="_Toc14201237"/>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26656969"/>
      <w:bookmarkStart w:id="99" w:name="_Toc14201238"/>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26656970"/>
      <w:bookmarkStart w:id="101" w:name="_Toc14201239"/>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9067725"/>
      <w:bookmarkStart w:id="103" w:name="_Toc14201241"/>
      <w:bookmarkStart w:id="104" w:name="_Toc26656972"/>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14201242"/>
      <w:bookmarkStart w:id="106" w:name="_Toc26656973"/>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26656975"/>
      <w:bookmarkStart w:id="108" w:name="_Toc14201244"/>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26656976"/>
      <w:bookmarkStart w:id="110" w:name="_Toc14201245"/>
      <w:bookmarkStart w:id="111" w:name="_Toc9067726"/>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14201246"/>
      <w:bookmarkStart w:id="113" w:name="_Toc26656977"/>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14201247"/>
      <w:bookmarkStart w:id="115" w:name="_Toc26656978"/>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14201248"/>
      <w:bookmarkStart w:id="117" w:name="_Toc26656979"/>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14201250"/>
      <w:bookmarkStart w:id="119" w:name="_Toc26656981"/>
      <w:r>
        <w:rPr>
          <w:rFonts w:hint="eastAsia" w:ascii="Times New Roman" w:hAnsi="Times New Roman" w:eastAsia="Times New Roman"/>
          <w:color w:val="auto"/>
          <w:sz w:val="24"/>
          <w:szCs w:val="32"/>
        </w:rPr>
        <w:t>7.</w:t>
      </w:r>
      <w:bookmarkEnd w:id="118"/>
      <w:bookmarkEnd w:id="119"/>
      <w:bookmarkStart w:id="120" w:name="_Toc14201252"/>
      <w:bookmarkStart w:id="121" w:name="_Toc26656983"/>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26656984"/>
      <w:bookmarkStart w:id="123"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26656988"/>
      <w:bookmarkStart w:id="125" w:name="_Toc9067727"/>
      <w:bookmarkStart w:id="126" w:name="_Toc1420125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14201262"/>
      <w:bookmarkStart w:id="128" w:name="_Toc26656993"/>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14201263"/>
      <w:bookmarkStart w:id="130" w:name="_Toc9067731"/>
      <w:bookmarkStart w:id="131" w:name="_Toc26656994"/>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ACF8969">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4"/>
        </w:rPr>
        <w:br w:type="page"/>
      </w:r>
    </w:p>
    <w:p w14:paraId="63EFC54A">
      <w:pPr>
        <w:topLinePunct/>
        <w:adjustRightInd w:val="0"/>
        <w:snapToGrid w:val="0"/>
        <w:spacing w:beforeLines="0" w:afterLines="0"/>
        <w:rPr>
          <w:rFonts w:hint="eastAsia" w:ascii="黑体" w:hAnsi="黑体" w:eastAsia="黑体" w:cs="黑体"/>
          <w:sz w:val="28"/>
          <w:szCs w:val="28"/>
        </w:rPr>
      </w:pPr>
      <w:bookmarkStart w:id="132" w:name="_Toc23501_WPSOffice_Level2"/>
      <w:r>
        <w:rPr>
          <w:rFonts w:hint="eastAsia" w:ascii="Times New Roman" w:hAnsi="Times New Roman" w:eastAsia="黑体"/>
          <w:sz w:val="28"/>
          <w:szCs w:val="28"/>
        </w:rPr>
        <w:t>附件一</w:t>
      </w:r>
      <w:r>
        <w:rPr>
          <w:rFonts w:hint="eastAsia" w:ascii="黑体" w:hAnsi="黑体" w:eastAsia="黑体" w:cs="黑体"/>
          <w:sz w:val="28"/>
          <w:szCs w:val="28"/>
        </w:rPr>
        <w:t>：</w:t>
      </w:r>
    </w:p>
    <w:p w14:paraId="34AA0C2D">
      <w:pPr>
        <w:topLinePunct/>
        <w:adjustRightInd w:val="0"/>
        <w:snapToGrid w:val="0"/>
        <w:spacing w:beforeLines="0" w:afterLines="0"/>
        <w:jc w:val="center"/>
        <w:rPr>
          <w:rStyle w:val="43"/>
          <w:rFonts w:hint="eastAsia" w:ascii="方正小标宋简体" w:hAnsi="方正小标宋简体" w:eastAsia="方正小标宋简体" w:cs="方正小标宋简体"/>
          <w:b w:val="0"/>
          <w:sz w:val="32"/>
          <w:szCs w:val="36"/>
        </w:rPr>
      </w:pPr>
      <w:r>
        <w:rPr>
          <w:rFonts w:hint="eastAsia" w:ascii="黑体" w:hAnsi="黑体" w:eastAsia="黑体" w:cs="黑体"/>
          <w:sz w:val="28"/>
          <w:szCs w:val="28"/>
        </w:rPr>
        <w:t>履约</w:t>
      </w:r>
      <w:r>
        <w:rPr>
          <w:rFonts w:hint="eastAsia" w:ascii="黑体" w:hAnsi="黑体" w:eastAsia="黑体" w:cs="黑体"/>
          <w:sz w:val="28"/>
          <w:szCs w:val="32"/>
        </w:rPr>
        <w:t>保证金</w:t>
      </w:r>
      <w:r>
        <w:rPr>
          <w:rFonts w:hint="eastAsia" w:ascii="黑体" w:hAnsi="黑体" w:eastAsia="黑体" w:cs="黑体"/>
          <w:sz w:val="28"/>
          <w:szCs w:val="28"/>
        </w:rPr>
        <w:t>格式</w:t>
      </w:r>
      <w:bookmarkEnd w:id="132"/>
    </w:p>
    <w:p w14:paraId="0FF253CE">
      <w:pPr>
        <w:snapToGrid w:val="0"/>
        <w:spacing w:beforeLines="0" w:afterLines="0" w:line="440" w:lineRule="exact"/>
        <w:rPr>
          <w:rFonts w:hint="eastAsia" w:ascii="Times New Roman" w:hAnsi="Times New Roman" w:eastAsia="Times New Roman"/>
          <w:sz w:val="21"/>
          <w:szCs w:val="21"/>
        </w:rPr>
      </w:pPr>
      <w:r>
        <w:rPr>
          <w:rFonts w:hint="eastAsia" w:ascii="Times New Roman" w:hAnsi="Times New Roman"/>
          <w:sz w:val="21"/>
          <w:szCs w:val="21"/>
        </w:rPr>
        <w:t>如采用银行保函，格式如下。</w:t>
      </w:r>
    </w:p>
    <w:p w14:paraId="0DB7FB5F">
      <w:pPr>
        <w:spacing w:beforeLines="0" w:afterLines="0" w:line="440" w:lineRule="exact"/>
        <w:ind w:firstLine="2520" w:firstLineChars="1200"/>
        <w:rPr>
          <w:rFonts w:hint="eastAsia" w:ascii="Times New Roman" w:hAnsi="Times New Roman" w:eastAsia="Times New Roman"/>
          <w:sz w:val="21"/>
          <w:szCs w:val="21"/>
        </w:rPr>
      </w:pPr>
    </w:p>
    <w:p w14:paraId="00833DEB">
      <w:pPr>
        <w:spacing w:beforeLines="0" w:afterLines="0" w:line="440" w:lineRule="exact"/>
        <w:ind w:firstLine="480"/>
        <w:jc w:val="center"/>
        <w:rPr>
          <w:rFonts w:hint="eastAsia" w:ascii="Times New Roman" w:hAnsi="Times New Roman" w:eastAsia="Times New Roman"/>
          <w:sz w:val="21"/>
          <w:szCs w:val="21"/>
        </w:rPr>
      </w:pPr>
      <w:r>
        <w:rPr>
          <w:rFonts w:hint="eastAsia" w:ascii="Times New Roman" w:hAnsi="Times New Roman"/>
          <w:sz w:val="21"/>
          <w:szCs w:val="21"/>
        </w:rPr>
        <w:t>履 约 保 证 金</w:t>
      </w:r>
    </w:p>
    <w:p w14:paraId="1F9DC62C">
      <w:pPr>
        <w:spacing w:beforeLines="0" w:afterLines="0" w:line="440" w:lineRule="exact"/>
        <w:rPr>
          <w:rFonts w:hint="eastAsia" w:ascii="Times New Roman" w:hAnsi="Times New Roman" w:eastAsia="Times New Roman"/>
          <w:sz w:val="21"/>
          <w:szCs w:val="21"/>
        </w:rPr>
      </w:pPr>
    </w:p>
    <w:p w14:paraId="2378999D">
      <w:pPr>
        <w:spacing w:beforeLines="0" w:afterLines="0" w:line="44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w:t>
      </w:r>
    </w:p>
    <w:p w14:paraId="064A1B8D">
      <w:pPr>
        <w:spacing w:beforeLines="0" w:afterLines="0" w:line="440" w:lineRule="exact"/>
        <w:rPr>
          <w:rFonts w:hint="eastAsia" w:ascii="Times New Roman" w:hAnsi="Times New Roman" w:eastAsia="Times New Roman"/>
          <w:sz w:val="21"/>
          <w:szCs w:val="21"/>
        </w:rPr>
      </w:pPr>
    </w:p>
    <w:p w14:paraId="12AB99EB">
      <w:pPr>
        <w:spacing w:beforeLines="0" w:afterLines="0" w:line="440" w:lineRule="exact"/>
        <w:ind w:firstLine="525" w:firstLineChars="250"/>
        <w:rPr>
          <w:rFonts w:hint="eastAsia" w:ascii="Times New Roman" w:hAnsi="Times New Roman" w:eastAsia="Times New Roman"/>
          <w:sz w:val="21"/>
          <w:szCs w:val="21"/>
        </w:rPr>
      </w:pPr>
      <w:r>
        <w:rPr>
          <w:rFonts w:hint="eastAsia" w:ascii="Times New Roman" w:hAnsi="Times New Roman"/>
          <w:sz w:val="21"/>
          <w:szCs w:val="21"/>
        </w:rPr>
        <w:t>鉴于</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甲方名称，以下简称</w:t>
      </w:r>
      <w:r>
        <w:rPr>
          <w:rFonts w:hint="eastAsia" w:ascii="宋体" w:hAnsi="宋体" w:cs="宋体"/>
          <w:sz w:val="21"/>
          <w:szCs w:val="21"/>
        </w:rPr>
        <w:t>“甲方”</w:t>
      </w:r>
      <w:r>
        <w:rPr>
          <w:rFonts w:hint="eastAsia" w:ascii="Times New Roman" w:hAnsi="Times New Roman" w:eastAsia="Times New Roman"/>
          <w:sz w:val="21"/>
          <w:szCs w:val="21"/>
        </w:rPr>
        <w:t>)</w:t>
      </w:r>
      <w:r>
        <w:rPr>
          <w:rFonts w:hint="eastAsia" w:ascii="Times New Roman" w:hAnsi="Times New Roman"/>
          <w:sz w:val="21"/>
          <w:szCs w:val="21"/>
        </w:rPr>
        <w:t>接受</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乙方名称)(以下称“乙方</w:t>
      </w:r>
      <w:r>
        <w:rPr>
          <w:rFonts w:hint="eastAsia" w:ascii="Times New Roman" w:hAnsi="Times New Roman" w:eastAsia="Times New Roman"/>
          <w:sz w:val="21"/>
          <w:szCs w:val="21"/>
        </w:rPr>
        <w:t>”)</w:t>
      </w:r>
      <w:r>
        <w:rPr>
          <w:rFonts w:hint="eastAsia" w:ascii="Times New Roman" w:hAnsi="Times New Roman"/>
          <w:sz w:val="21"/>
          <w:szCs w:val="21"/>
        </w:rPr>
        <w:t>于</w:t>
      </w:r>
      <w:r>
        <w:rPr>
          <w:rFonts w:hint="eastAsia" w:ascii="Times New Roman" w:hAnsi="Times New Roman" w:eastAsia="Times New Roman"/>
          <w:sz w:val="21"/>
          <w:szCs w:val="21"/>
          <w:u w:val="single"/>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月</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日参加</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项目名称)的报价。我方愿意无条件地、不可撤销地就乙方履行与你方订立的合同，向你方提供担保。</w:t>
      </w:r>
    </w:p>
    <w:p w14:paraId="24F73E90">
      <w:pPr>
        <w:spacing w:beforeLines="0" w:afterLines="0" w:line="440" w:lineRule="exact"/>
        <w:ind w:left="367" w:leftChars="175"/>
        <w:rPr>
          <w:rFonts w:hint="eastAsia" w:ascii="Times New Roman" w:hAnsi="Times New Roman" w:eastAsia="Times New Roman"/>
          <w:sz w:val="21"/>
          <w:szCs w:val="21"/>
        </w:rPr>
      </w:pPr>
      <w:r>
        <w:rPr>
          <w:rFonts w:hint="eastAsia" w:ascii="Times New Roman" w:hAnsi="Times New Roman"/>
          <w:sz w:val="21"/>
          <w:szCs w:val="21"/>
        </w:rPr>
        <w:t>1、担保金额人民币(大写)</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元(¥</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w:t>
      </w:r>
    </w:p>
    <w:p w14:paraId="1BF565E9">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sz w:val="21"/>
          <w:szCs w:val="21"/>
        </w:rPr>
        <w:t>、担保有效期自甲方与乙方签订的合同生效之日起至甲方验收本项目货物验收通过之日止。</w:t>
      </w:r>
    </w:p>
    <w:p w14:paraId="64DCA5ED">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sz w:val="21"/>
          <w:szCs w:val="21"/>
        </w:rPr>
        <w:t>、在本担保有效期内，因乙方违反合同约定的义务给你方造成经济损失时，我方在收到你方以书面形式提出的在担保金额内的赔偿要求后，在7天内无条件支付，无须你方出具证明或陈述理由。</w:t>
      </w:r>
    </w:p>
    <w:p w14:paraId="26FB6586">
      <w:pPr>
        <w:spacing w:beforeLines="0" w:afterLines="0" w:line="440" w:lineRule="exact"/>
        <w:ind w:firstLine="367" w:firstLineChars="175"/>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sz w:val="21"/>
          <w:szCs w:val="21"/>
        </w:rPr>
        <w:t>、甲方和乙方按合同条款进行变更合同时，无论我方是否收到该变更，我方承担本担保规定的义务不变。</w:t>
      </w:r>
    </w:p>
    <w:p w14:paraId="559E004A">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担 保 人 名 称：</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盖单位章)</w:t>
      </w:r>
    </w:p>
    <w:p w14:paraId="0329D14B">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法定代表人或其委托代理人：</w:t>
      </w:r>
      <w:r>
        <w:rPr>
          <w:rFonts w:hint="eastAsia" w:ascii="Times New Roman" w:hAnsi="Times New Roman" w:eastAsia="Times New Roman"/>
          <w:sz w:val="21"/>
          <w:szCs w:val="21"/>
          <w:u w:val="single"/>
        </w:rPr>
        <w:t xml:space="preserve">     </w:t>
      </w:r>
      <w:r>
        <w:rPr>
          <w:rFonts w:hint="eastAsia" w:ascii="Times New Roman" w:hAnsi="Times New Roman"/>
          <w:sz w:val="21"/>
          <w:szCs w:val="21"/>
          <w:u w:val="single"/>
        </w:rPr>
        <w:t xml:space="preserve">  </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w:t>
      </w:r>
      <w:r>
        <w:rPr>
          <w:rFonts w:hint="eastAsia" w:ascii="Times New Roman" w:hAnsi="Times New Roman"/>
          <w:sz w:val="21"/>
          <w:szCs w:val="21"/>
        </w:rPr>
        <w:t>签名</w:t>
      </w:r>
      <w:r>
        <w:rPr>
          <w:rFonts w:hint="eastAsia" w:ascii="Times New Roman" w:hAnsi="Times New Roman" w:eastAsia="Times New Roman"/>
          <w:sz w:val="21"/>
          <w:szCs w:val="21"/>
        </w:rPr>
        <w:t>)</w:t>
      </w:r>
    </w:p>
    <w:p w14:paraId="70FD4C13">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地    址：</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33D1DCDF">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邮政编码：</w:t>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r>
        <w:rPr>
          <w:rFonts w:hint="eastAsia" w:ascii="Times New Roman" w:hAnsi="Times New Roman" w:eastAsia="Times New Roman"/>
          <w:sz w:val="21"/>
          <w:szCs w:val="21"/>
          <w:u w:val="single"/>
        </w:rPr>
        <w:tab/>
      </w:r>
    </w:p>
    <w:p w14:paraId="00E2B781">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电    话：</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7C83D070">
      <w:pPr>
        <w:spacing w:beforeLines="0" w:afterLines="0" w:line="440" w:lineRule="exact"/>
        <w:ind w:firstLine="3059" w:firstLineChars="1457"/>
        <w:rPr>
          <w:rFonts w:hint="eastAsia" w:ascii="Times New Roman" w:hAnsi="Times New Roman" w:eastAsia="Times New Roman"/>
          <w:sz w:val="21"/>
          <w:szCs w:val="21"/>
        </w:rPr>
      </w:pPr>
      <w:r>
        <w:rPr>
          <w:rFonts w:hint="eastAsia" w:ascii="Times New Roman" w:hAnsi="Times New Roman"/>
          <w:sz w:val="21"/>
          <w:szCs w:val="21"/>
        </w:rPr>
        <w:t>传    真：</w:t>
      </w: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p>
    <w:p w14:paraId="28C71D41">
      <w:pPr>
        <w:spacing w:beforeLines="0" w:afterLines="0" w:line="440" w:lineRule="exact"/>
        <w:ind w:firstLine="3689" w:firstLineChars="1757"/>
        <w:rPr>
          <w:rFonts w:hint="eastAsia" w:ascii="Times New Roman" w:hAnsi="Times New Roman" w:eastAsia="Times New Roman"/>
          <w:sz w:val="24"/>
          <w:szCs w:val="24"/>
        </w:rPr>
      </w:pPr>
      <w:r>
        <w:rPr>
          <w:rFonts w:hint="eastAsia" w:ascii="Times New Roman" w:hAnsi="Times New Roman" w:eastAsia="Times New Roman"/>
          <w:sz w:val="21"/>
          <w:szCs w:val="21"/>
          <w:u w:val="single"/>
        </w:rPr>
        <w:t xml:space="preserve">       </w:t>
      </w:r>
      <w:r>
        <w:rPr>
          <w:rFonts w:hint="eastAsia" w:ascii="Times New Roman" w:hAnsi="Times New Roman" w:eastAsia="Times New Roman"/>
          <w:sz w:val="21"/>
          <w:szCs w:val="21"/>
        </w:rPr>
        <w:t xml:space="preserve"> </w:t>
      </w:r>
      <w:r>
        <w:rPr>
          <w:rFonts w:hint="eastAsia" w:ascii="Times New Roman" w:hAnsi="Times New Roman"/>
          <w:sz w:val="21"/>
          <w:szCs w:val="21"/>
        </w:rPr>
        <w:t>年</w:t>
      </w:r>
      <w:r>
        <w:rPr>
          <w:rFonts w:hint="eastAsia" w:ascii="Times New Roman" w:hAnsi="Times New Roman" w:eastAsia="Times New Roman"/>
          <w:sz w:val="21"/>
          <w:szCs w:val="21"/>
          <w:u w:val="single"/>
        </w:rPr>
        <w:t xml:space="preserve">      </w:t>
      </w:r>
      <w:r>
        <w:rPr>
          <w:rFonts w:hint="eastAsia" w:ascii="Times New Roman" w:hAnsi="Times New Roman"/>
          <w:sz w:val="21"/>
          <w:szCs w:val="21"/>
        </w:rPr>
        <w:t xml:space="preserve">月 </w:t>
      </w:r>
      <w:r>
        <w:rPr>
          <w:rFonts w:hint="eastAsia" w:ascii="Times New Roman" w:hAnsi="Times New Roman" w:eastAsia="Times New Roman"/>
          <w:sz w:val="21"/>
          <w:szCs w:val="21"/>
          <w:u w:val="single"/>
        </w:rPr>
        <w:t xml:space="preserve">     </w:t>
      </w:r>
      <w:r>
        <w:rPr>
          <w:rFonts w:hint="eastAsia" w:ascii="Times New Roman" w:hAnsi="Times New Roman"/>
          <w:sz w:val="21"/>
          <w:szCs w:val="21"/>
        </w:rPr>
        <w:t>日</w:t>
      </w:r>
    </w:p>
    <w:p w14:paraId="63C0A577">
      <w:pPr>
        <w:pStyle w:val="8"/>
        <w:spacing w:beforeLines="0" w:afterLines="0"/>
        <w:ind w:firstLine="0"/>
        <w:rPr>
          <w:rFonts w:hint="eastAsia" w:ascii="Times New Roman" w:hAnsi="Times New Roman" w:eastAsia="Times New Roman"/>
          <w:sz w:val="21"/>
          <w:szCs w:val="20"/>
        </w:rPr>
      </w:pPr>
    </w:p>
    <w:p w14:paraId="1A5AEADB">
      <w:pPr>
        <w:snapToGrid w:val="0"/>
        <w:spacing w:beforeLines="0" w:afterLines="0" w:line="440" w:lineRule="exac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62389ACE">
      <w:pPr>
        <w:pStyle w:val="3"/>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3" w:name="_Toc15674"/>
      <w:bookmarkStart w:id="134" w:name="_Toc3802"/>
      <w:r>
        <w:rPr>
          <w:rFonts w:hint="eastAsia" w:ascii="Times New Roman" w:hAnsi="Times New Roman" w:eastAsia="宋体"/>
          <w:sz w:val="36"/>
          <w:szCs w:val="44"/>
        </w:rPr>
        <w:t>评审办法</w:t>
      </w:r>
      <w:bookmarkEnd w:id="133"/>
      <w:bookmarkEnd w:id="134"/>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5" w:name="_Toc447808662"/>
      <w:bookmarkStart w:id="136" w:name="_Toc3834"/>
      <w:bookmarkStart w:id="137" w:name="_Toc14847"/>
      <w:bookmarkStart w:id="138" w:name="_Toc152045528"/>
      <w:bookmarkStart w:id="139" w:name="_Toc152042304"/>
      <w:bookmarkStart w:id="140" w:name="_Toc144974496"/>
      <w:bookmarkStart w:id="141" w:name="_Toc457482536"/>
      <w:bookmarkStart w:id="142"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5"/>
      <w:bookmarkEnd w:id="136"/>
      <w:bookmarkEnd w:id="137"/>
      <w:bookmarkEnd w:id="138"/>
      <w:bookmarkEnd w:id="139"/>
      <w:bookmarkEnd w:id="140"/>
      <w:bookmarkEnd w:id="141"/>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2"/>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2"/>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E99A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（1）评标价计算公式： </w:t>
            </w:r>
          </w:p>
          <w:p w14:paraId="5248BE1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评标价＝修正后的投标报价 </w:t>
            </w:r>
          </w:p>
          <w:p w14:paraId="7480FD6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（2）评标价平均值 Bi 的计算： </w:t>
            </w:r>
          </w:p>
          <w:p w14:paraId="2E658375">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招标人在第二个信封开标现场宣布采购人对第一个信封的评审结果，并开启进入第二个信封评审的投标人的报价文件。 </w:t>
            </w:r>
          </w:p>
          <w:p w14:paraId="6E3378C1">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除按第二章“投标人须知”规定开标现场被宣布为不进入评标基准价计算的投标报价之外</w:t>
            </w:r>
            <w:r>
              <w:rPr>
                <w:rFonts w:hint="eastAsia" w:ascii="宋体" w:hAnsi="宋体" w:cs="宋体"/>
                <w:color w:val="000000"/>
                <w:kern w:val="0"/>
                <w:sz w:val="22"/>
                <w:szCs w:val="22"/>
                <w:lang w:val="en-US" w:eastAsia="zh-CN" w:bidi="ar"/>
              </w:rPr>
              <w:t>的</w:t>
            </w:r>
            <w:r>
              <w:rPr>
                <w:rFonts w:hint="eastAsia" w:ascii="宋体" w:hAnsi="宋体" w:cs="宋体"/>
                <w:color w:val="000000"/>
                <w:kern w:val="0"/>
                <w:sz w:val="22"/>
                <w:szCs w:val="22"/>
                <w:lang w:bidi="ar"/>
              </w:rPr>
              <w:t xml:space="preserve">，投标人的评标价的算术平均值为评标价平均值 Bi。 </w:t>
            </w:r>
          </w:p>
          <w:p w14:paraId="3B4F916B">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r>
              <w:rPr>
                <w:rFonts w:hint="eastAsia" w:ascii="宋体" w:hAnsi="宋体" w:cs="宋体"/>
                <w:b/>
                <w:color w:val="000000"/>
                <w:kern w:val="0"/>
                <w:sz w:val="22"/>
                <w:szCs w:val="22"/>
                <w:lang w:bidi="ar"/>
              </w:rPr>
              <w:t>异常低价评审</w:t>
            </w:r>
            <w:r>
              <w:rPr>
                <w:rFonts w:hint="eastAsia" w:ascii="宋体" w:hAnsi="宋体" w:cs="宋体"/>
                <w:color w:val="000000"/>
                <w:kern w:val="0"/>
                <w:sz w:val="22"/>
                <w:szCs w:val="22"/>
                <w:lang w:bidi="ar"/>
              </w:rPr>
              <w:t xml:space="preserve">： </w:t>
            </w:r>
          </w:p>
          <w:p w14:paraId="4743322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highlight w:val="yellow"/>
                <w:lang w:val="en-US" w:eastAsia="zh-CN" w:bidi="ar"/>
              </w:rPr>
              <w:t>①</w:t>
            </w:r>
            <w:r>
              <w:rPr>
                <w:rFonts w:hint="eastAsia" w:ascii="宋体" w:hAnsi="宋体" w:cs="宋体"/>
                <w:color w:val="000000"/>
                <w:kern w:val="0"/>
                <w:sz w:val="22"/>
                <w:szCs w:val="22"/>
                <w:highlight w:val="yellow"/>
                <w:lang w:bidi="ar"/>
              </w:rPr>
              <w:t>如投标人的评标价低于评标价平均值的</w:t>
            </w:r>
            <w:r>
              <w:rPr>
                <w:rFonts w:hint="eastAsia" w:ascii="宋体" w:hAnsi="宋体" w:cs="宋体"/>
                <w:color w:val="000000"/>
                <w:kern w:val="0"/>
                <w:sz w:val="22"/>
                <w:szCs w:val="22"/>
                <w:highlight w:val="yellow"/>
                <w:lang w:val="en-US" w:eastAsia="zh-CN" w:bidi="ar"/>
              </w:rPr>
              <w:t>90</w:t>
            </w:r>
            <w:r>
              <w:rPr>
                <w:rFonts w:hint="eastAsia" w:ascii="宋体" w:hAnsi="宋体" w:cs="宋体"/>
                <w:color w:val="000000"/>
                <w:kern w:val="0"/>
                <w:sz w:val="22"/>
                <w:szCs w:val="22"/>
                <w:highlight w:val="yellow"/>
                <w:lang w:bidi="ar"/>
              </w:rPr>
              <w:t>%时，采购人可以在评标现场要求该投标人作出情况说明并提供相应降低工程造价的相关证明材料，参照附表 1 异常低价承诺书</w:t>
            </w:r>
            <w:r>
              <w:rPr>
                <w:rFonts w:hint="eastAsia" w:ascii="宋体" w:hAnsi="宋体" w:cs="宋体"/>
                <w:color w:val="000000"/>
                <w:kern w:val="0"/>
                <w:sz w:val="22"/>
                <w:szCs w:val="22"/>
                <w:lang w:bidi="ar"/>
              </w:rPr>
              <w:t xml:space="preserve">；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38B56B4A">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②异常低价或不平衡报价，采购人有权做废标处理。</w:t>
            </w:r>
          </w:p>
          <w:p w14:paraId="55D32070">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注： </w:t>
            </w:r>
          </w:p>
          <w:p w14:paraId="0B93A888">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1)针对异常低价承诺书请投标人合理考虑时间，可提前准备好降 </w:t>
            </w:r>
          </w:p>
          <w:p w14:paraId="7FC45D6E">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低工程造价的相关证明材料，以避免错过电子询标时间，造成的不良后果由投标人自行承担。 </w:t>
            </w:r>
          </w:p>
          <w:p w14:paraId="19D8E6D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2)以下情形不得作为询标或报价文件中提供异常低价投标说明 </w:t>
            </w:r>
          </w:p>
          <w:p w14:paraId="23AFB4D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55EE997">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2"/>
                <w:szCs w:val="22"/>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2"/>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2"/>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2"/>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2021 年 1月1 日以来（以合同签订时间为准），除资审条件要求的业绩得20分，近三年来具有</w:t>
            </w:r>
            <w:r>
              <w:rPr>
                <w:rFonts w:hint="eastAsia" w:ascii="宋体" w:hAnsi="宋体" w:cs="宋体"/>
                <w:sz w:val="21"/>
                <w:szCs w:val="24"/>
                <w:highlight w:val="none"/>
                <w:lang w:val="en-US" w:eastAsia="zh-CN"/>
              </w:rPr>
              <w:t>100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铝合金门窗</w:t>
            </w:r>
            <w:r>
              <w:rPr>
                <w:rFonts w:hint="eastAsia" w:ascii="宋体" w:hAnsi="宋体" w:cs="宋体"/>
                <w:sz w:val="21"/>
                <w:szCs w:val="24"/>
                <w:highlight w:val="none"/>
              </w:rPr>
              <w:t>供应的业绩，每多提供一个业绩得5分，满分40分。</w:t>
            </w:r>
          </w:p>
          <w:p w14:paraId="476E4F0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yellow"/>
                <w:lang w:val="en-US" w:eastAsia="zh-CN"/>
              </w:rPr>
            </w:pPr>
            <w:r>
              <w:rPr>
                <w:rFonts w:hint="eastAsia" w:ascii="宋体" w:hAnsi="宋体" w:cs="宋体"/>
                <w:sz w:val="21"/>
                <w:szCs w:val="24"/>
                <w:highlight w:val="none"/>
              </w:rPr>
              <w:t>（1）</w:t>
            </w:r>
            <w:r>
              <w:rPr>
                <w:rFonts w:hint="eastAsia" w:ascii="宋体" w:hAnsi="宋体" w:cs="宋体"/>
                <w:sz w:val="21"/>
                <w:szCs w:val="24"/>
                <w:highlight w:val="yellow"/>
                <w:lang w:val="en-US" w:eastAsia="zh-CN"/>
              </w:rPr>
              <w:t>投标人</w:t>
            </w:r>
            <w:r>
              <w:rPr>
                <w:rFonts w:hint="eastAsia" w:ascii="宋体" w:hAnsi="宋体" w:cs="宋体"/>
                <w:sz w:val="21"/>
                <w:szCs w:val="24"/>
                <w:highlight w:val="yellow"/>
              </w:rPr>
              <w:t>业绩合同</w:t>
            </w:r>
            <w:r>
              <w:rPr>
                <w:rFonts w:hint="eastAsia" w:ascii="宋体" w:hAnsi="宋体" w:cs="宋体"/>
                <w:sz w:val="21"/>
                <w:szCs w:val="24"/>
                <w:highlight w:val="none"/>
              </w:rPr>
              <w:t>应提供包含项目名称、合同总金额、合同签订时间、合同签字盖章页等关键内容的关键页的扫描件；</w:t>
            </w:r>
            <w:r>
              <w:rPr>
                <w:rFonts w:hint="eastAsia" w:ascii="宋体" w:hAnsi="宋体" w:cs="宋体"/>
                <w:sz w:val="21"/>
                <w:szCs w:val="24"/>
                <w:highlight w:val="yellow"/>
                <w:lang w:val="en-US" w:eastAsia="zh-CN"/>
              </w:rPr>
              <w:t>（每个业绩至少提供一张该项目的增值税发票或收到业主转账的收款凭证，未提供，该业绩无效）</w:t>
            </w:r>
          </w:p>
          <w:p w14:paraId="180CA637">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right="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企业实力：</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49D74">
            <w:pPr>
              <w:pStyle w:val="13"/>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bidi="ar"/>
              </w:rPr>
              <w:t>具有</w:t>
            </w:r>
            <w:r>
              <w:rPr>
                <w:rFonts w:hint="eastAsia" w:ascii="宋体" w:hAnsi="宋体" w:cs="宋体"/>
                <w:color w:val="auto"/>
                <w:kern w:val="0"/>
                <w:sz w:val="21"/>
                <w:szCs w:val="21"/>
                <w:lang w:bidi="ar"/>
              </w:rPr>
              <w:t>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2"/>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2"/>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13"/>
              <w:rPr>
                <w:rFonts w:hint="eastAsia"/>
              </w:rPr>
            </w:pPr>
            <w:r>
              <w:rPr>
                <w:rFonts w:hint="eastAsia" w:ascii="宋体" w:hAnsi="宋体" w:cs="宋体"/>
                <w:color w:val="auto"/>
                <w:sz w:val="21"/>
                <w:szCs w:val="24"/>
                <w:lang w:val="en-US" w:eastAsia="zh-CN"/>
              </w:rPr>
              <w:t>根据</w:t>
            </w:r>
            <w:r>
              <w:rPr>
                <w:rFonts w:hint="eastAsia" w:ascii="宋体" w:hAnsi="宋体" w:cs="宋体"/>
                <w:color w:val="auto"/>
                <w:sz w:val="21"/>
                <w:szCs w:val="24"/>
                <w:highlight w:val="yellow"/>
                <w:lang w:val="en-US" w:eastAsia="zh-CN"/>
              </w:rPr>
              <w:t>投标人售后</w:t>
            </w:r>
            <w:r>
              <w:rPr>
                <w:rFonts w:hint="eastAsia" w:ascii="宋体" w:hAnsi="宋体" w:cs="宋体"/>
                <w:color w:val="auto"/>
                <w:sz w:val="21"/>
                <w:szCs w:val="24"/>
                <w:lang w:val="en-US" w:eastAsia="zh-CN"/>
              </w:rPr>
              <w:t>服务方案及增值服务进行综合评审。评委综合评分，优秀的得8-6分；一般的得5-3分，较差得基础分2分，未提供不得分。</w:t>
            </w:r>
          </w:p>
        </w:tc>
      </w:tr>
    </w:tbl>
    <w:p w14:paraId="72B12F8A">
      <w:pPr>
        <w:pStyle w:val="2"/>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2"/>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2"/>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2"/>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2"/>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2"/>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3848B53D">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highlight w:val="yellow"/>
        </w:rPr>
        <w:t>1.2若参与本项目询比且通过形式评审、响应性评审与资格评审的供应商只有3家，则3家无需进行商务技术文件评审，直接开启第二信封报价文件，按照评标价由低到高的顺序推荐3名中标候选人。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10B8C232">
      <w:pPr>
        <w:pStyle w:val="2"/>
        <w:spacing w:beforeLines="0" w:afterLines="0"/>
        <w:rPr>
          <w:rFonts w:hint="default"/>
          <w:sz w:val="21"/>
          <w:szCs w:val="24"/>
        </w:rPr>
      </w:pPr>
    </w:p>
    <w:p w14:paraId="46F8D6C0">
      <w:pPr>
        <w:pStyle w:val="3"/>
        <w:spacing w:before="312" w:after="312"/>
        <w:ind w:firstLine="0"/>
        <w:rPr>
          <w:rFonts w:hint="eastAsia" w:ascii="Times New Roman" w:hAnsi="Times New Roman" w:eastAsia="Times New Roman"/>
          <w:sz w:val="36"/>
          <w:szCs w:val="44"/>
        </w:rPr>
      </w:pPr>
      <w:bookmarkStart w:id="143" w:name="_Toc29674"/>
      <w:r>
        <w:rPr>
          <w:rFonts w:hint="eastAsia" w:ascii="Times New Roman" w:hAnsi="Times New Roman" w:eastAsia="宋体"/>
          <w:sz w:val="36"/>
          <w:szCs w:val="44"/>
        </w:rPr>
        <w:t>合同内容</w:t>
      </w:r>
      <w:bookmarkEnd w:id="142"/>
      <w:bookmarkEnd w:id="143"/>
    </w:p>
    <w:p w14:paraId="04E5D6EB">
      <w:pPr>
        <w:spacing w:beforeLines="0" w:afterLines="0"/>
        <w:jc w:val="center"/>
        <w:rPr>
          <w:rFonts w:hint="eastAsia" w:ascii="Times New Roman" w:hAnsi="Times New Roman" w:eastAsia="Times New Roman"/>
          <w:sz w:val="28"/>
          <w:szCs w:val="24"/>
        </w:rPr>
      </w:pPr>
      <w:bookmarkStart w:id="144" w:name="_Toc16698_WPSOffice_Level2"/>
      <w:bookmarkStart w:id="145" w:name="_Toc447808679"/>
      <w:bookmarkStart w:id="146" w:name="_Toc12005"/>
      <w:r>
        <w:rPr>
          <w:rFonts w:hint="eastAsia" w:ascii="Times New Roman" w:hAnsi="Times New Roman" w:eastAsia="Times New Roman"/>
          <w:sz w:val="28"/>
          <w:szCs w:val="24"/>
        </w:rPr>
        <w:br w:type="page"/>
      </w:r>
    </w:p>
    <w:bookmarkEnd w:id="144"/>
    <w:bookmarkEnd w:id="145"/>
    <w:bookmarkEnd w:id="146"/>
    <w:p w14:paraId="16CB9EE5">
      <w:pPr>
        <w:spacing w:beforeLines="0" w:afterLines="0" w:line="560" w:lineRule="exact"/>
        <w:jc w:val="center"/>
        <w:rPr>
          <w:rFonts w:hint="eastAsia" w:ascii="宋体" w:hAnsi="宋体" w:eastAsia="宋体" w:cs="宋体"/>
          <w:color w:val="auto"/>
          <w:sz w:val="44"/>
          <w:szCs w:val="44"/>
          <w:highlight w:val="none"/>
        </w:rPr>
      </w:pPr>
      <w:bookmarkStart w:id="147" w:name="_bookmark259"/>
      <w:bookmarkEnd w:id="147"/>
      <w:bookmarkStart w:id="148" w:name="_Toc189369362"/>
      <w:bookmarkStart w:id="149" w:name="_Toc27778"/>
      <w:bookmarkStart w:id="150" w:name="_Toc11084"/>
      <w:bookmarkStart w:id="151" w:name="_Toc22022"/>
      <w:bookmarkStart w:id="152" w:name="_Toc15683"/>
      <w:bookmarkStart w:id="153" w:name="_Toc19416"/>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采购及安装合同</w:t>
      </w:r>
    </w:p>
    <w:p w14:paraId="2D64525C">
      <w:pPr>
        <w:spacing w:beforeLines="0" w:afterLines="0" w:line="560" w:lineRule="exact"/>
        <w:ind w:left="588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62F924E">
      <w:pPr>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甲方（采购方）：</w:t>
      </w:r>
      <w:r>
        <w:rPr>
          <w:rFonts w:hint="eastAsia" w:ascii="仿宋_GB2312" w:hAnsi="仿宋_GB2312" w:eastAsia="仿宋_GB2312" w:cs="仿宋_GB2312"/>
          <w:color w:val="auto"/>
          <w:sz w:val="28"/>
          <w:szCs w:val="28"/>
          <w:highlight w:val="none"/>
          <w:u w:val="single"/>
        </w:rPr>
        <w:t>安徽省经工物资有限公司</w:t>
      </w:r>
      <w:r>
        <w:rPr>
          <w:rFonts w:hint="eastAsia" w:ascii="仿宋_GB2312" w:hAnsi="仿宋_GB2312" w:eastAsia="仿宋_GB2312" w:cs="仿宋_GB2312"/>
          <w:color w:val="auto"/>
          <w:sz w:val="28"/>
          <w:szCs w:val="28"/>
          <w:highlight w:val="none"/>
        </w:rPr>
        <w:t>（以下简称甲方）</w:t>
      </w:r>
    </w:p>
    <w:p w14:paraId="63730E77">
      <w:pPr>
        <w:tabs>
          <w:tab w:val="left" w:pos="5370"/>
        </w:tabs>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乙方（供应方）：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（以下简称乙方）  </w:t>
      </w:r>
    </w:p>
    <w:p w14:paraId="59312DC6">
      <w:pPr>
        <w:widowControl/>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依据《中华人民共和国民法典》及有关规定，甲、乙双方经过友好协商，现就甲方向乙方购买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用于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项目有关事宜，达成如下一致条款，以资双方共同遵照执行：</w:t>
      </w:r>
    </w:p>
    <w:p w14:paraId="1006BE9F">
      <w:pPr>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合同价款</w:t>
      </w:r>
    </w:p>
    <w:p w14:paraId="33A51EC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1.本合同总价人民币大写：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A2B522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4FD910EA">
      <w:pPr>
        <w:spacing w:beforeLines="0" w:afterLines="0" w:line="560" w:lineRule="exact"/>
        <w:ind w:firstLine="560" w:firstLineChars="200"/>
        <w:rPr>
          <w:rFonts w:hint="eastAsia" w:ascii="宋体" w:hAnsi="宋体" w:eastAsia="宋体" w:cs="宋体"/>
          <w:b/>
          <w:color w:val="auto"/>
          <w:sz w:val="22"/>
          <w:szCs w:val="22"/>
          <w:highlight w:val="none"/>
        </w:rPr>
      </w:pPr>
      <w:r>
        <w:rPr>
          <w:rFonts w:hint="eastAsia" w:ascii="黑体" w:hAnsi="黑体" w:eastAsia="黑体" w:cs="黑体"/>
          <w:color w:val="auto"/>
          <w:sz w:val="28"/>
          <w:szCs w:val="28"/>
          <w:highlight w:val="none"/>
        </w:rPr>
        <w:t>第二条  交货方式、时间及地点</w:t>
      </w:r>
    </w:p>
    <w:p w14:paraId="01C1320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1.交货方式：乙方负责运送至甲方指定地点并安装结束。</w:t>
      </w:r>
    </w:p>
    <w:p w14:paraId="3DB7EBF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2.交货地点：甲方指定地点，乙方负责运送至甲方指定现场，并按甲方指定地点卸货，货物在安装验收合格并交付给甲方前的毁损、灭失，损失由乙方全额承担。</w:t>
      </w:r>
    </w:p>
    <w:p w14:paraId="215C2521">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，电话为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，联系地址为：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，甲方以上述任一方式发出的通知均为合法有效的通知。</w:t>
      </w:r>
    </w:p>
    <w:p w14:paraId="726A0F65">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  验收</w:t>
      </w:r>
    </w:p>
    <w:p w14:paraId="1A50593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1.乙方按约将货物送至现场后，需将货物卸至甲方指定地点，安装结束并经甲方签收确认，甲方指定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（联系方式为：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）为货物签收确认人，并由其指定现场人员对货物进行签收。如果现场签收人员发生变更，甲方会通知乙方重新指定。</w:t>
      </w:r>
    </w:p>
    <w:p w14:paraId="31E7D4AC">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27C572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3.在乙方将货物送至现场后，甲方有权在现场车上或货物堆放在指定地点后按物品的特性及行业惯例进行验收。如甲方认为乙方送货的数量与送货单记载数量不符的，则可以随时抽检。</w:t>
      </w:r>
    </w:p>
    <w:p w14:paraId="3F33314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日内，异议经核实乙方应无条件补足或换货。</w:t>
      </w:r>
    </w:p>
    <w:p w14:paraId="3CF9B741">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 产品质量和包装</w:t>
      </w:r>
    </w:p>
    <w:p w14:paraId="5A0E1B94">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1.本合同的缺陷责任期为交工验收通过后</w:t>
      </w:r>
      <w:r>
        <w:rPr>
          <w:rFonts w:hint="eastAsia" w:ascii="仿宋_GB2312" w:hAnsi="仿宋_GB2312" w:eastAsia="仿宋_GB2312" w:cs="仿宋_GB2312"/>
          <w:color w:val="auto"/>
          <w:sz w:val="28"/>
          <w:szCs w:val="28"/>
          <w:highlight w:val="none"/>
          <w:u w:val="single"/>
        </w:rPr>
        <w:t xml:space="preserve">  2  </w:t>
      </w:r>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2  </w:t>
      </w:r>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6B5BBC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2.质保期满后，若有零部件或货物出现故障，经鉴定属于寿命异常问题（明显短于该零部件或货物正常寿命）时，则由乙方负责免费更换维修。质保期满后，乙方以优惠价格向甲方提供所需的零配件或货物。</w:t>
      </w:r>
    </w:p>
    <w:p w14:paraId="5348793C">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3.乙方必须提供合同标的中所有产品的合格证、产品说明书、检测报告、第三方检测报告（如有）、随机附件、工具（如有），货到现场后交给现场的收货人员。</w:t>
      </w:r>
    </w:p>
    <w:p w14:paraId="3A1C9234">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4.合同标的中若有进口产品，则乙方必须提供原产地证明、单机产品序列号、原生产厂商质量保证书、报关单等证明材料。</w:t>
      </w:r>
    </w:p>
    <w:p w14:paraId="5A65A440">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5.产品包装应符合国家标准。乙方应承担由于其包装或其防护措施不妥而引起货物锈蚀、损坏和丢失等任何损失的责任或费用。产品在卸货后剥离包装物同时负责回收或送到包装清理指定地点。</w:t>
      </w:r>
    </w:p>
    <w:p w14:paraId="579AB945">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第五条  结算方式及期限</w:t>
      </w:r>
    </w:p>
    <w:p w14:paraId="4A32DACE">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1.窗框安装结束经甲方指定签收人验收合格并签字后，付至已完工程价款的30%。</w:t>
      </w:r>
    </w:p>
    <w:p w14:paraId="70E7E2A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2.玻璃固定、窗扇安装结束，经甲方指定签收人验收合格并签字后付至已完工程价款的70%。</w:t>
      </w:r>
    </w:p>
    <w:p w14:paraId="40E5EB99">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3.货物全部供应结束、安装完毕，经甲方指定签收人验收合格并签字后付至已完工程价款的85%。</w:t>
      </w:r>
    </w:p>
    <w:p w14:paraId="6D5F35E2">
      <w:pPr>
        <w:wordWrap w:val="0"/>
        <w:spacing w:beforeLines="0" w:afterLines="0"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4.项目竣工验收付至已完工程价款的95%。</w:t>
      </w:r>
    </w:p>
    <w:p w14:paraId="01AEDA83">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5.审计定案表出具后付至审计定案价的97%，剩余3%作为质保金，在缺陷责任期后无质量问题一次性无息支付。</w:t>
      </w:r>
    </w:p>
    <w:p w14:paraId="7270E7D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6.响应保证金转为履约保证金，合同履行完成无违约行为并经甲方认定同意后28天内无息退还</w:t>
      </w:r>
      <w:r>
        <w:rPr>
          <w:rFonts w:hint="eastAsia" w:ascii="仿宋_GB2312" w:hAnsi="仿宋_GB2312" w:eastAsia="仿宋_GB2312" w:cs="仿宋_GB2312"/>
          <w:color w:val="auto"/>
          <w:sz w:val="28"/>
          <w:szCs w:val="28"/>
          <w:highlight w:val="none"/>
        </w:rPr>
        <w:t>。</w:t>
      </w:r>
    </w:p>
    <w:p w14:paraId="5D35C88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1BA93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5C2C9736">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第六条  违约责任</w:t>
      </w:r>
    </w:p>
    <w:p w14:paraId="090A21B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2539939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0A1E9C5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3.乙方违反合同约定的其他自身义务时，给甲方造成损失的，甲方均有权解除合同，并有权要求乙方按上述第1、2项规定承担赔偿责任，支付违约金。</w:t>
      </w:r>
    </w:p>
    <w:p w14:paraId="4B662799">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4.对于乙方因违反本合同约定需支付的违约金，甲方有权在应付货款中直接予以扣除。 </w:t>
      </w:r>
    </w:p>
    <w:p w14:paraId="02B29AC6">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第七条  其他约定</w:t>
      </w:r>
    </w:p>
    <w:p w14:paraId="6BE804F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FB85C4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D7CA46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2F49C96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9893069">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第八条  争议解决方式</w:t>
      </w:r>
    </w:p>
    <w:p w14:paraId="6476882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在履行合同期间发生纠份，先由双方协商解决，协商不成，双方约定向甲方所在地人民法院提起诉讼。</w:t>
      </w:r>
    </w:p>
    <w:p w14:paraId="209F66AA">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第九条</w:t>
      </w:r>
    </w:p>
    <w:p w14:paraId="03A71F11">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1.本合同未尽事宜，由双方另行协商解决并签订补充协议。</w:t>
      </w:r>
    </w:p>
    <w:p w14:paraId="7537C4D0">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2.本合同自甲乙双方签字盖章之日起生效。</w:t>
      </w:r>
    </w:p>
    <w:p w14:paraId="1C65B139">
      <w:pPr>
        <w:pStyle w:val="2"/>
        <w:spacing w:beforeLines="0" w:afterLines="0" w:line="560" w:lineRule="exact"/>
        <w:ind w:firstLine="560" w:firstLineChars="200"/>
        <w:rPr>
          <w:rFonts w:hint="eastAsia"/>
          <w:color w:val="auto"/>
          <w:sz w:val="21"/>
          <w:szCs w:val="22"/>
          <w:highlight w:val="none"/>
        </w:rPr>
      </w:pP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6D2C4F2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附件：1.廉政合同</w:t>
      </w:r>
    </w:p>
    <w:p w14:paraId="397672D6">
      <w:pPr>
        <w:pStyle w:val="20"/>
        <w:spacing w:beforeLines="0" w:afterLines="0" w:line="560" w:lineRule="exact"/>
        <w:ind w:left="0" w:firstLine="1400" w:firstLineChars="500"/>
        <w:rPr>
          <w:rFonts w:hint="eastAsia"/>
          <w:color w:val="auto"/>
          <w:sz w:val="21"/>
          <w:szCs w:val="20"/>
          <w:highlight w:val="none"/>
        </w:rPr>
      </w:pPr>
      <w:r>
        <w:rPr>
          <w:rFonts w:hint="eastAsia" w:ascii="仿宋_GB2312" w:hAnsi="仿宋_GB2312" w:eastAsia="仿宋_GB2312" w:cs="仿宋_GB2312"/>
          <w:color w:val="auto"/>
          <w:sz w:val="28"/>
          <w:szCs w:val="28"/>
          <w:highlight w:val="none"/>
        </w:rPr>
        <w:t>2.安全生产合同</w:t>
      </w:r>
    </w:p>
    <w:p w14:paraId="3284A099">
      <w:pPr>
        <w:pStyle w:val="20"/>
        <w:spacing w:beforeLines="0" w:afterLines="0" w:line="560" w:lineRule="exact"/>
        <w:ind w:left="0"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3.报价清单</w:t>
      </w:r>
    </w:p>
    <w:p w14:paraId="5EE88289">
      <w:pPr>
        <w:spacing w:beforeLines="0" w:afterLines="0" w:line="560" w:lineRule="exact"/>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（以下无正文）</w:t>
      </w:r>
    </w:p>
    <w:p w14:paraId="1783F7F6">
      <w:pPr>
        <w:spacing w:beforeLines="0" w:afterLines="0"/>
        <w:rPr>
          <w:rFonts w:hint="eastAsia"/>
          <w:sz w:val="21"/>
          <w:szCs w:val="22"/>
          <w:highlight w:val="none"/>
        </w:rPr>
      </w:pPr>
    </w:p>
    <w:p w14:paraId="79F799EC">
      <w:pPr>
        <w:wordWrap w:val="0"/>
        <w:spacing w:beforeLines="0" w:afterLines="0" w:line="560" w:lineRule="exact"/>
        <w:rPr>
          <w:rFonts w:hint="eastAsia"/>
          <w:color w:val="auto"/>
          <w:sz w:val="21"/>
          <w:szCs w:val="22"/>
          <w:highlight w:val="none"/>
        </w:rPr>
      </w:pPr>
      <w:r>
        <w:rPr>
          <w:rFonts w:hint="eastAsia" w:ascii="仿宋_GB2312" w:hAnsi="仿宋_GB2312" w:eastAsia="仿宋_GB2312" w:cs="仿宋_GB2312"/>
          <w:color w:val="auto"/>
          <w:sz w:val="28"/>
          <w:szCs w:val="28"/>
          <w:highlight w:val="none"/>
        </w:rPr>
        <w:t xml:space="preserve">甲方：安徽省经工物资有限公司        乙方：  </w:t>
      </w:r>
    </w:p>
    <w:p w14:paraId="3CA8AAA2">
      <w:pPr>
        <w:wordWrap w:val="0"/>
        <w:spacing w:beforeLines="0" w:afterLines="0" w:line="560" w:lineRule="exact"/>
        <w:ind w:firstLine="2800" w:firstLineChars="10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（盖章）                          （盖章）</w:t>
      </w:r>
    </w:p>
    <w:p w14:paraId="36D47A8A">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法定代表人或</w:t>
      </w:r>
    </w:p>
    <w:p w14:paraId="33B6A235">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14:paraId="5541BC71">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纳税识别号：91340100MA2MY6GA6E      纳税识别号:</w:t>
      </w:r>
    </w:p>
    <w:p w14:paraId="287C9CDC">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地址：安徽省合肥市蜀山区甘泉路      地址：</w:t>
      </w:r>
    </w:p>
    <w:p w14:paraId="22183A68">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398号                               </w:t>
      </w:r>
    </w:p>
    <w:p w14:paraId="4BB59C91">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开户银行：工行合肥蜀山支行          开户银行：</w:t>
      </w:r>
    </w:p>
    <w:p w14:paraId="59ACD8DF">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账号：1302012119200034038           账号：</w:t>
      </w:r>
    </w:p>
    <w:p w14:paraId="27DDE743">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5D51800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1891AFD1">
      <w:pPr>
        <w:pStyle w:val="2"/>
        <w:spacing w:beforeLines="0" w:afterLines="0" w:line="560" w:lineRule="exact"/>
        <w:ind w:firstLine="420" w:firstLineChars="200"/>
        <w:rPr>
          <w:rFonts w:hint="eastAsia"/>
          <w:color w:val="auto"/>
          <w:sz w:val="21"/>
          <w:szCs w:val="22"/>
          <w:highlight w:val="none"/>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4DF34EF2">
      <w:pPr>
        <w:numPr>
          <w:ilvl w:val="0"/>
          <w:numId w:val="0"/>
        </w:numPr>
        <w:spacing w:beforeLines="0" w:afterLines="0"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1</w:t>
      </w:r>
      <w:r>
        <w:rPr>
          <w:rFonts w:hint="eastAsia" w:ascii="仿宋_GB2312" w:hAnsi="仿宋_GB2312" w:eastAsia="仿宋_GB2312" w:cs="仿宋_GB2312"/>
          <w:b/>
          <w:color w:val="auto"/>
          <w:sz w:val="28"/>
          <w:szCs w:val="28"/>
          <w:highlight w:val="none"/>
        </w:rPr>
        <w:t>：</w:t>
      </w:r>
    </w:p>
    <w:p w14:paraId="63E3627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廉 政 合 同</w:t>
      </w:r>
    </w:p>
    <w:p w14:paraId="11D03772">
      <w:pPr>
        <w:pStyle w:val="2"/>
        <w:spacing w:beforeLines="0" w:afterLines="0" w:line="560" w:lineRule="exact"/>
        <w:ind w:firstLine="422" w:firstLineChars="200"/>
        <w:rPr>
          <w:rFonts w:hint="eastAsia"/>
          <w:b/>
          <w:color w:val="auto"/>
          <w:sz w:val="21"/>
          <w:szCs w:val="22"/>
          <w:highlight w:val="none"/>
        </w:rPr>
      </w:pPr>
    </w:p>
    <w:p w14:paraId="38A54979">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（项目名称）的采购人</w:t>
      </w:r>
      <w:r>
        <w:rPr>
          <w:rFonts w:hint="eastAsia" w:ascii="仿宋_GB2312" w:hAnsi="仿宋_GB2312" w:eastAsia="仿宋_GB2312" w:cs="仿宋_GB2312"/>
          <w:color w:val="auto"/>
          <w:sz w:val="28"/>
          <w:szCs w:val="28"/>
          <w:highlight w:val="none"/>
          <w:u w:val="single"/>
        </w:rPr>
        <w:t xml:space="preserve">  安徽省经工物资有限公司 </w:t>
      </w:r>
      <w:r>
        <w:rPr>
          <w:rFonts w:hint="eastAsia" w:ascii="仿宋_GB2312" w:hAnsi="仿宋_GB2312" w:eastAsia="仿宋_GB2312" w:cs="仿宋_GB2312"/>
          <w:color w:val="auto"/>
          <w:sz w:val="28"/>
          <w:szCs w:val="28"/>
          <w:highlight w:val="none"/>
        </w:rPr>
        <w:t>（采购人名称，以下简称甲方）与该项目的供货商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（供货商名称，以下简称乙方），特订立如下合同。</w:t>
      </w:r>
    </w:p>
    <w:p w14:paraId="05D9211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1.甲乙双方的权利和义务</w:t>
      </w:r>
    </w:p>
    <w:p w14:paraId="05D8FD65">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（1）严格遵守党的政策和国家有关法律法规的有关规定。</w:t>
      </w:r>
    </w:p>
    <w:p w14:paraId="0273F937">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（合同文件名称）合同文件，自觉按合同办事。</w:t>
      </w:r>
    </w:p>
    <w:p w14:paraId="7CD71979">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（3）双方的业务活动坚持公开、公正、诚信、透明的原则（法律认定的商业秘密和合同文件另有规定除外），不得损害国家和集体利益。</w:t>
      </w:r>
    </w:p>
    <w:p w14:paraId="462DBE8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（4）建立健全廉政制度，开展廉政教育和廉洁文化建设，公布举报电话，监督并认真查处违规违纪违法行为。</w:t>
      </w:r>
    </w:p>
    <w:p w14:paraId="297FC60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（5）发现对方在业务活动中有违反廉政规定的行为，有及时提醒对方纠正的权利和义务。</w:t>
      </w:r>
    </w:p>
    <w:p w14:paraId="5AD104D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（6）发现对方严重违反本合同义务条款的行为，有向有关部门举报、建议给予处理并要求告知处理结果的权利。</w:t>
      </w:r>
    </w:p>
    <w:p w14:paraId="632CCCE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2.甲方的义务</w:t>
      </w:r>
    </w:p>
    <w:p w14:paraId="1374108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（1）甲方及其工作人员不得利用职务之便索要或接受乙方的礼品、礼金、消费卡和有价证券、股权、其他金融产品等财物。</w:t>
      </w:r>
    </w:p>
    <w:p w14:paraId="5D90F76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（2）甲方及其工作人员不得在利用职务之便为乙方谋取利益之前或之后，约定在其离职后收受乙方财物，并在离职后收受。</w:t>
      </w:r>
    </w:p>
    <w:p w14:paraId="2DE61C9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（3）甲方及其工作人员不得在乙方报销应由甲方或个人支付的费用等。</w:t>
      </w:r>
    </w:p>
    <w:p w14:paraId="48FEF34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（4）甲方及其工作人员不得要求或者接受乙方可能影响公正执行公务的宴请以及旅游、健身、娱乐等活动安排，不得要求和接受乙方提供的交通工具、通讯工具、高档办公用品等。</w:t>
      </w:r>
    </w:p>
    <w:p w14:paraId="4EA4010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7E7F53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（6）甲方及其工作人员不得要求乙方购买合同规定外的材料和设备。    </w:t>
      </w:r>
    </w:p>
    <w:p w14:paraId="4C20BBA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（7）甲方及其工作人员不得有其他可能影响廉洁从业的行为。</w:t>
      </w:r>
    </w:p>
    <w:p w14:paraId="071734B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3.乙方的义务</w:t>
      </w:r>
    </w:p>
    <w:p w14:paraId="3F037F7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（1）乙方及其工作人员不得以任何形式向甲方及其工作人员行贿或馈赠礼品、礼金、消费卡和有价证券、股权、其他金融产品等财物，以及回扣、好处费、感谢费等。</w:t>
      </w:r>
    </w:p>
    <w:p w14:paraId="75FA39F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（2）乙方及其工作人员不得与甲方及其工作人员约定，甲方及其工作人员利用职务之便为乙方谋取利益，乙方在其离职后给予财物。</w:t>
      </w:r>
    </w:p>
    <w:p w14:paraId="34B14F3E">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（3）乙方不得以任何名义为甲方及其工作人员报销由甲方单位或个人支付的任何费用。</w:t>
      </w:r>
    </w:p>
    <w:p w14:paraId="60CAB64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14:paraId="5541363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（5）乙方及其工作人员不得为甲方工作人员住房装修、婚丧嫁娶、出国出境、旅游等提供方便；不得为甲方工作人员的特定关系人以安排工作为名，使其不实际工作却获取薪酬。</w:t>
      </w:r>
    </w:p>
    <w:p w14:paraId="45910F6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（6）乙方及其工作人员不得有其他可能影响廉洁从业的行为。</w:t>
      </w:r>
    </w:p>
    <w:p w14:paraId="1F470FA9">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4.违约责任</w:t>
      </w:r>
    </w:p>
    <w:p w14:paraId="72E91E5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（1）甲方及其工作人员违反本合同第1、2条，按管理权限，依据有关规定给予党纪政务处分和组织处理；涉嫌犯罪的，移交司法机关追究刑事责任；给乙方单位造成经济损失的，应予以赔偿。</w:t>
      </w:r>
    </w:p>
    <w:p w14:paraId="14AA4E2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（2）乙方及其工作人员违反本合同第1、3条，按管理权限，依据有关规定，给予相关处理；给甲方单位造成经济损失的，应予以赔偿。</w:t>
      </w:r>
    </w:p>
    <w:p w14:paraId="4F5368A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5.本合同有效期为甲乙双方签署之日起至该供货合同履行完毕后止。</w:t>
      </w:r>
    </w:p>
    <w:p w14:paraId="241FFCC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6.本合同作为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（合同文件名称）的附件，与采购合同具有同等的法律效力，经合同双方签署立即生效。</w:t>
      </w:r>
    </w:p>
    <w:p w14:paraId="4AF7E8C7">
      <w:pPr>
        <w:spacing w:beforeLines="0" w:afterLines="0" w:line="560" w:lineRule="exact"/>
        <w:ind w:firstLine="560" w:firstLineChars="200"/>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rPr>
        <w:t>7.本合同一式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6AB18C3A">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14:paraId="5A3ADEF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14:paraId="2832840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                  乙方（盖章）：</w:t>
      </w:r>
    </w:p>
    <w:p w14:paraId="72C82D66">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法定代表或</w:t>
      </w:r>
    </w:p>
    <w:p w14:paraId="3FCA85E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14:paraId="54D7E951">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46133698">
      <w:pPr>
        <w:pStyle w:val="2"/>
        <w:rPr>
          <w:rFonts w:hint="eastAsia" w:ascii="仿宋_GB2312" w:hAnsi="仿宋_GB2312" w:eastAsia="仿宋_GB2312" w:cs="仿宋_GB2312"/>
          <w:color w:val="auto"/>
          <w:sz w:val="28"/>
          <w:szCs w:val="28"/>
          <w:highlight w:val="none"/>
        </w:rPr>
      </w:pPr>
    </w:p>
    <w:p w14:paraId="61F21406">
      <w:pPr>
        <w:pStyle w:val="13"/>
        <w:rPr>
          <w:rFonts w:hint="eastAsia"/>
          <w:highlight w:val="none"/>
        </w:rPr>
      </w:pPr>
    </w:p>
    <w:p w14:paraId="2958C9F6">
      <w:pPr>
        <w:spacing w:beforeLines="0" w:afterLines="0"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1A302500">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4A64AC07">
      <w:pPr>
        <w:pStyle w:val="2"/>
        <w:spacing w:beforeLines="0" w:afterLines="0" w:line="560" w:lineRule="exact"/>
        <w:ind w:firstLine="420" w:firstLineChars="200"/>
        <w:rPr>
          <w:rFonts w:hint="eastAsia"/>
          <w:color w:val="auto"/>
          <w:sz w:val="21"/>
          <w:szCs w:val="22"/>
          <w:highlight w:val="none"/>
        </w:rPr>
      </w:pPr>
    </w:p>
    <w:p w14:paraId="2871C428">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为在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（项目名称）的实施过程中创造安全、高效的施工环境，切实做好本项目的安全管理工作，本项目采购人</w:t>
      </w:r>
      <w:r>
        <w:rPr>
          <w:rFonts w:hint="eastAsia" w:ascii="仿宋_GB2312" w:hAnsi="仿宋_GB2312" w:eastAsia="仿宋_GB2312" w:cs="仿宋_GB2312"/>
          <w:color w:val="auto"/>
          <w:sz w:val="28"/>
          <w:szCs w:val="28"/>
          <w:highlight w:val="none"/>
          <w:u w:val="single"/>
        </w:rPr>
        <w:t xml:space="preserve"> 安徽省经工物资有限公司 </w:t>
      </w:r>
      <w:r>
        <w:rPr>
          <w:rFonts w:hint="eastAsia" w:ascii="仿宋_GB2312" w:hAnsi="仿宋_GB2312" w:eastAsia="仿宋_GB2312" w:cs="仿宋_GB2312"/>
          <w:color w:val="auto"/>
          <w:sz w:val="28"/>
          <w:szCs w:val="28"/>
          <w:highlight w:val="none"/>
        </w:rPr>
        <w:t>（采购人名称，以下简称甲方）与该项目的供货商</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（供货商名称，以下简称乙方）特此签订此安全生产合同：</w:t>
      </w:r>
    </w:p>
    <w:p w14:paraId="5CD92B4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37ACF86C">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5473074D">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二、甲方负责提供材料堆放场地，乙方负责运输、供应及安装。</w:t>
      </w:r>
    </w:p>
    <w:p w14:paraId="3A8E4BE0">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三、在甲方运输区域，乙方运输车辆必须服从甲方的统一管理、调度和指挥，严格遵守交通规则，保证道路的畅通和运输安全，不得乱停、乱靠、乱装、乱卸，不得争道抢行，不得超速超载。</w:t>
      </w:r>
    </w:p>
    <w:p w14:paraId="6E2F536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四、乙方对提供的运输车辆应当已取得国家道路运输的许可证，并确保车辆性能符合安全技术标准、防止带病上路运行，已依照国家法律政策规定购齐有关车辆保险。</w:t>
      </w:r>
    </w:p>
    <w:p w14:paraId="71845F3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71CBD63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02BEF5F">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七、操作人员上岗，必须按规定穿戴防护用品。施工负责人和安全管理人员应随时检查劳动防护用品的穿戴情况，不按规定穿戴防护用品的人员不得上岗。在甲方区域，禁止出现无证操作、无证驾驶现象。</w:t>
      </w:r>
    </w:p>
    <w:p w14:paraId="76381CAB">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八、所有施工机具设备和高空作业的设备均应定期检查，并有安全员的签字记录，保证其经常处于完好状态；不合格的机具、设备和劳动保护用品严禁使用。</w:t>
      </w:r>
    </w:p>
    <w:p w14:paraId="3CFEC0B1">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九、施工中采用新技术、新工艺、新设备、新材料时，必须制定相应的安全技术措施，施工现场必须具有相关的安全标志牌。</w:t>
      </w:r>
    </w:p>
    <w:p w14:paraId="4FBE1012">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9143AA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十一、乙方在履行合同过程中，必须确保在甲方运输场地内的运输、材料卸货、安装等安全，如发生各类人身、财产事故，造成的一切损失均由乙方负责承担，甲方概不负责。</w:t>
      </w:r>
    </w:p>
    <w:p w14:paraId="1F0EC5E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十二、争议的解决 </w:t>
      </w:r>
    </w:p>
    <w:p w14:paraId="4E374227">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本合同在履行中如发生争议，双方应及时协商解决。协商不成的，任何一方均有权将合同争议事项向甲方公司注册所在地人民法院提起诉讼，通过法定程序解决。</w:t>
      </w:r>
    </w:p>
    <w:p w14:paraId="3704C40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十三、本协议一式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 xml:space="preserve">份，甲方执 </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14:paraId="6A562055">
      <w:pPr>
        <w:pStyle w:val="2"/>
        <w:numPr>
          <w:ilvl w:val="0"/>
          <w:numId w:val="0"/>
        </w:numPr>
        <w:spacing w:beforeLines="0" w:afterLines="0"/>
        <w:rPr>
          <w:rFonts w:hint="eastAsia"/>
          <w:sz w:val="21"/>
          <w:szCs w:val="22"/>
          <w:highlight w:val="none"/>
        </w:rPr>
      </w:pPr>
    </w:p>
    <w:p w14:paraId="366A9B8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14:paraId="713D5C63">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乙方（盖章）：</w:t>
      </w:r>
    </w:p>
    <w:p w14:paraId="717C4F85">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                      法定代表人</w:t>
      </w:r>
    </w:p>
    <w:p w14:paraId="3BEF1144">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或授权委托人（签字）：          或授权委托人（签字）：</w:t>
      </w:r>
    </w:p>
    <w:p w14:paraId="0829AAC1">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5C01AE03">
      <w:pPr>
        <w:numPr>
          <w:ilvl w:val="0"/>
          <w:numId w:val="0"/>
        </w:numPr>
        <w:spacing w:beforeLines="0" w:afterLines="0" w:line="560" w:lineRule="exact"/>
        <w:rPr>
          <w:rFonts w:hint="eastAsia" w:ascii="仿宋_GB2312" w:hAnsi="仿宋_GB2312" w:eastAsia="仿宋_GB2312" w:cs="仿宋_GB2312"/>
          <w:color w:val="auto"/>
          <w:sz w:val="28"/>
          <w:szCs w:val="28"/>
          <w:highlight w:val="none"/>
        </w:rPr>
      </w:pPr>
    </w:p>
    <w:p w14:paraId="524A7341">
      <w:pPr>
        <w:spacing w:beforeLines="0" w:afterLines="0"/>
        <w:rPr>
          <w:rFonts w:hint="eastAsia"/>
          <w:sz w:val="21"/>
          <w:szCs w:val="24"/>
          <w:highlight w:val="none"/>
        </w:rPr>
      </w:pPr>
    </w:p>
    <w:p w14:paraId="2890113B">
      <w:pPr>
        <w:spacing w:beforeLines="0" w:afterLines="0"/>
        <w:rPr>
          <w:rFonts w:hint="eastAsia"/>
          <w:sz w:val="21"/>
          <w:szCs w:val="24"/>
          <w:highlight w:val="none"/>
        </w:rPr>
      </w:pPr>
    </w:p>
    <w:p w14:paraId="03365081">
      <w:pPr>
        <w:spacing w:beforeLines="0" w:afterLines="0"/>
        <w:rPr>
          <w:rFonts w:hint="eastAsia"/>
          <w:sz w:val="21"/>
          <w:szCs w:val="24"/>
          <w:highlight w:val="none"/>
        </w:rPr>
      </w:pPr>
    </w:p>
    <w:p w14:paraId="50012284">
      <w:pPr>
        <w:spacing w:beforeLines="0" w:afterLines="0"/>
        <w:rPr>
          <w:rFonts w:hint="eastAsia"/>
          <w:sz w:val="21"/>
          <w:szCs w:val="24"/>
          <w:highlight w:val="none"/>
        </w:rPr>
      </w:pPr>
    </w:p>
    <w:p w14:paraId="27CE8720">
      <w:pPr>
        <w:spacing w:beforeLines="0" w:afterLines="0"/>
        <w:rPr>
          <w:rFonts w:hint="eastAsia"/>
          <w:sz w:val="21"/>
          <w:szCs w:val="24"/>
          <w:highlight w:val="none"/>
        </w:rPr>
      </w:pPr>
      <w:r>
        <w:rPr>
          <w:rFonts w:hint="eastAsia"/>
          <w:sz w:val="21"/>
          <w:szCs w:val="24"/>
          <w:highlight w:val="none"/>
        </w:rPr>
        <w:br w:type="page"/>
      </w:r>
    </w:p>
    <w:bookmarkEnd w:id="148"/>
    <w:bookmarkEnd w:id="149"/>
    <w:bookmarkEnd w:id="150"/>
    <w:bookmarkEnd w:id="151"/>
    <w:bookmarkEnd w:id="152"/>
    <w:bookmarkEnd w:id="153"/>
    <w:p w14:paraId="05876BB7">
      <w:pPr>
        <w:pStyle w:val="3"/>
        <w:spacing w:before="312" w:after="312"/>
        <w:ind w:firstLine="0"/>
        <w:rPr>
          <w:rFonts w:hint="eastAsia" w:ascii="Times New Roman" w:hAnsi="Times New Roman" w:eastAsia="Times New Roman"/>
          <w:sz w:val="36"/>
          <w:szCs w:val="44"/>
        </w:rPr>
      </w:pPr>
      <w:bookmarkStart w:id="154" w:name="_Toc25485"/>
      <w:bookmarkStart w:id="155" w:name="_Toc31285"/>
      <w:r>
        <w:rPr>
          <w:rFonts w:hint="eastAsia" w:ascii="Times New Roman" w:hAnsi="Times New Roman" w:eastAsia="宋体"/>
          <w:sz w:val="36"/>
          <w:szCs w:val="44"/>
        </w:rPr>
        <w:t>采购需求及清单</w:t>
      </w:r>
      <w:bookmarkEnd w:id="154"/>
      <w:bookmarkEnd w:id="155"/>
    </w:p>
    <w:p w14:paraId="13E22F2C">
      <w:pPr>
        <w:spacing w:beforeLines="0" w:afterLines="0" w:line="440" w:lineRule="exact"/>
        <w:rPr>
          <w:rFonts w:hint="eastAsia" w:ascii="Times New Roman" w:hAnsi="Times New Roman" w:eastAsia="Times New Roman"/>
          <w:sz w:val="28"/>
          <w:szCs w:val="28"/>
        </w:rPr>
      </w:pPr>
      <w:bookmarkStart w:id="156" w:name="_Toc27821_WPSOffice_Level2"/>
      <w:bookmarkStart w:id="157" w:name="_Toc10970_WPSOffice_Level1"/>
      <w:bookmarkStart w:id="158" w:name="_Toc28814_WPSOffice_Level2"/>
    </w:p>
    <w:p w14:paraId="163E5394">
      <w:pPr>
        <w:numPr>
          <w:ilvl w:val="0"/>
          <w:numId w:val="0"/>
        </w:numPr>
        <w:snapToGrid w:val="0"/>
        <w:spacing w:before="120" w:beforeLines="0" w:after="120" w:afterLines="0"/>
        <w:ind w:left="630"/>
        <w:rPr>
          <w:rFonts w:hint="default"/>
          <w:sz w:val="21"/>
          <w:szCs w:val="24"/>
        </w:rPr>
      </w:pPr>
      <w:r>
        <w:rPr>
          <w:rFonts w:hint="eastAsia" w:ascii="Times New Roman" w:hAnsi="Times New Roman" w:eastAsia="Times New Roman"/>
          <w:sz w:val="20"/>
          <w:szCs w:val="20"/>
        </w:rPr>
        <w:br w:type="page"/>
      </w:r>
      <w:bookmarkEnd w:id="156"/>
      <w:bookmarkEnd w:id="157"/>
      <w:bookmarkEnd w:id="158"/>
    </w:p>
    <w:p w14:paraId="7908DC8F">
      <w:pPr>
        <w:pStyle w:val="19"/>
        <w:spacing w:beforeLines="0" w:afterLines="0"/>
        <w:ind w:firstLine="0" w:firstLineChars="0"/>
        <w:jc w:val="center"/>
        <w:rPr>
          <w:rFonts w:hint="eastAsia" w:ascii="宋体" w:hAnsi="宋体" w:cs="宋体"/>
          <w:b/>
          <w:color w:val="000000"/>
          <w:sz w:val="21"/>
          <w:szCs w:val="21"/>
        </w:rPr>
      </w:pPr>
      <w:r>
        <w:rPr>
          <w:rFonts w:hint="eastAsia" w:ascii="宋体" w:hAnsi="宋体" w:cs="宋体"/>
          <w:b/>
          <w:color w:val="000000"/>
          <w:sz w:val="28"/>
          <w:szCs w:val="28"/>
        </w:rPr>
        <w:t>一、</w:t>
      </w:r>
      <w:r>
        <w:rPr>
          <w:rFonts w:hint="eastAsia" w:ascii="宋体" w:hAnsi="宋体" w:cs="宋体"/>
          <w:b/>
          <w:color w:val="000000"/>
          <w:sz w:val="28"/>
          <w:szCs w:val="28"/>
          <w:lang w:eastAsia="zh-CN"/>
        </w:rPr>
        <w:t>铝合金门窗</w:t>
      </w:r>
      <w:r>
        <w:rPr>
          <w:rFonts w:hint="eastAsia" w:ascii="宋体" w:hAnsi="宋体" w:cs="宋体"/>
          <w:b/>
          <w:color w:val="000000"/>
          <w:sz w:val="28"/>
          <w:szCs w:val="28"/>
        </w:rPr>
        <w:t>材料报价清单</w:t>
      </w:r>
    </w:p>
    <w:p w14:paraId="0322C678">
      <w:pPr>
        <w:snapToGrid w:val="0"/>
        <w:spacing w:beforeLines="0" w:afterLines="0" w:line="400" w:lineRule="exact"/>
        <w:jc w:val="left"/>
        <w:rPr>
          <w:rFonts w:hint="eastAsia" w:ascii="宋体" w:hAnsi="宋体" w:cs="宋体"/>
          <w:b/>
          <w:color w:val="000000"/>
          <w:sz w:val="24"/>
          <w:szCs w:val="24"/>
        </w:rPr>
      </w:pPr>
      <w:r>
        <w:rPr>
          <w:rFonts w:hint="eastAsia" w:ascii="宋体" w:hAnsi="宋体" w:cs="宋体"/>
          <w:b/>
          <w:color w:val="000000"/>
          <w:sz w:val="24"/>
          <w:szCs w:val="24"/>
        </w:rPr>
        <w:t>（清单详见附件）</w:t>
      </w:r>
    </w:p>
    <w:p w14:paraId="470B1D6A">
      <w:pPr>
        <w:pStyle w:val="2"/>
        <w:spacing w:beforeLines="0" w:afterLines="0"/>
        <w:rPr>
          <w:rFonts w:hint="eastAsia"/>
          <w:sz w:val="21"/>
          <w:szCs w:val="24"/>
        </w:rPr>
      </w:pPr>
    </w:p>
    <w:p w14:paraId="6EB2BDB2">
      <w:pPr>
        <w:snapToGrid w:val="0"/>
        <w:spacing w:beforeLines="0" w:afterLines="0" w:line="400" w:lineRule="exact"/>
        <w:jc w:val="left"/>
        <w:rPr>
          <w:rFonts w:hint="eastAsia" w:ascii="宋体" w:hAnsi="宋体" w:cs="宋体"/>
          <w:color w:val="000000"/>
          <w:sz w:val="24"/>
          <w:szCs w:val="24"/>
        </w:rPr>
      </w:pPr>
      <w:r>
        <w:rPr>
          <w:rFonts w:hint="eastAsia" w:ascii="宋体" w:hAnsi="宋体" w:cs="宋体"/>
          <w:b/>
          <w:color w:val="000000"/>
          <w:sz w:val="24"/>
          <w:szCs w:val="24"/>
        </w:rPr>
        <w:t>备注：</w:t>
      </w:r>
      <w:r>
        <w:rPr>
          <w:rFonts w:hint="eastAsia" w:ascii="宋体" w:hAnsi="宋体" w:cs="宋体"/>
          <w:color w:val="000000"/>
          <w:sz w:val="24"/>
          <w:szCs w:val="24"/>
        </w:rPr>
        <w:t>1.上述费用包括货物的原材料、生产、包装、运输、保险、卸货叉车费（如有）、人工费、卸车费、</w:t>
      </w:r>
      <w:r>
        <w:rPr>
          <w:rFonts w:hint="eastAsia" w:ascii="宋体" w:hAnsi="宋体" w:cs="宋体"/>
          <w:color w:val="000000"/>
          <w:sz w:val="24"/>
          <w:szCs w:val="24"/>
          <w:lang w:val="en-US" w:eastAsia="zh-CN"/>
        </w:rPr>
        <w:t>安装费、</w:t>
      </w:r>
      <w:r>
        <w:rPr>
          <w:rFonts w:hint="eastAsia" w:ascii="宋体" w:hAnsi="宋体" w:cs="宋体"/>
          <w:color w:val="000000"/>
          <w:sz w:val="24"/>
          <w:szCs w:val="24"/>
        </w:rPr>
        <w:t>利润、税费等相关费用。</w:t>
      </w:r>
    </w:p>
    <w:p w14:paraId="11370612">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3.必须按规定提供全部完整无损、全新的产品。</w:t>
      </w:r>
      <w:r>
        <w:rPr>
          <w:rFonts w:hint="eastAsia" w:ascii="宋体" w:hAnsi="宋体" w:cs="宋体"/>
          <w:b/>
          <w:color w:val="000000"/>
          <w:sz w:val="24"/>
          <w:szCs w:val="24"/>
        </w:rPr>
        <w:t>涉及</w:t>
      </w:r>
      <w:r>
        <w:rPr>
          <w:rFonts w:hint="eastAsia" w:ascii="宋体" w:hAnsi="宋体" w:cs="宋体"/>
          <w:b/>
          <w:color w:val="000000"/>
          <w:sz w:val="24"/>
          <w:szCs w:val="24"/>
          <w:lang w:eastAsia="zh-CN"/>
        </w:rPr>
        <w:t>铝合金门窗</w:t>
      </w:r>
      <w:r>
        <w:rPr>
          <w:rFonts w:hint="eastAsia" w:ascii="宋体" w:hAnsi="宋体" w:cs="宋体"/>
          <w:b/>
          <w:color w:val="000000"/>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铝合金门窗</w:t>
      </w:r>
      <w:r>
        <w:rPr>
          <w:rFonts w:hint="eastAsia" w:ascii="宋体" w:hAnsi="宋体" w:cs="宋体"/>
          <w:color w:val="000000"/>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铝合金门窗</w:t>
      </w:r>
      <w:r>
        <w:rPr>
          <w:rFonts w:hint="eastAsia" w:ascii="宋体" w:hAnsi="宋体" w:cs="宋体"/>
          <w:color w:val="000000"/>
          <w:sz w:val="24"/>
          <w:szCs w:val="24"/>
        </w:rPr>
        <w:t>供货进度应满足采购人工程进度分批次实施的安排和要求，中标人应充分理解并全力配合采购人的</w:t>
      </w:r>
      <w:r>
        <w:rPr>
          <w:rFonts w:hint="eastAsia" w:ascii="宋体" w:hAnsi="宋体" w:cs="宋体"/>
          <w:color w:val="000000"/>
          <w:sz w:val="24"/>
          <w:szCs w:val="24"/>
          <w:lang w:eastAsia="zh-CN"/>
        </w:rPr>
        <w:t>铝合金门窗</w:t>
      </w:r>
      <w:r>
        <w:rPr>
          <w:rFonts w:hint="eastAsia" w:ascii="宋体" w:hAnsi="宋体" w:cs="宋体"/>
          <w:color w:val="000000"/>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6.中标人对提供的</w:t>
      </w:r>
      <w:r>
        <w:rPr>
          <w:rFonts w:hint="eastAsia" w:ascii="宋体" w:hAnsi="宋体" w:cs="宋体"/>
          <w:color w:val="000000"/>
          <w:sz w:val="24"/>
          <w:szCs w:val="24"/>
          <w:lang w:eastAsia="zh-CN"/>
        </w:rPr>
        <w:t>铝合金门窗</w:t>
      </w:r>
      <w:r>
        <w:rPr>
          <w:rFonts w:hint="eastAsia" w:ascii="宋体" w:hAnsi="宋体" w:cs="宋体"/>
          <w:color w:val="000000"/>
          <w:sz w:val="24"/>
          <w:szCs w:val="24"/>
        </w:rPr>
        <w:t>质量负总责，材料进场应按程序履行报验、交接手续；因</w:t>
      </w:r>
      <w:r>
        <w:rPr>
          <w:rFonts w:hint="eastAsia" w:ascii="宋体" w:hAnsi="宋体" w:cs="宋体"/>
          <w:color w:val="000000"/>
          <w:sz w:val="24"/>
          <w:szCs w:val="24"/>
          <w:lang w:eastAsia="zh-CN"/>
        </w:rPr>
        <w:t>铝合金门窗</w:t>
      </w:r>
      <w:r>
        <w:rPr>
          <w:rFonts w:hint="eastAsia" w:ascii="宋体" w:hAnsi="宋体" w:cs="宋体"/>
          <w:color w:val="000000"/>
          <w:sz w:val="24"/>
          <w:szCs w:val="24"/>
        </w:rPr>
        <w:t>材料质量问题，将视作违约，中标人须赔偿由此造成返工的全部工程建设费用及其他一切损失，同时由采购人追究中标人的违约责任，情节严重的，依法追究相关责任。</w:t>
      </w:r>
    </w:p>
    <w:p w14:paraId="16D8E25D"/>
    <w:p w14:paraId="4E27C7CC">
      <w:pPr>
        <w:pStyle w:val="5"/>
      </w:pPr>
    </w:p>
    <w:p w14:paraId="2BD20172"/>
    <w:p w14:paraId="68B75A73">
      <w:pPr>
        <w:pStyle w:val="5"/>
      </w:pPr>
    </w:p>
    <w:p w14:paraId="71E044D3"/>
    <w:p w14:paraId="5B0061A7">
      <w:pPr>
        <w:pStyle w:val="5"/>
      </w:pPr>
    </w:p>
    <w:p w14:paraId="499FF16F"/>
    <w:p w14:paraId="5354BAC5">
      <w:pPr>
        <w:pStyle w:val="5"/>
      </w:pPr>
    </w:p>
    <w:p w14:paraId="329DF9E5"/>
    <w:p w14:paraId="4EFB025E">
      <w:pPr>
        <w:pStyle w:val="5"/>
      </w:pPr>
    </w:p>
    <w:p w14:paraId="633CB658"/>
    <w:p w14:paraId="03A08F38">
      <w:pPr>
        <w:pStyle w:val="5"/>
      </w:pPr>
    </w:p>
    <w:p w14:paraId="7AB50EA3"/>
    <w:p w14:paraId="4225A976">
      <w:pPr>
        <w:pStyle w:val="3"/>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9" w:name="_Toc23456"/>
      <w:r>
        <w:rPr>
          <w:rFonts w:hint="eastAsia" w:ascii="Times New Roman" w:hAnsi="Times New Roman" w:eastAsia="宋体"/>
          <w:sz w:val="36"/>
          <w:szCs w:val="44"/>
        </w:rPr>
        <w:t>响应文件格式</w:t>
      </w:r>
      <w:bookmarkEnd w:id="159"/>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5"/>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5"/>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13"/>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5"/>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0"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0"/>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3"/>
        <w:numPr>
          <w:ilvl w:val="0"/>
          <w:numId w:val="0"/>
        </w:numPr>
        <w:rPr>
          <w:rFonts w:hint="eastAsia" w:eastAsia="方正小标宋_GBK"/>
          <w:sz w:val="36"/>
          <w:szCs w:val="44"/>
        </w:rPr>
      </w:pPr>
      <w:bookmarkStart w:id="161"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61"/>
    </w:p>
    <w:p w14:paraId="49B3464C">
      <w:pPr>
        <w:pStyle w:val="2"/>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3"/>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sz w:val="24"/>
          <w:szCs w:val="24"/>
        </w:rPr>
      </w:pPr>
    </w:p>
    <w:p w14:paraId="4771CF22">
      <w:pPr>
        <w:pStyle w:val="13"/>
        <w:tabs>
          <w:tab w:val="center" w:pos="4153"/>
          <w:tab w:val="right" w:pos="8306"/>
        </w:tabs>
        <w:spacing w:beforeLines="0" w:afterLines="0"/>
        <w:rPr>
          <w:rFonts w:hint="eastAsia"/>
          <w:sz w:val="18"/>
          <w:szCs w:val="24"/>
        </w:rPr>
      </w:pPr>
    </w:p>
    <w:p w14:paraId="4368A36F">
      <w:pPr>
        <w:pStyle w:val="14"/>
        <w:spacing w:beforeLines="0" w:afterLines="0"/>
        <w:rPr>
          <w:rFonts w:hint="eastAsia" w:eastAsia="宋体"/>
          <w:sz w:val="21"/>
          <w:szCs w:val="21"/>
        </w:rPr>
      </w:pPr>
    </w:p>
    <w:p w14:paraId="24B7FA17">
      <w:pPr>
        <w:rPr>
          <w:rFonts w:hint="eastAsia"/>
        </w:rPr>
      </w:pPr>
    </w:p>
    <w:p w14:paraId="76B08196">
      <w:pPr>
        <w:pStyle w:val="2"/>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62" w:name="_Hlk122530524"/>
      <w:r>
        <w:rPr>
          <w:rFonts w:hint="eastAsia" w:ascii="宋体" w:hAnsi="宋体" w:cs="宋体"/>
          <w:sz w:val="24"/>
          <w:szCs w:val="24"/>
          <w:u w:val="single"/>
        </w:rPr>
        <w:t xml:space="preserve">                         </w:t>
      </w:r>
      <w:bookmarkEnd w:id="162"/>
      <w:r>
        <w:rPr>
          <w:rFonts w:hint="eastAsia" w:ascii="宋体" w:hAnsi="宋体" w:cs="宋体"/>
          <w:sz w:val="24"/>
          <w:szCs w:val="24"/>
        </w:rPr>
        <w:t>（盖单位章）</w:t>
      </w:r>
    </w:p>
    <w:p w14:paraId="7CB2BE99">
      <w:pPr>
        <w:pStyle w:val="2"/>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63" w:name="_Toc23378"/>
      <w:r>
        <w:rPr>
          <w:rFonts w:hint="eastAsia" w:ascii="黑体" w:hAnsi="宋体" w:eastAsia="黑体" w:cs="黑体"/>
          <w:kern w:val="2"/>
          <w:sz w:val="28"/>
          <w:szCs w:val="28"/>
          <w:lang w:val="en-US" w:eastAsia="zh-CN" w:bidi="ar"/>
        </w:rPr>
        <w:t>二、法定代表人身份证明及授权委托书</w:t>
      </w:r>
      <w:bookmarkEnd w:id="16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6BFDA384">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4" w:name="_Toc19890"/>
      <w:r>
        <w:rPr>
          <w:rFonts w:hint="eastAsia" w:ascii="黑体" w:hAnsi="宋体" w:eastAsia="黑体" w:cs="黑体"/>
          <w:kern w:val="2"/>
          <w:sz w:val="28"/>
          <w:szCs w:val="28"/>
          <w:lang w:val="en-US" w:eastAsia="zh-CN" w:bidi="ar"/>
        </w:rPr>
        <w:t>三、供应商基本情况</w:t>
      </w:r>
      <w:bookmarkEnd w:id="16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5" w:name="_Toc9989"/>
      <w:r>
        <w:rPr>
          <w:rFonts w:hint="eastAsia" w:ascii="黑体" w:hAnsi="宋体" w:eastAsia="黑体" w:cs="黑体"/>
          <w:kern w:val="2"/>
          <w:sz w:val="28"/>
          <w:szCs w:val="28"/>
          <w:lang w:val="en-US" w:eastAsia="zh-CN" w:bidi="ar"/>
        </w:rPr>
        <w:t>四、近年类似业绩情况</w:t>
      </w:r>
      <w:bookmarkEnd w:id="16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607"/>
      <w:r>
        <w:rPr>
          <w:rFonts w:hint="eastAsia" w:ascii="黑体" w:hAnsi="宋体" w:eastAsia="黑体" w:cs="黑体"/>
          <w:kern w:val="2"/>
          <w:sz w:val="28"/>
          <w:szCs w:val="28"/>
          <w:lang w:val="en-US" w:eastAsia="zh-CN" w:bidi="ar"/>
        </w:rPr>
        <w:t>五、信誉情况</w:t>
      </w:r>
      <w:bookmarkEnd w:id="16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rPr>
      </w:pPr>
      <w:bookmarkStart w:id="167" w:name="_Toc1569"/>
      <w:r>
        <w:rPr>
          <w:rFonts w:hint="eastAsia" w:ascii="黑体" w:hAnsi="宋体" w:eastAsia="黑体" w:cs="黑体"/>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七、供货方案</w:t>
      </w:r>
      <w:bookmarkEnd w:id="167"/>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8" w:name="_Toc7941"/>
      <w:r>
        <w:rPr>
          <w:rFonts w:hint="eastAsia" w:ascii="Times New Roman" w:hAnsi="Times New Roman" w:eastAsia="黑体"/>
          <w:sz w:val="28"/>
          <w:szCs w:val="28"/>
          <w:lang w:val="en-US" w:eastAsia="zh-CN"/>
        </w:rPr>
        <w:t>八</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w:t>
      </w:r>
      <w:r>
        <w:rPr>
          <w:rFonts w:hint="eastAsia" w:ascii="Times New Roman" w:hAnsi="Times New Roman" w:eastAsia="黑体"/>
          <w:sz w:val="28"/>
          <w:szCs w:val="28"/>
        </w:rPr>
        <w:t>方案</w:t>
      </w: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供应商应按项目特点编制供货方案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8"/>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9" w:name="_Toc30485"/>
      <w:r>
        <w:rPr>
          <w:rFonts w:hint="eastAsia" w:ascii="黑体" w:hAnsi="宋体" w:eastAsia="黑体" w:cs="黑体"/>
          <w:kern w:val="2"/>
          <w:sz w:val="28"/>
          <w:szCs w:val="28"/>
          <w:lang w:val="en-US" w:eastAsia="zh-CN" w:bidi="ar"/>
        </w:rPr>
        <w:t>九、承诺书</w:t>
      </w:r>
      <w:bookmarkEnd w:id="16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7E06768A">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70" w:name="_Toc2975"/>
      <w:r>
        <w:rPr>
          <w:rFonts w:hint="eastAsia" w:ascii="黑体" w:hAnsi="宋体" w:eastAsia="黑体" w:cs="黑体"/>
          <w:kern w:val="2"/>
          <w:sz w:val="28"/>
          <w:szCs w:val="28"/>
          <w:lang w:val="en-US" w:eastAsia="zh-CN" w:bidi="ar"/>
        </w:rPr>
        <w:t>十、其他材料</w:t>
      </w:r>
      <w:bookmarkEnd w:id="17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u w:val="none"/>
          <w:lang w:val="en-US" w:eastAsia="zh-CN" w:bidi="ar"/>
        </w:rPr>
        <w:t xml:space="preserve"> </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71"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71"/>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安装费、机械费、运输费、管理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45ECA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1"/>
        <w:gridCol w:w="4061"/>
        <w:gridCol w:w="1922"/>
        <w:gridCol w:w="2119"/>
      </w:tblGrid>
      <w:tr w14:paraId="5BB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810C39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7518F20">
            <w:pPr>
              <w:pStyle w:val="17"/>
              <w:keepNext w:val="0"/>
              <w:keepLines w:val="0"/>
              <w:widowControl w:val="0"/>
              <w:suppressLineNumbers w:val="0"/>
              <w:spacing w:before="0" w:beforeAutospacing="1" w:after="120" w:afterAutospacing="0"/>
              <w:ind w:left="0" w:leftChars="0" w:right="0" w:firstLine="0" w:firstLineChars="0"/>
              <w:jc w:val="center"/>
              <w:rPr>
                <w:rFonts w:hint="default" w:ascii="Calibri" w:hAnsi="Calibri" w:eastAsia="宋体" w:cs="Times New Roman"/>
                <w:kern w:val="2"/>
                <w:sz w:val="21"/>
                <w:szCs w:val="21"/>
              </w:rPr>
            </w:pPr>
            <w:r>
              <w:rPr>
                <w:rFonts w:hint="eastAsia" w:cs="宋体"/>
                <w:kern w:val="2"/>
                <w:sz w:val="21"/>
                <w:szCs w:val="21"/>
                <w:lang w:val="en-US" w:eastAsia="zh-CN" w:bidi="ar"/>
              </w:rPr>
              <w:t>铝合金门窗</w:t>
            </w:r>
            <w:r>
              <w:rPr>
                <w:rFonts w:hint="eastAsia" w:ascii="宋体" w:hAnsi="宋体" w:eastAsia="宋体" w:cs="宋体"/>
                <w:kern w:val="2"/>
                <w:sz w:val="21"/>
                <w:szCs w:val="21"/>
                <w:lang w:val="en-US" w:eastAsia="zh-CN" w:bidi="ar"/>
              </w:rPr>
              <w:t>采购项目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A4B0E24">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金额（元）</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55DDC952">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r>
      <w:tr w14:paraId="568C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46A17526">
            <w:pPr>
              <w:pStyle w:val="17"/>
              <w:keepNext w:val="0"/>
              <w:keepLines w:val="0"/>
              <w:widowControl w:val="0"/>
              <w:suppressLineNumbers w:val="0"/>
              <w:spacing w:before="0" w:beforeAutospacing="1" w:after="120" w:afterAutospacing="0"/>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030A7B9">
            <w:pPr>
              <w:pStyle w:val="17"/>
              <w:keepNext w:val="0"/>
              <w:keepLines w:val="0"/>
              <w:widowControl w:val="0"/>
              <w:suppressLineNumbers w:val="0"/>
              <w:spacing w:before="0" w:beforeAutospacing="1" w:after="120" w:afterAutospacing="0"/>
              <w:ind w:left="0" w:leftChars="0" w:right="0" w:firstLine="0" w:firstLineChars="0"/>
              <w:jc w:val="center"/>
              <w:rPr>
                <w:rFonts w:hint="default" w:ascii="宋体" w:hAnsi="宋体" w:eastAsia="宋体" w:cs="宋体"/>
                <w:color w:val="000000"/>
                <w:kern w:val="2"/>
                <w:sz w:val="21"/>
                <w:szCs w:val="21"/>
                <w:lang w:val="en-US" w:eastAsia="zh-CN"/>
              </w:rPr>
            </w:pPr>
            <w:r>
              <w:rPr>
                <w:rFonts w:hint="eastAsia" w:cs="宋体"/>
                <w:color w:val="000000"/>
                <w:kern w:val="2"/>
                <w:sz w:val="21"/>
                <w:szCs w:val="21"/>
                <w:lang w:val="en-US" w:eastAsia="zh-CN"/>
              </w:rPr>
              <w:t>徐淮阜铝合金门窗</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6A8C8A7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vMerge w:val="restart"/>
            <w:tcBorders>
              <w:top w:val="single" w:color="auto" w:sz="4" w:space="0"/>
              <w:left w:val="single" w:color="auto" w:sz="4" w:space="0"/>
              <w:right w:val="single" w:color="auto" w:sz="4" w:space="0"/>
            </w:tcBorders>
            <w:shd w:val="clear" w:color="auto" w:fill="auto"/>
            <w:vAlign w:val="center"/>
          </w:tcPr>
          <w:p w14:paraId="1CA9356D">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b w:val="0"/>
                <w:color w:val="000000"/>
                <w:kern w:val="2"/>
                <w:sz w:val="21"/>
                <w:szCs w:val="21"/>
                <w:lang w:val="en-US" w:eastAsia="zh-CN" w:bidi="ar"/>
              </w:rPr>
              <w:t>含税（</w:t>
            </w:r>
            <w:r>
              <w:rPr>
                <w:rFonts w:hint="default" w:ascii="Times New Roman" w:hAnsi="Times New Roman" w:eastAsia="宋体" w:cs="Times New Roman"/>
                <w:b w:val="0"/>
                <w:color w:val="000000"/>
                <w:kern w:val="2"/>
                <w:sz w:val="21"/>
                <w:szCs w:val="21"/>
                <w:lang w:val="en-US" w:eastAsia="zh-CN" w:bidi="ar"/>
              </w:rPr>
              <w:t>13%</w:t>
            </w:r>
            <w:r>
              <w:rPr>
                <w:rFonts w:hint="eastAsia" w:ascii="宋体" w:hAnsi="宋体" w:eastAsia="宋体" w:cs="宋体"/>
                <w:b w:val="0"/>
                <w:color w:val="000000"/>
                <w:kern w:val="2"/>
                <w:sz w:val="21"/>
                <w:szCs w:val="21"/>
                <w:lang w:val="en-US" w:eastAsia="zh-CN" w:bidi="ar"/>
              </w:rPr>
              <w:t>）增值税专用发票 ，详见附件报价单。</w:t>
            </w:r>
          </w:p>
        </w:tc>
      </w:tr>
      <w:tr w14:paraId="2906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247294D9">
            <w:pPr>
              <w:pStyle w:val="17"/>
              <w:keepNext w:val="0"/>
              <w:keepLines w:val="0"/>
              <w:widowControl w:val="0"/>
              <w:suppressLineNumbers w:val="0"/>
              <w:spacing w:before="0" w:beforeAutospacing="1" w:after="120" w:afterAutospacing="0"/>
              <w:ind w:left="0" w:leftChars="0" w:right="0" w:firstLine="0" w:firstLineChars="0"/>
              <w:jc w:val="center"/>
              <w:rPr>
                <w:rFonts w:hint="default" w:ascii="宋体" w:hAnsi="宋体" w:eastAsia="宋体" w:cs="宋体"/>
                <w:color w:val="000000"/>
                <w:kern w:val="2"/>
                <w:sz w:val="21"/>
                <w:szCs w:val="21"/>
                <w:lang w:val="en-US" w:eastAsia="zh-CN" w:bidi="ar"/>
              </w:rPr>
            </w:pPr>
            <w:r>
              <w:rPr>
                <w:rFonts w:hint="eastAsia" w:cs="宋体"/>
                <w:color w:val="000000"/>
                <w:kern w:val="2"/>
                <w:sz w:val="21"/>
                <w:szCs w:val="21"/>
                <w:lang w:val="en-US" w:eastAsia="zh-CN" w:bidi="ar"/>
              </w:rPr>
              <w:t>2</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42688D89">
            <w:pPr>
              <w:pStyle w:val="17"/>
              <w:keepNext w:val="0"/>
              <w:keepLines w:val="0"/>
              <w:widowControl w:val="0"/>
              <w:suppressLineNumbers w:val="0"/>
              <w:spacing w:before="0" w:beforeAutospacing="1" w:after="120" w:afterAutospacing="0"/>
              <w:ind w:left="0" w:leftChars="0" w:right="0" w:firstLine="0" w:firstLine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蚌埠处3#宿舍楼</w:t>
            </w:r>
            <w:r>
              <w:rPr>
                <w:rFonts w:hint="eastAsia" w:cs="宋体"/>
                <w:kern w:val="2"/>
                <w:sz w:val="21"/>
                <w:szCs w:val="21"/>
                <w:lang w:val="en-US" w:eastAsia="zh-CN" w:bidi="ar"/>
              </w:rPr>
              <w:t>铝合金门窗</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44FADD22">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vMerge w:val="continue"/>
            <w:tcBorders>
              <w:left w:val="single" w:color="auto" w:sz="4" w:space="0"/>
              <w:right w:val="single" w:color="auto" w:sz="4" w:space="0"/>
            </w:tcBorders>
            <w:shd w:val="clear" w:color="auto" w:fill="auto"/>
            <w:vAlign w:val="center"/>
          </w:tcPr>
          <w:p w14:paraId="282BD5C2">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b w:val="0"/>
                <w:color w:val="000000"/>
                <w:kern w:val="2"/>
                <w:sz w:val="21"/>
                <w:szCs w:val="21"/>
                <w:lang w:val="en-US" w:eastAsia="zh-CN" w:bidi="ar"/>
              </w:rPr>
            </w:pPr>
          </w:p>
        </w:tc>
      </w:tr>
      <w:tr w14:paraId="3DA3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14:paraId="0A923889">
            <w:pPr>
              <w:pStyle w:val="17"/>
              <w:keepNext w:val="0"/>
              <w:keepLines w:val="0"/>
              <w:widowControl w:val="0"/>
              <w:suppressLineNumbers w:val="0"/>
              <w:spacing w:before="0" w:beforeAutospacing="1" w:after="120" w:afterAutospacing="0"/>
              <w:ind w:left="0" w:leftChars="0" w:right="0" w:firstLine="0" w:firstLineChars="0"/>
              <w:jc w:val="center"/>
              <w:rPr>
                <w:rFonts w:hint="default" w:cs="宋体"/>
                <w:color w:val="000000"/>
                <w:kern w:val="2"/>
                <w:sz w:val="21"/>
                <w:szCs w:val="21"/>
                <w:lang w:val="en-US" w:eastAsia="zh-CN" w:bidi="ar"/>
              </w:rPr>
            </w:pPr>
            <w:r>
              <w:rPr>
                <w:rFonts w:hint="eastAsia" w:cs="宋体"/>
                <w:color w:val="000000"/>
                <w:kern w:val="2"/>
                <w:sz w:val="21"/>
                <w:szCs w:val="21"/>
                <w:lang w:val="en-US" w:eastAsia="zh-CN" w:bidi="ar"/>
              </w:rPr>
              <w:t>3</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57B5880B">
            <w:pPr>
              <w:pStyle w:val="17"/>
              <w:keepNext w:val="0"/>
              <w:keepLines w:val="0"/>
              <w:widowControl w:val="0"/>
              <w:suppressLineNumbers w:val="0"/>
              <w:spacing w:before="0" w:beforeAutospacing="1" w:after="120" w:afterAutospacing="0"/>
              <w:ind w:left="0" w:leftChars="0" w:right="0" w:firstLine="0" w:firstLineChars="0"/>
              <w:jc w:val="center"/>
              <w:rPr>
                <w:rFonts w:hint="default" w:ascii="宋体" w:hAnsi="宋体" w:eastAsia="宋体" w:cs="宋体"/>
                <w:kern w:val="2"/>
                <w:sz w:val="21"/>
                <w:szCs w:val="21"/>
                <w:lang w:val="en-US" w:eastAsia="zh-CN" w:bidi="ar"/>
              </w:rPr>
            </w:pPr>
            <w:r>
              <w:rPr>
                <w:rFonts w:hint="eastAsia" w:cs="宋体"/>
                <w:kern w:val="2"/>
                <w:sz w:val="21"/>
                <w:szCs w:val="21"/>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1E559A41">
            <w:pPr>
              <w:pStyle w:val="17"/>
              <w:keepNext w:val="0"/>
              <w:keepLines w:val="0"/>
              <w:widowControl w:val="0"/>
              <w:suppressLineNumbers w:val="0"/>
              <w:spacing w:before="0" w:beforeAutospacing="1" w:after="120" w:afterAutospacing="0"/>
              <w:ind w:left="0" w:leftChars="0" w:right="0" w:firstLine="420" w:firstLineChars="200"/>
              <w:jc w:val="both"/>
              <w:rPr>
                <w:rFonts w:hint="eastAsia" w:ascii="宋体" w:hAnsi="宋体" w:eastAsia="宋体" w:cs="宋体"/>
                <w:color w:val="000000"/>
                <w:kern w:val="2"/>
                <w:sz w:val="21"/>
                <w:szCs w:val="21"/>
              </w:rPr>
            </w:pPr>
          </w:p>
        </w:tc>
        <w:tc>
          <w:tcPr>
            <w:tcW w:w="2119" w:type="dxa"/>
            <w:vMerge w:val="continue"/>
            <w:tcBorders>
              <w:left w:val="single" w:color="auto" w:sz="4" w:space="0"/>
              <w:bottom w:val="single" w:color="auto" w:sz="4" w:space="0"/>
              <w:right w:val="single" w:color="auto" w:sz="4" w:space="0"/>
            </w:tcBorders>
            <w:shd w:val="clear" w:color="auto" w:fill="auto"/>
            <w:vAlign w:val="center"/>
          </w:tcPr>
          <w:p w14:paraId="1947673A">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宋体"/>
                <w:b w:val="0"/>
                <w:color w:val="000000"/>
                <w:kern w:val="2"/>
                <w:sz w:val="21"/>
                <w:szCs w:val="21"/>
                <w:lang w:val="en-US" w:eastAsia="zh-CN" w:bidi="ar"/>
              </w:rPr>
            </w:pPr>
          </w:p>
        </w:tc>
      </w:tr>
      <w:tr w14:paraId="714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C3AF6">
            <w:pPr>
              <w:pStyle w:val="17"/>
              <w:keepNext w:val="0"/>
              <w:keepLines w:val="0"/>
              <w:widowControl w:val="0"/>
              <w:suppressLineNumbers w:val="0"/>
              <w:spacing w:before="0" w:beforeAutospacing="1" w:after="120" w:afterAutospacing="0"/>
              <w:ind w:left="420" w:leftChars="200" w:right="0" w:firstLine="420" w:firstLineChars="20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合计金额</w:t>
            </w:r>
            <w:r>
              <w:rPr>
                <w:rFonts w:hint="eastAsia" w:cs="宋体"/>
                <w:color w:val="000000"/>
                <w:kern w:val="2"/>
                <w:sz w:val="21"/>
                <w:szCs w:val="21"/>
                <w:lang w:val="en-US" w:eastAsia="zh-CN" w:bidi="ar"/>
              </w:rPr>
              <w:t>（元）</w:t>
            </w:r>
          </w:p>
        </w:tc>
        <w:tc>
          <w:tcPr>
            <w:tcW w:w="4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9106">
            <w:pPr>
              <w:pStyle w:val="17"/>
              <w:keepNext w:val="0"/>
              <w:keepLines w:val="0"/>
              <w:widowControl w:val="0"/>
              <w:suppressLineNumbers w:val="0"/>
              <w:spacing w:before="0" w:beforeAutospacing="1" w:after="120" w:afterAutospacing="0"/>
              <w:ind w:left="0" w:right="0"/>
              <w:jc w:val="left"/>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大写：</w:t>
            </w:r>
          </w:p>
        </w:tc>
      </w:tr>
    </w:tbl>
    <w:p w14:paraId="3363EBBE">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0089E4D">
      <w:pPr>
        <w:keepNext w:val="0"/>
        <w:keepLines w:val="0"/>
        <w:widowControl w:val="0"/>
        <w:suppressLineNumbers w:val="0"/>
        <w:spacing w:before="0" w:beforeAutospacing="0" w:after="0" w:afterAutospacing="0"/>
        <w:ind w:left="0" w:right="76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78FD3C78">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F2DB243">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615A4052">
      <w:pPr>
        <w:pStyle w:val="17"/>
        <w:keepNext w:val="0"/>
        <w:keepLines w:val="0"/>
        <w:widowControl w:val="0"/>
        <w:suppressLineNumbers w:val="0"/>
        <w:spacing w:before="0" w:beforeAutospacing="1" w:after="120" w:afterAutospacing="0"/>
        <w:ind w:left="0" w:leftChars="0" w:right="0" w:firstLine="210" w:firstLineChars="1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6E63BA9">
      <w:pPr>
        <w:pStyle w:val="19"/>
        <w:widowControl/>
        <w:spacing w:before="0" w:beforeAutospacing="1"/>
        <w:ind w:left="0" w:right="0"/>
        <w:rPr>
          <w:rFonts w:hint="eastAsia" w:ascii="Calibri" w:hAnsi="Calibri" w:eastAsia="宋体" w:cs="Times New Roman"/>
          <w:kern w:val="2"/>
          <w:sz w:val="21"/>
          <w:szCs w:val="21"/>
        </w:rPr>
      </w:pPr>
      <w:r>
        <w:rPr>
          <w:rFonts w:hint="eastAsia" w:ascii="Calibri" w:hAnsi="Calibri" w:eastAsia="宋体" w:cs="Times New Roman"/>
          <w:kern w:val="2"/>
          <w:sz w:val="21"/>
          <w:szCs w:val="21"/>
        </w:rPr>
        <w:t xml:space="preserve"> </w:t>
      </w: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1.上述费用包括货物的原材料、生产、包装、运输、保险、卸货叉车费（如有）、人工费、卸车费、安装费、利润、税费等相关费用。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涉及铝合金门窗检测复试费用均由供应商承担，抽检频率和批次按国家、行业标准或甲方要求执行。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4.铝合金门窗须在包装外壁醒目位置及材料上永久性标示生产厂家、生产批次、品牌标志、规格型号、唯一性可追溯性编码标识（如二维码）等信息。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5.铝合金门窗供货进度应满足采购人工程进度分批次实施的安排和要求，中标人应充分理解并全力配合采购人的铝合金门窗采购、进场工作，并承担因送货次数增加而引起的运输成本增加等相应风险。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铝合金门窗质量负总责，材料进场应按程序履行报验、交接手续；因铝合金门窗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2A90F97">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lang w:val="en-US" w:eastAsia="zh-CN" w:bidi="ar"/>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华文中宋" w:cs="Times New Roman"/>
          <w:b/>
          <w:bCs w:val="0"/>
          <w:smallCaps/>
          <w:kern w:val="2"/>
          <w:sz w:val="24"/>
          <w:szCs w:val="24"/>
          <w:lang w:val="en-US" w:eastAsia="zh-CN" w:bidi="ar"/>
        </w:rPr>
        <w:br w:type="page"/>
      </w:r>
    </w:p>
    <w:p w14:paraId="73AF401C">
      <w:pPr>
        <w:pStyle w:val="17"/>
        <w:widowControl w:val="0"/>
        <w:adjustRightInd w:val="0"/>
        <w:snapToGrid w:val="0"/>
        <w:spacing w:before="0" w:beforeLines="0" w:beforeAutospacing="0" w:after="0" w:afterLines="0" w:afterAutospacing="0"/>
        <w:rPr>
          <w:rFonts w:hint="default" w:ascii="Times New Roman" w:hAnsi="Times New Roman" w:eastAsia="华文中宋" w:cs="Times New Roman"/>
          <w:b/>
          <w:smallCaps/>
          <w:kern w:val="2"/>
          <w:sz w:val="24"/>
          <w:szCs w:val="24"/>
          <w:highlight w:val="yellow"/>
        </w:rPr>
      </w:pPr>
      <w:r>
        <w:rPr>
          <w:rFonts w:hint="eastAsia" w:ascii="华文中宋" w:hAnsi="华文中宋" w:eastAsia="华文中宋" w:cs="华文中宋"/>
          <w:b/>
          <w:smallCaps/>
          <w:kern w:val="2"/>
          <w:sz w:val="24"/>
          <w:szCs w:val="24"/>
          <w:highlight w:val="yellow"/>
          <w:lang w:bidi="ar"/>
        </w:rPr>
        <w:t>后附报价清单</w:t>
      </w:r>
    </w:p>
    <w:p w14:paraId="6C29DBE5">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46066CAB">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1E1333EE">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71EC6946">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4FA421D4">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0795D12A">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56943052">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76BBF3A0">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099FEBB7">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5E0E4C72">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34A02C11">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445782FB">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42B97250">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25005B2B">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5371EFDD">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52D9D83F">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01245335">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4994F3E9">
      <w:pPr>
        <w:pStyle w:val="2"/>
        <w:rPr>
          <w:rFonts w:hint="eastAsia"/>
          <w:lang w:val="en-US" w:eastAsia="zh-CN"/>
        </w:rPr>
      </w:pPr>
    </w:p>
    <w:p w14:paraId="5C94B84E">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0310A5C6">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02BFC704">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302A1C07">
      <w:pPr>
        <w:keepNext w:val="0"/>
        <w:keepLines w:val="0"/>
        <w:widowControl w:val="0"/>
        <w:suppressLineNumbers w:val="0"/>
        <w:spacing w:before="0" w:beforeAutospacing="0" w:after="0" w:afterAutospacing="0"/>
        <w:ind w:left="0" w:right="0"/>
        <w:jc w:val="center"/>
        <w:outlineLvl w:val="1"/>
        <w:rPr>
          <w:rFonts w:hint="eastAsia" w:ascii="黑体" w:hAnsi="宋体" w:eastAsia="黑体" w:cs="黑体"/>
          <w:kern w:val="2"/>
          <w:sz w:val="28"/>
          <w:szCs w:val="28"/>
          <w:lang w:val="en-US" w:eastAsia="zh-CN" w:bidi="ar"/>
        </w:rPr>
      </w:pP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8304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28304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28CB4">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F28CB4">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1BB9E883">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2"/>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A308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CA308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236DBB99">
    <w:pPr>
      <w:pStyle w:val="12"/>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E7D3">
    <w:pPr>
      <w:pStyle w:val="12"/>
      <w:spacing w:beforeLines="0" w:afterLines="0"/>
      <w:rPr>
        <w:rFonts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7FFD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97FFD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9734">
    <w:pPr>
      <w:pStyle w:val="13"/>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4"/>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jRiMGQ4NzU2NDgxMTFmZDZhZTE4N2ZkYWRkMjcifQ=="/>
  </w:docVars>
  <w:rsids>
    <w:rsidRoot w:val="00172A27"/>
    <w:rsid w:val="0022317B"/>
    <w:rsid w:val="00302DB5"/>
    <w:rsid w:val="00302F3A"/>
    <w:rsid w:val="005607D6"/>
    <w:rsid w:val="00653222"/>
    <w:rsid w:val="00691F7C"/>
    <w:rsid w:val="00724BD4"/>
    <w:rsid w:val="007C6E94"/>
    <w:rsid w:val="00E8570D"/>
    <w:rsid w:val="0175017E"/>
    <w:rsid w:val="01E925F2"/>
    <w:rsid w:val="02285819"/>
    <w:rsid w:val="023E3C6A"/>
    <w:rsid w:val="028D5673"/>
    <w:rsid w:val="029663A8"/>
    <w:rsid w:val="02D346A3"/>
    <w:rsid w:val="038863C7"/>
    <w:rsid w:val="03A9557F"/>
    <w:rsid w:val="042D60EA"/>
    <w:rsid w:val="046F330D"/>
    <w:rsid w:val="04701D1E"/>
    <w:rsid w:val="04CB5FDF"/>
    <w:rsid w:val="04E034BC"/>
    <w:rsid w:val="05BE1FE7"/>
    <w:rsid w:val="05F94BA8"/>
    <w:rsid w:val="06341F34"/>
    <w:rsid w:val="068727A0"/>
    <w:rsid w:val="06950CEC"/>
    <w:rsid w:val="07063EDC"/>
    <w:rsid w:val="070E48A8"/>
    <w:rsid w:val="073835B2"/>
    <w:rsid w:val="076958CF"/>
    <w:rsid w:val="079B060F"/>
    <w:rsid w:val="07A70F85"/>
    <w:rsid w:val="08843E62"/>
    <w:rsid w:val="09210464"/>
    <w:rsid w:val="098145BB"/>
    <w:rsid w:val="09866978"/>
    <w:rsid w:val="0A2E7496"/>
    <w:rsid w:val="0A466107"/>
    <w:rsid w:val="0A941F2B"/>
    <w:rsid w:val="0AAD73BC"/>
    <w:rsid w:val="0AEF2AC2"/>
    <w:rsid w:val="0B9D5AB0"/>
    <w:rsid w:val="0BA10DDD"/>
    <w:rsid w:val="0BDD422F"/>
    <w:rsid w:val="0C425774"/>
    <w:rsid w:val="0C566AD6"/>
    <w:rsid w:val="0CA45010"/>
    <w:rsid w:val="0D0C6C6B"/>
    <w:rsid w:val="0D345CCC"/>
    <w:rsid w:val="0D6C792C"/>
    <w:rsid w:val="0DBC505E"/>
    <w:rsid w:val="0DBD0BDC"/>
    <w:rsid w:val="0DC30CBF"/>
    <w:rsid w:val="0DCD2DC7"/>
    <w:rsid w:val="0DE02F17"/>
    <w:rsid w:val="0E51344E"/>
    <w:rsid w:val="0EAB2DDD"/>
    <w:rsid w:val="0EBA46A3"/>
    <w:rsid w:val="0EBB2DAD"/>
    <w:rsid w:val="0F000F7B"/>
    <w:rsid w:val="0F4B48EC"/>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431F92"/>
    <w:rsid w:val="13E11194"/>
    <w:rsid w:val="144A391D"/>
    <w:rsid w:val="14FC0436"/>
    <w:rsid w:val="150E5893"/>
    <w:rsid w:val="15133F2C"/>
    <w:rsid w:val="15436065"/>
    <w:rsid w:val="15475B55"/>
    <w:rsid w:val="15655095"/>
    <w:rsid w:val="15C3657D"/>
    <w:rsid w:val="163D1F3A"/>
    <w:rsid w:val="16414AC9"/>
    <w:rsid w:val="188C4113"/>
    <w:rsid w:val="190378FF"/>
    <w:rsid w:val="191A46EE"/>
    <w:rsid w:val="191E4E53"/>
    <w:rsid w:val="19647370"/>
    <w:rsid w:val="19DE1C05"/>
    <w:rsid w:val="1A185E2C"/>
    <w:rsid w:val="1A3C6E09"/>
    <w:rsid w:val="1A657CD8"/>
    <w:rsid w:val="1A8D6EC2"/>
    <w:rsid w:val="1AA97D25"/>
    <w:rsid w:val="1B87260E"/>
    <w:rsid w:val="1BE91714"/>
    <w:rsid w:val="1BFB4C41"/>
    <w:rsid w:val="1C0C5403"/>
    <w:rsid w:val="1C511068"/>
    <w:rsid w:val="1CB03FE0"/>
    <w:rsid w:val="1CB67972"/>
    <w:rsid w:val="1CD07137"/>
    <w:rsid w:val="1CED259F"/>
    <w:rsid w:val="1CF12CD2"/>
    <w:rsid w:val="1D3772E3"/>
    <w:rsid w:val="1D3F5364"/>
    <w:rsid w:val="1D9C6C71"/>
    <w:rsid w:val="1DD02C25"/>
    <w:rsid w:val="1E780B2E"/>
    <w:rsid w:val="1E7E7378"/>
    <w:rsid w:val="1F0D4887"/>
    <w:rsid w:val="1F86727A"/>
    <w:rsid w:val="1F93095F"/>
    <w:rsid w:val="1FB449F5"/>
    <w:rsid w:val="1FC01B05"/>
    <w:rsid w:val="20220D88"/>
    <w:rsid w:val="202D724A"/>
    <w:rsid w:val="20432E03"/>
    <w:rsid w:val="20CE712B"/>
    <w:rsid w:val="20E701EC"/>
    <w:rsid w:val="20E91E34"/>
    <w:rsid w:val="21B66AE8"/>
    <w:rsid w:val="21EF5977"/>
    <w:rsid w:val="2211172D"/>
    <w:rsid w:val="22456F98"/>
    <w:rsid w:val="22A243CB"/>
    <w:rsid w:val="233944AA"/>
    <w:rsid w:val="23610B8C"/>
    <w:rsid w:val="241D716E"/>
    <w:rsid w:val="243A0633"/>
    <w:rsid w:val="259137B5"/>
    <w:rsid w:val="25CC7C14"/>
    <w:rsid w:val="2613091A"/>
    <w:rsid w:val="265909F3"/>
    <w:rsid w:val="2661159E"/>
    <w:rsid w:val="26BD3DC8"/>
    <w:rsid w:val="27621A0B"/>
    <w:rsid w:val="276264E1"/>
    <w:rsid w:val="279E7B84"/>
    <w:rsid w:val="27B103DE"/>
    <w:rsid w:val="285445B2"/>
    <w:rsid w:val="28D24D9C"/>
    <w:rsid w:val="28FE7045"/>
    <w:rsid w:val="2941798C"/>
    <w:rsid w:val="294C5129"/>
    <w:rsid w:val="295C70D0"/>
    <w:rsid w:val="296543A4"/>
    <w:rsid w:val="2A8F70B0"/>
    <w:rsid w:val="2AE43776"/>
    <w:rsid w:val="2B1D5459"/>
    <w:rsid w:val="2CB01DDA"/>
    <w:rsid w:val="2CDC2BCF"/>
    <w:rsid w:val="2D141CF6"/>
    <w:rsid w:val="2D197980"/>
    <w:rsid w:val="2D297497"/>
    <w:rsid w:val="2D984126"/>
    <w:rsid w:val="2E0A4375"/>
    <w:rsid w:val="2E471A2B"/>
    <w:rsid w:val="2E6740D2"/>
    <w:rsid w:val="2E6B5FB9"/>
    <w:rsid w:val="2ED8288A"/>
    <w:rsid w:val="2F1C72B3"/>
    <w:rsid w:val="2F9B6E27"/>
    <w:rsid w:val="300246FB"/>
    <w:rsid w:val="30793AE8"/>
    <w:rsid w:val="30843362"/>
    <w:rsid w:val="319B3695"/>
    <w:rsid w:val="32332253"/>
    <w:rsid w:val="324271A8"/>
    <w:rsid w:val="32B75C71"/>
    <w:rsid w:val="331F3816"/>
    <w:rsid w:val="333F226C"/>
    <w:rsid w:val="33C26030"/>
    <w:rsid w:val="34232E92"/>
    <w:rsid w:val="35201A23"/>
    <w:rsid w:val="35437DFC"/>
    <w:rsid w:val="35843E04"/>
    <w:rsid w:val="35B540D6"/>
    <w:rsid w:val="361938E0"/>
    <w:rsid w:val="36C144C3"/>
    <w:rsid w:val="371E5C74"/>
    <w:rsid w:val="37B1081D"/>
    <w:rsid w:val="37C24C89"/>
    <w:rsid w:val="384C6882"/>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F7310E"/>
    <w:rsid w:val="3D31661F"/>
    <w:rsid w:val="3D804EB1"/>
    <w:rsid w:val="3DDB2BAE"/>
    <w:rsid w:val="3E103B9E"/>
    <w:rsid w:val="3E2829E9"/>
    <w:rsid w:val="3E35535E"/>
    <w:rsid w:val="3E5113D8"/>
    <w:rsid w:val="3EEC6CA2"/>
    <w:rsid w:val="3FB452E6"/>
    <w:rsid w:val="3FC13852"/>
    <w:rsid w:val="3FF744E4"/>
    <w:rsid w:val="403D54CD"/>
    <w:rsid w:val="408028ED"/>
    <w:rsid w:val="40BC4452"/>
    <w:rsid w:val="41212AAF"/>
    <w:rsid w:val="41391F47"/>
    <w:rsid w:val="4178455B"/>
    <w:rsid w:val="41B873F1"/>
    <w:rsid w:val="41BB6E00"/>
    <w:rsid w:val="41CF3C5E"/>
    <w:rsid w:val="41FB71FC"/>
    <w:rsid w:val="426A68F1"/>
    <w:rsid w:val="426B29F2"/>
    <w:rsid w:val="42754E3B"/>
    <w:rsid w:val="42ED38B0"/>
    <w:rsid w:val="431D021F"/>
    <w:rsid w:val="44173115"/>
    <w:rsid w:val="442716E3"/>
    <w:rsid w:val="44623B29"/>
    <w:rsid w:val="44CB7E92"/>
    <w:rsid w:val="44D53D34"/>
    <w:rsid w:val="45551BA2"/>
    <w:rsid w:val="45E82159"/>
    <w:rsid w:val="460C19D8"/>
    <w:rsid w:val="46767799"/>
    <w:rsid w:val="475036EC"/>
    <w:rsid w:val="476304E5"/>
    <w:rsid w:val="47A10846"/>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5368C9"/>
    <w:rsid w:val="4F570614"/>
    <w:rsid w:val="4F7A3E56"/>
    <w:rsid w:val="5051384E"/>
    <w:rsid w:val="50932863"/>
    <w:rsid w:val="50C64757"/>
    <w:rsid w:val="5147420C"/>
    <w:rsid w:val="51801680"/>
    <w:rsid w:val="52247F23"/>
    <w:rsid w:val="524B7D2C"/>
    <w:rsid w:val="525E7F64"/>
    <w:rsid w:val="528B597C"/>
    <w:rsid w:val="53277E51"/>
    <w:rsid w:val="53C77F81"/>
    <w:rsid w:val="54A11E85"/>
    <w:rsid w:val="54C60539"/>
    <w:rsid w:val="55CE5FAF"/>
    <w:rsid w:val="568D4A8B"/>
    <w:rsid w:val="56B714EC"/>
    <w:rsid w:val="5787376C"/>
    <w:rsid w:val="58150BC0"/>
    <w:rsid w:val="581847D6"/>
    <w:rsid w:val="58276B45"/>
    <w:rsid w:val="58340631"/>
    <w:rsid w:val="588621CE"/>
    <w:rsid w:val="58AC03AC"/>
    <w:rsid w:val="58B3037A"/>
    <w:rsid w:val="58D53045"/>
    <w:rsid w:val="595C637A"/>
    <w:rsid w:val="598F3C15"/>
    <w:rsid w:val="5A1256BA"/>
    <w:rsid w:val="5AB4136D"/>
    <w:rsid w:val="5AB51CCA"/>
    <w:rsid w:val="5AB57322"/>
    <w:rsid w:val="5AB86B82"/>
    <w:rsid w:val="5B1C4013"/>
    <w:rsid w:val="5BC0596D"/>
    <w:rsid w:val="5BE5635E"/>
    <w:rsid w:val="5C03587B"/>
    <w:rsid w:val="5C4805D9"/>
    <w:rsid w:val="5D164A17"/>
    <w:rsid w:val="5DA53F1B"/>
    <w:rsid w:val="5DC63FF9"/>
    <w:rsid w:val="5E19766F"/>
    <w:rsid w:val="5E2B6069"/>
    <w:rsid w:val="5E785A05"/>
    <w:rsid w:val="5E9169F2"/>
    <w:rsid w:val="5EEF11CE"/>
    <w:rsid w:val="5F8676E8"/>
    <w:rsid w:val="5F9C1BC7"/>
    <w:rsid w:val="5FC627A0"/>
    <w:rsid w:val="5FD076A0"/>
    <w:rsid w:val="602C137F"/>
    <w:rsid w:val="60CC0666"/>
    <w:rsid w:val="61393910"/>
    <w:rsid w:val="61C61CF3"/>
    <w:rsid w:val="61DA4AD9"/>
    <w:rsid w:val="62920E62"/>
    <w:rsid w:val="629D4803"/>
    <w:rsid w:val="62AE498D"/>
    <w:rsid w:val="6335334E"/>
    <w:rsid w:val="63D57455"/>
    <w:rsid w:val="63E312E7"/>
    <w:rsid w:val="63FF44D2"/>
    <w:rsid w:val="64AB0CD1"/>
    <w:rsid w:val="64D84E1A"/>
    <w:rsid w:val="65675ED4"/>
    <w:rsid w:val="66154D09"/>
    <w:rsid w:val="66337D15"/>
    <w:rsid w:val="66773813"/>
    <w:rsid w:val="6683497C"/>
    <w:rsid w:val="676E5CC7"/>
    <w:rsid w:val="67A755AC"/>
    <w:rsid w:val="67E14BAB"/>
    <w:rsid w:val="67EE0AE5"/>
    <w:rsid w:val="67F71E56"/>
    <w:rsid w:val="680A0CAC"/>
    <w:rsid w:val="683A302B"/>
    <w:rsid w:val="684C44B3"/>
    <w:rsid w:val="68880F3A"/>
    <w:rsid w:val="68A13DAA"/>
    <w:rsid w:val="690F1726"/>
    <w:rsid w:val="6A2D5CB0"/>
    <w:rsid w:val="6B3727A3"/>
    <w:rsid w:val="6BB90159"/>
    <w:rsid w:val="6C111246"/>
    <w:rsid w:val="6C124248"/>
    <w:rsid w:val="6C6B059F"/>
    <w:rsid w:val="6C6C46CF"/>
    <w:rsid w:val="6CA00B62"/>
    <w:rsid w:val="6CFE27E3"/>
    <w:rsid w:val="6D0517E7"/>
    <w:rsid w:val="6D274D94"/>
    <w:rsid w:val="6D955447"/>
    <w:rsid w:val="6DD01AB0"/>
    <w:rsid w:val="6DEB139F"/>
    <w:rsid w:val="6E5D0773"/>
    <w:rsid w:val="6E8B3FD1"/>
    <w:rsid w:val="6E9D5013"/>
    <w:rsid w:val="6F4D02A4"/>
    <w:rsid w:val="6FDB7D0C"/>
    <w:rsid w:val="6FDD7DBD"/>
    <w:rsid w:val="706B3710"/>
    <w:rsid w:val="706B4417"/>
    <w:rsid w:val="70784F6A"/>
    <w:rsid w:val="70B2470E"/>
    <w:rsid w:val="710D46D2"/>
    <w:rsid w:val="717464FF"/>
    <w:rsid w:val="718129CA"/>
    <w:rsid w:val="71817101"/>
    <w:rsid w:val="71943263"/>
    <w:rsid w:val="71A60683"/>
    <w:rsid w:val="71B80224"/>
    <w:rsid w:val="72032E67"/>
    <w:rsid w:val="720B21A0"/>
    <w:rsid w:val="7217187B"/>
    <w:rsid w:val="72775B5D"/>
    <w:rsid w:val="728F2123"/>
    <w:rsid w:val="72E163D5"/>
    <w:rsid w:val="730651BF"/>
    <w:rsid w:val="738D54B9"/>
    <w:rsid w:val="751540E3"/>
    <w:rsid w:val="757762DF"/>
    <w:rsid w:val="75EC7DF5"/>
    <w:rsid w:val="76085468"/>
    <w:rsid w:val="760B64AF"/>
    <w:rsid w:val="7630676D"/>
    <w:rsid w:val="764861AD"/>
    <w:rsid w:val="765A1D4D"/>
    <w:rsid w:val="7671300D"/>
    <w:rsid w:val="772B58B2"/>
    <w:rsid w:val="77822AD2"/>
    <w:rsid w:val="7846297D"/>
    <w:rsid w:val="788334CC"/>
    <w:rsid w:val="78EA52F9"/>
    <w:rsid w:val="79487052"/>
    <w:rsid w:val="79C142AC"/>
    <w:rsid w:val="79E06FD9"/>
    <w:rsid w:val="7A08540E"/>
    <w:rsid w:val="7A1E34AC"/>
    <w:rsid w:val="7A2B3BCE"/>
    <w:rsid w:val="7AA5597C"/>
    <w:rsid w:val="7AC3206E"/>
    <w:rsid w:val="7AFF6ACD"/>
    <w:rsid w:val="7B436E21"/>
    <w:rsid w:val="7B635BF4"/>
    <w:rsid w:val="7B9003DA"/>
    <w:rsid w:val="7BF11E66"/>
    <w:rsid w:val="7C4D49C6"/>
    <w:rsid w:val="7CAA6238"/>
    <w:rsid w:val="7D3B579A"/>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unhideWhenUsed/>
    <w:qFormat/>
    <w:uiPriority w:val="0"/>
    <w:pPr>
      <w:spacing w:beforeLines="0" w:afterLines="0"/>
    </w:pPr>
    <w:rPr>
      <w:rFonts w:hint="default"/>
      <w:sz w:val="21"/>
      <w:szCs w:val="20"/>
    </w:rPr>
  </w:style>
  <w:style w:type="paragraph" w:styleId="8">
    <w:name w:val="Normal Indent"/>
    <w:basedOn w:val="1"/>
    <w:unhideWhenUsed/>
    <w:qFormat/>
    <w:uiPriority w:val="0"/>
    <w:pPr>
      <w:spacing w:beforeLines="0" w:afterLines="0"/>
      <w:ind w:firstLine="420"/>
    </w:pPr>
    <w:rPr>
      <w:rFonts w:hint="default"/>
      <w:sz w:val="21"/>
      <w:szCs w:val="20"/>
    </w:rPr>
  </w:style>
  <w:style w:type="paragraph" w:styleId="9">
    <w:name w:val="Body Text Indent"/>
    <w:basedOn w:val="1"/>
    <w:next w:val="10"/>
    <w:link w:val="34"/>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5"/>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next w:val="14"/>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9"/>
    <w:autoRedefine/>
    <w:qFormat/>
    <w:uiPriority w:val="0"/>
  </w:style>
  <w:style w:type="character" w:customStyle="1" w:styleId="35">
    <w:name w:val="纯文本 Char"/>
    <w:link w:val="11"/>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4"/>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23106</Words>
  <Characters>24231</Characters>
  <Lines>1</Lines>
  <Paragraphs>1</Paragraphs>
  <TotalTime>28</TotalTime>
  <ScaleCrop>false</ScaleCrop>
  <LinksUpToDate>false</LinksUpToDate>
  <CharactersWithSpaces>31573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11970</cp:lastModifiedBy>
  <cp:lastPrinted>2024-10-12T02:26:00Z</cp:lastPrinted>
  <dcterms:modified xsi:type="dcterms:W3CDTF">2024-10-12T13:47:35Z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E4E4BE12606E4D6BA04208285F71F2FF_13</vt:lpwstr>
  </property>
</Properties>
</file>