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02C64">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天天高速公路无为至安庆段房建工程</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铝合金门窗采购及安装项目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0C9DFF69">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6496_WPSOffice_Level2"/>
      <w:bookmarkStart w:id="3" w:name="_Toc10395_WPSOffice_Level2"/>
      <w:bookmarkStart w:id="4" w:name="_Toc4489_WPSOffice_Level2"/>
      <w:bookmarkStart w:id="5" w:name="_Toc525632585"/>
      <w:bookmarkStart w:id="6" w:name="_Toc13871"/>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w:t>
      </w:r>
      <w:r>
        <w:rPr>
          <w:rFonts w:hint="default" w:ascii="Times New Roman" w:hAnsi="Times New Roman" w:eastAsia="宋体" w:cs="Times New Roman"/>
          <w:color w:val="auto"/>
          <w:szCs w:val="21"/>
          <w:highlight w:val="none"/>
          <w:lang w:val="en-US" w:eastAsia="zh-CN"/>
        </w:rPr>
        <w:t>称：</w:t>
      </w:r>
      <w:r>
        <w:rPr>
          <w:rFonts w:hint="eastAsia" w:ascii="Times New Roman" w:hAnsi="Times New Roman" w:eastAsia="宋体" w:cs="Times New Roman"/>
          <w:color w:val="auto"/>
          <w:sz w:val="21"/>
          <w:szCs w:val="21"/>
          <w:highlight w:val="none"/>
          <w:u w:val="single"/>
          <w:lang w:val="en-US" w:eastAsia="zh-CN"/>
        </w:rPr>
        <w:t>天天高速公路无为至安庆段房建工程铝合金门窗采购及安装项目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天天高速公路无为至安庆段房建工程铝合金门窗采购及安装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18367_WPSOffice_Level2"/>
      <w:bookmarkStart w:id="10" w:name="_Toc525632586"/>
      <w:bookmarkStart w:id="11" w:name="_Toc23266_WPSOffice_Level2"/>
      <w:bookmarkStart w:id="12" w:name="_Toc18453"/>
      <w:bookmarkStart w:id="13" w:name="_Toc17858_WPSOffice_Level2"/>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yellow"/>
          <w:u w:val="single"/>
          <w:lang w:val="en-US" w:eastAsia="zh-CN"/>
        </w:rPr>
      </w:pPr>
      <w:r>
        <w:rPr>
          <w:rFonts w:hint="default" w:ascii="Times New Roman" w:hAnsi="Times New Roman" w:eastAsia="宋体" w:cs="Times New Roman"/>
          <w:color w:val="auto"/>
          <w:szCs w:val="21"/>
          <w:highlight w:val="yellow"/>
          <w:lang w:val="en-US" w:eastAsia="zh-CN"/>
        </w:rPr>
        <w:t>2.4 品牌范围：</w:t>
      </w:r>
      <w:r>
        <w:rPr>
          <w:rFonts w:hint="eastAsia" w:ascii="宋体" w:hAnsi="宋体" w:eastAsia="宋体" w:cs="宋体"/>
          <w:szCs w:val="21"/>
          <w:highlight w:val="yellow"/>
          <w:u w:val="single"/>
          <w:lang w:val="en-US" w:eastAsia="zh-CN"/>
        </w:rPr>
        <w:t xml:space="preserve">产品品牌及参数详见材料品牌推荐表及采购清单（玻璃为原厂原片）。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01包人民币352万元，02包人民币313万元</w:t>
      </w:r>
      <w:r>
        <w:rPr>
          <w:rFonts w:hint="eastAsia" w:ascii="宋体" w:hAnsi="宋体" w:eastAsia="宋体" w:cs="宋体"/>
          <w:b w:val="0"/>
          <w:bCs w:val="0"/>
          <w:color w:val="auto"/>
          <w:szCs w:val="21"/>
          <w:highlight w:val="none"/>
          <w:u w:val="single"/>
          <w:lang w:val="en-US" w:eastAsia="zh-CN"/>
        </w:rPr>
        <w:t>。</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20天内完成窗框安装，30</w:t>
      </w:r>
      <w:r>
        <w:rPr>
          <w:rFonts w:hint="eastAsia" w:ascii="宋体" w:hAnsi="宋体" w:eastAsia="宋体" w:cs="宋体"/>
          <w:kern w:val="0"/>
          <w:sz w:val="21"/>
          <w:szCs w:val="21"/>
          <w:highlight w:val="none"/>
          <w:u w:val="single"/>
        </w:rPr>
        <w:t>天内</w:t>
      </w:r>
      <w:r>
        <w:rPr>
          <w:rFonts w:hint="eastAsia" w:ascii="宋体" w:hAnsi="宋体" w:eastAsia="宋体" w:cs="宋体"/>
          <w:kern w:val="0"/>
          <w:sz w:val="21"/>
          <w:szCs w:val="21"/>
          <w:highlight w:val="none"/>
          <w:u w:val="single"/>
          <w:lang w:val="en-US" w:eastAsia="zh-CN"/>
        </w:rPr>
        <w:t>完成玻璃固定、窗扇安装等全部工作（具体根据实际情况安排进度）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竹丝湖服务区、金社服务区、牛埠收费站及养护工区、项铺收费站、枞阳收费站、巨石山收费站、陈瑶湖收费站及交警营房、6个隧道配电房</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铝合金门窗</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D81CF0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sz w:val="21"/>
          <w:szCs w:val="24"/>
          <w:highlight w:val="none"/>
        </w:rPr>
      </w:pPr>
      <w:r>
        <w:rPr>
          <w:rFonts w:hint="eastAsia" w:ascii="Times New Roman" w:hAnsi="Times New Roman"/>
          <w:sz w:val="21"/>
          <w:szCs w:val="24"/>
          <w:highlight w:val="none"/>
          <w:lang w:eastAsia="zh-CN"/>
        </w:rPr>
        <w:t>（</w:t>
      </w:r>
      <w:r>
        <w:rPr>
          <w:rFonts w:hint="eastAsia" w:ascii="Times New Roman" w:hAnsi="Times New Roman"/>
          <w:sz w:val="21"/>
          <w:szCs w:val="24"/>
          <w:highlight w:val="none"/>
          <w:lang w:val="en-US" w:eastAsia="zh-CN"/>
        </w:rPr>
        <w:t>4</w:t>
      </w:r>
      <w:r>
        <w:rPr>
          <w:rFonts w:hint="eastAsia" w:ascii="Times New Roman" w:hAnsi="Times New Roman"/>
          <w:sz w:val="21"/>
          <w:szCs w:val="24"/>
          <w:highlight w:val="none"/>
          <w:lang w:eastAsia="zh-CN"/>
        </w:rPr>
        <w:t>）</w:t>
      </w:r>
      <w:r>
        <w:rPr>
          <w:rFonts w:hint="eastAsia" w:ascii="Times New Roman" w:hAnsi="Times New Roman"/>
          <w:sz w:val="21"/>
          <w:szCs w:val="24"/>
          <w:highlight w:val="none"/>
        </w:rPr>
        <w:t>送样要求：</w:t>
      </w:r>
    </w:p>
    <w:p w14:paraId="6268D328">
      <w:pPr>
        <w:snapToGrid w:val="0"/>
        <w:spacing w:beforeLines="0" w:afterLines="0" w:line="460" w:lineRule="exact"/>
        <w:ind w:firstLine="420" w:firstLineChars="200"/>
        <w:rPr>
          <w:rFonts w:hint="eastAsia" w:ascii="Times New Roman" w:hAnsi="Times New Roman"/>
          <w:b w:val="0"/>
          <w:bCs w:val="0"/>
          <w:sz w:val="21"/>
          <w:szCs w:val="24"/>
          <w:highlight w:val="yellow"/>
        </w:rPr>
      </w:pPr>
      <w:r>
        <w:rPr>
          <w:rFonts w:hint="eastAsia" w:ascii="Times New Roman" w:hAnsi="Times New Roman"/>
          <w:b w:val="0"/>
          <w:bCs w:val="0"/>
          <w:sz w:val="21"/>
          <w:szCs w:val="24"/>
          <w:highlight w:val="yellow"/>
        </w:rPr>
        <w:t>①</w:t>
      </w:r>
      <w:r>
        <w:rPr>
          <w:rFonts w:hint="eastAsia" w:ascii="Times New Roman" w:hAnsi="Times New Roman"/>
          <w:b w:val="0"/>
          <w:bCs w:val="0"/>
          <w:sz w:val="21"/>
          <w:szCs w:val="24"/>
          <w:highlight w:val="yellow"/>
          <w:lang w:val="en-US" w:eastAsia="zh-CN"/>
        </w:rPr>
        <w:t>供应商响应采购人需求，根据图纸、清单、品牌要求、质量参数等，进行标前送样（包含五金、型材、玻璃、密封胶等），投标人在响应文件递交的截止时间前1天日内递交铝合金窗样品经采购人确认封样。</w:t>
      </w:r>
    </w:p>
    <w:p w14:paraId="1A225F91">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②</w:t>
      </w:r>
      <w:r>
        <w:rPr>
          <w:rFonts w:hint="eastAsia" w:ascii="Times New Roman" w:hAnsi="Times New Roman"/>
          <w:b w:val="0"/>
          <w:bCs w:val="0"/>
          <w:sz w:val="21"/>
          <w:szCs w:val="24"/>
          <w:highlight w:val="yellow"/>
        </w:rPr>
        <w:t>样品表面须贴标签，标签内容：投标单位名称、样品型号、规格、参数等信息。</w:t>
      </w:r>
    </w:p>
    <w:p w14:paraId="27F16BA9">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③</w:t>
      </w:r>
      <w:r>
        <w:rPr>
          <w:rFonts w:hint="eastAsia" w:ascii="Times New Roman" w:hAnsi="Times New Roman"/>
          <w:b w:val="0"/>
          <w:bCs w:val="0"/>
          <w:sz w:val="21"/>
          <w:szCs w:val="24"/>
          <w:highlight w:val="yellow"/>
        </w:rPr>
        <w:t>样品递交至安徽省铜陵市枞阳县枞阳经济开发区新楼工业园（联系人：王</w:t>
      </w:r>
      <w:r>
        <w:rPr>
          <w:rFonts w:hint="eastAsia" w:ascii="Times New Roman" w:hAnsi="Times New Roman"/>
          <w:b w:val="0"/>
          <w:bCs w:val="0"/>
          <w:sz w:val="21"/>
          <w:szCs w:val="24"/>
          <w:highlight w:val="yellow"/>
          <w:lang w:val="en-US" w:eastAsia="zh-CN"/>
        </w:rPr>
        <w:t>工</w:t>
      </w:r>
      <w:r>
        <w:rPr>
          <w:rFonts w:hint="eastAsia" w:ascii="Times New Roman" w:hAnsi="Times New Roman"/>
          <w:b w:val="0"/>
          <w:bCs w:val="0"/>
          <w:sz w:val="21"/>
          <w:szCs w:val="24"/>
          <w:highlight w:val="yellow"/>
        </w:rPr>
        <w:t>15665699864）</w:t>
      </w:r>
    </w:p>
    <w:p w14:paraId="6372FC88">
      <w:pPr>
        <w:snapToGrid w:val="0"/>
        <w:spacing w:beforeLines="0" w:afterLines="0" w:line="460" w:lineRule="exact"/>
        <w:ind w:firstLine="420" w:firstLineChars="200"/>
        <w:rPr>
          <w:rFonts w:hint="eastAsia" w:ascii="Times New Roman" w:hAnsi="Times New Roman" w:eastAsia="Times New Roman"/>
          <w:b w:val="0"/>
          <w:bCs w:val="0"/>
          <w:sz w:val="21"/>
          <w:szCs w:val="24"/>
          <w:highlight w:val="yellow"/>
        </w:rPr>
      </w:pPr>
      <w:r>
        <w:rPr>
          <w:rFonts w:hint="eastAsia" w:ascii="Times New Roman" w:hAnsi="Times New Roman"/>
          <w:b w:val="0"/>
          <w:bCs w:val="0"/>
          <w:sz w:val="21"/>
          <w:szCs w:val="24"/>
          <w:highlight w:val="yellow"/>
          <w:lang w:val="en-US" w:eastAsia="zh-CN"/>
        </w:rPr>
        <w:t>④</w:t>
      </w:r>
      <w:r>
        <w:rPr>
          <w:rFonts w:hint="eastAsia" w:ascii="Times New Roman" w:hAnsi="Times New Roman"/>
          <w:b w:val="0"/>
          <w:bCs w:val="0"/>
          <w:sz w:val="21"/>
          <w:szCs w:val="24"/>
          <w:highlight w:val="yellow"/>
        </w:rPr>
        <w:t>投标人提供样品的</w:t>
      </w:r>
      <w:r>
        <w:rPr>
          <w:rFonts w:hint="eastAsia" w:ascii="Times New Roman" w:hAnsi="Times New Roman"/>
          <w:b w:val="0"/>
          <w:bCs w:val="0"/>
          <w:sz w:val="21"/>
          <w:szCs w:val="24"/>
          <w:highlight w:val="yellow"/>
          <w:lang w:val="en-US" w:eastAsia="zh-CN"/>
        </w:rPr>
        <w:t>品牌、质量、工艺、</w:t>
      </w:r>
      <w:r>
        <w:rPr>
          <w:rFonts w:hint="eastAsia" w:ascii="Times New Roman" w:hAnsi="Times New Roman"/>
          <w:b w:val="0"/>
          <w:bCs w:val="0"/>
          <w:sz w:val="21"/>
          <w:szCs w:val="24"/>
          <w:highlight w:val="yellow"/>
        </w:rPr>
        <w:t>参数等</w:t>
      </w:r>
      <w:r>
        <w:rPr>
          <w:rFonts w:hint="eastAsia" w:ascii="Times New Roman" w:hAnsi="Times New Roman"/>
          <w:b w:val="0"/>
          <w:bCs w:val="0"/>
          <w:sz w:val="21"/>
          <w:szCs w:val="24"/>
          <w:highlight w:val="yellow"/>
          <w:lang w:eastAsia="zh-CN"/>
        </w:rPr>
        <w:t>，</w:t>
      </w:r>
      <w:r>
        <w:rPr>
          <w:rFonts w:hint="eastAsia" w:ascii="Times New Roman" w:hAnsi="Times New Roman"/>
          <w:b w:val="0"/>
          <w:bCs w:val="0"/>
          <w:sz w:val="21"/>
          <w:szCs w:val="24"/>
          <w:highlight w:val="yellow"/>
        </w:rPr>
        <w:t>如不符合本次采购人要求的，采购人有权终止投标人本次投标资格。</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29452_WPSOffice_Level2"/>
      <w:bookmarkStart w:id="20" w:name="_Toc525632588"/>
      <w:bookmarkStart w:id="21" w:name="_Toc2996_WPSOffice_Level2"/>
      <w:bookmarkStart w:id="22" w:name="_Toc1994"/>
      <w:bookmarkStart w:id="23" w:name="_Toc25666_WPSOffice_Level2"/>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 xml:space="preserve"> 2025 </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 xml:space="preserve"> 2 </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 xml:space="preserve"> 27 </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 xml:space="preserve"> 14 </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 xml:space="preserve"> 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壹万贰仟元</w:t>
      </w:r>
      <w:r>
        <w:rPr>
          <w:rFonts w:hint="eastAsia" w:ascii="Times New Roman" w:hAnsi="Times New Roman" w:eastAsia="宋体" w:cs="Times New Roman"/>
          <w:b/>
          <w:bCs/>
          <w:color w:val="auto"/>
          <w:kern w:val="2"/>
          <w:sz w:val="21"/>
          <w:szCs w:val="21"/>
          <w:highlight w:val="none"/>
          <w:lang w:val="en-US" w:eastAsia="zh-CN" w:bidi="ar-SA"/>
        </w:rPr>
        <w:t>）；</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付款备注：天天高速铝合金门窗响应保证金</w:t>
      </w:r>
      <w:r>
        <w:rPr>
          <w:rFonts w:hint="eastAsia" w:ascii="宋体" w:hAnsi="宋体" w:eastAsia="宋体" w:cs="宋体"/>
          <w:b/>
          <w:bCs/>
          <w:color w:val="auto"/>
          <w:kern w:val="2"/>
          <w:sz w:val="21"/>
          <w:szCs w:val="21"/>
          <w:highlight w:val="cyan"/>
          <w:u w:val="single"/>
          <w:lang w:val="en-US" w:eastAsia="zh-CN" w:bidi="ar"/>
        </w:rPr>
        <w:t xml:space="preserve">    </w:t>
      </w:r>
      <w:r>
        <w:rPr>
          <w:rFonts w:hint="eastAsia" w:ascii="宋体" w:hAnsi="宋体" w:eastAsia="宋体" w:cs="宋体"/>
          <w:b/>
          <w:bCs/>
          <w:color w:val="auto"/>
          <w:kern w:val="2"/>
          <w:sz w:val="21"/>
          <w:szCs w:val="21"/>
          <w:highlight w:val="cyan"/>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14943_WPSOffice_Level2"/>
      <w:bookmarkStart w:id="30" w:name="_Toc321_WPSOffice_Level2"/>
      <w:bookmarkStart w:id="31" w:name="_Toc525632592"/>
      <w:bookmarkStart w:id="32" w:name="_Toc20572_WPSOffice_Level2"/>
      <w:bookmarkStart w:id="33" w:name="_Toc8501"/>
      <w:bookmarkStart w:id="34" w:name="_Toc26829"/>
      <w:bookmarkStart w:id="35"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07C64947">
      <w:pPr>
        <w:pStyle w:val="32"/>
        <w:jc w:val="both"/>
        <w:rPr>
          <w:rFonts w:hint="eastAsia" w:ascii="宋体" w:hAnsi="宋体" w:eastAsia="宋体" w:cs="宋体"/>
          <w:color w:val="auto"/>
          <w:sz w:val="21"/>
          <w:szCs w:val="21"/>
        </w:rPr>
      </w:pPr>
    </w:p>
    <w:p w14:paraId="34DA6046">
      <w:pPr>
        <w:pStyle w:val="32"/>
        <w:jc w:val="both"/>
        <w:rPr>
          <w:rFonts w:hint="eastAsia" w:ascii="宋体" w:hAnsi="宋体" w:eastAsia="宋体" w:cs="宋体"/>
          <w:color w:val="auto"/>
          <w:sz w:val="21"/>
          <w:szCs w:val="21"/>
        </w:rPr>
      </w:pPr>
    </w:p>
    <w:p w14:paraId="29E08280">
      <w:pPr>
        <w:pStyle w:val="32"/>
        <w:jc w:val="both"/>
        <w:rPr>
          <w:rFonts w:hint="eastAsia" w:ascii="宋体" w:hAnsi="宋体" w:eastAsia="宋体" w:cs="宋体"/>
          <w:color w:val="auto"/>
          <w:sz w:val="21"/>
          <w:szCs w:val="21"/>
        </w:rPr>
      </w:pPr>
    </w:p>
    <w:p w14:paraId="3585E9B0">
      <w:pPr>
        <w:pStyle w:val="32"/>
        <w:jc w:val="both"/>
        <w:rPr>
          <w:rFonts w:hint="eastAsia" w:ascii="宋体" w:hAnsi="宋体" w:eastAsia="宋体" w:cs="宋体"/>
          <w:color w:val="auto"/>
          <w:sz w:val="21"/>
          <w:szCs w:val="21"/>
        </w:rPr>
      </w:pPr>
    </w:p>
    <w:p w14:paraId="4649E476">
      <w:pPr>
        <w:pStyle w:val="32"/>
        <w:jc w:val="both"/>
        <w:rPr>
          <w:rFonts w:hint="eastAsia" w:ascii="宋体" w:hAnsi="宋体" w:eastAsia="宋体" w:cs="宋体"/>
          <w:color w:val="auto"/>
          <w:sz w:val="21"/>
          <w:szCs w:val="21"/>
        </w:rPr>
      </w:pPr>
    </w:p>
    <w:p w14:paraId="2198F814">
      <w:pPr>
        <w:pStyle w:val="32"/>
        <w:jc w:val="both"/>
        <w:rPr>
          <w:rFonts w:hint="eastAsia" w:ascii="宋体" w:hAnsi="宋体" w:eastAsia="宋体" w:cs="宋体"/>
          <w:color w:val="auto"/>
          <w:sz w:val="21"/>
          <w:szCs w:val="21"/>
        </w:rPr>
      </w:pPr>
    </w:p>
    <w:p w14:paraId="388D5946">
      <w:pPr>
        <w:pStyle w:val="32"/>
        <w:jc w:val="both"/>
        <w:rPr>
          <w:rFonts w:hint="eastAsia" w:ascii="宋体" w:hAnsi="宋体" w:eastAsia="宋体" w:cs="宋体"/>
          <w:color w:val="auto"/>
          <w:sz w:val="21"/>
          <w:szCs w:val="21"/>
        </w:rPr>
      </w:pPr>
    </w:p>
    <w:p w14:paraId="507D6DE9">
      <w:pPr>
        <w:pStyle w:val="32"/>
        <w:jc w:val="both"/>
        <w:rPr>
          <w:rFonts w:hint="eastAsia" w:ascii="宋体" w:hAnsi="宋体" w:eastAsia="宋体" w:cs="宋体"/>
          <w:color w:val="auto"/>
          <w:sz w:val="21"/>
          <w:szCs w:val="21"/>
        </w:rPr>
      </w:pPr>
    </w:p>
    <w:p w14:paraId="0F7AB1C8">
      <w:pPr>
        <w:pStyle w:val="32"/>
        <w:jc w:val="both"/>
        <w:rPr>
          <w:rFonts w:hint="eastAsia" w:ascii="宋体" w:hAnsi="宋体" w:eastAsia="宋体" w:cs="宋体"/>
          <w:color w:val="auto"/>
          <w:sz w:val="21"/>
          <w:szCs w:val="21"/>
        </w:rPr>
      </w:pPr>
    </w:p>
    <w:p w14:paraId="77F64585">
      <w:pPr>
        <w:pStyle w:val="32"/>
        <w:jc w:val="both"/>
        <w:rPr>
          <w:rFonts w:hint="eastAsia" w:ascii="宋体" w:hAnsi="宋体" w:eastAsia="宋体" w:cs="宋体"/>
          <w:color w:val="auto"/>
          <w:sz w:val="21"/>
          <w:szCs w:val="21"/>
        </w:rPr>
      </w:pPr>
    </w:p>
    <w:p w14:paraId="2F35C518">
      <w:pPr>
        <w:pStyle w:val="32"/>
        <w:jc w:val="both"/>
        <w:rPr>
          <w:rFonts w:hint="eastAsia" w:ascii="宋体" w:hAnsi="宋体" w:eastAsia="宋体" w:cs="宋体"/>
          <w:color w:val="auto"/>
          <w:sz w:val="21"/>
          <w:szCs w:val="21"/>
        </w:rPr>
      </w:pPr>
    </w:p>
    <w:p w14:paraId="5B955243">
      <w:pPr>
        <w:pStyle w:val="32"/>
        <w:jc w:val="both"/>
        <w:rPr>
          <w:rFonts w:hint="eastAsia" w:ascii="宋体" w:hAnsi="宋体" w:eastAsia="宋体" w:cs="宋体"/>
          <w:color w:val="auto"/>
          <w:sz w:val="21"/>
          <w:szCs w:val="21"/>
        </w:rPr>
      </w:pPr>
    </w:p>
    <w:p w14:paraId="178BF362">
      <w:pPr>
        <w:pStyle w:val="32"/>
        <w:jc w:val="both"/>
        <w:rPr>
          <w:rFonts w:hint="eastAsia" w:ascii="宋体" w:hAnsi="宋体" w:eastAsia="宋体" w:cs="宋体"/>
          <w:color w:val="auto"/>
          <w:sz w:val="21"/>
          <w:szCs w:val="21"/>
        </w:rPr>
      </w:pPr>
    </w:p>
    <w:p w14:paraId="6615E05D">
      <w:pPr>
        <w:pStyle w:val="32"/>
        <w:jc w:val="both"/>
        <w:rPr>
          <w:rFonts w:hint="eastAsia" w:ascii="宋体" w:hAnsi="宋体" w:eastAsia="宋体" w:cs="宋体"/>
          <w:color w:val="auto"/>
          <w:sz w:val="21"/>
          <w:szCs w:val="21"/>
        </w:rPr>
      </w:pPr>
    </w:p>
    <w:p w14:paraId="1300C25D">
      <w:pPr>
        <w:pStyle w:val="32"/>
        <w:jc w:val="both"/>
        <w:rPr>
          <w:rFonts w:hint="eastAsia" w:ascii="宋体" w:hAnsi="宋体" w:eastAsia="宋体" w:cs="宋体"/>
          <w:color w:val="auto"/>
          <w:sz w:val="21"/>
          <w:szCs w:val="21"/>
        </w:rPr>
      </w:pPr>
    </w:p>
    <w:p w14:paraId="778E82CA">
      <w:pPr>
        <w:pStyle w:val="32"/>
        <w:jc w:val="both"/>
        <w:rPr>
          <w:rFonts w:hint="eastAsia" w:ascii="宋体" w:hAnsi="宋体" w:eastAsia="宋体" w:cs="宋体"/>
          <w:color w:val="auto"/>
          <w:sz w:val="21"/>
          <w:szCs w:val="21"/>
        </w:rPr>
      </w:pPr>
    </w:p>
    <w:p w14:paraId="36C0BA1D">
      <w:pPr>
        <w:pStyle w:val="32"/>
        <w:jc w:val="both"/>
        <w:rPr>
          <w:rFonts w:hint="eastAsia" w:ascii="宋体" w:hAnsi="宋体" w:eastAsia="宋体" w:cs="宋体"/>
          <w:color w:val="auto"/>
          <w:sz w:val="21"/>
          <w:szCs w:val="21"/>
        </w:rPr>
      </w:pPr>
    </w:p>
    <w:p w14:paraId="125E65BB">
      <w:pPr>
        <w:pStyle w:val="32"/>
        <w:jc w:val="both"/>
        <w:rPr>
          <w:rFonts w:hint="eastAsia" w:ascii="宋体" w:hAnsi="宋体" w:eastAsia="宋体" w:cs="宋体"/>
          <w:color w:val="auto"/>
          <w:sz w:val="21"/>
          <w:szCs w:val="21"/>
        </w:rPr>
      </w:pPr>
    </w:p>
    <w:p w14:paraId="29172361">
      <w:pPr>
        <w:pStyle w:val="32"/>
        <w:jc w:val="both"/>
        <w:rPr>
          <w:rFonts w:hint="eastAsia" w:ascii="宋体" w:hAnsi="宋体" w:eastAsia="宋体" w:cs="宋体"/>
          <w:color w:val="auto"/>
          <w:sz w:val="21"/>
          <w:szCs w:val="21"/>
        </w:rPr>
      </w:pPr>
    </w:p>
    <w:p w14:paraId="6540F2D1">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26656928"/>
      <w:bookmarkStart w:id="38" w:name="_Toc19501"/>
      <w:bookmarkStart w:id="39" w:name="_Toc55466811"/>
      <w:bookmarkStart w:id="40" w:name="_Toc16069"/>
      <w:bookmarkStart w:id="41" w:name="_Toc29381_WPSOffice_Level2"/>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yellow"/>
                <w:lang w:val="en-US" w:eastAsia="zh-CN" w:bidi="ar-SA"/>
              </w:rPr>
            </w:pPr>
            <w:r>
              <w:rPr>
                <w:rFonts w:hint="eastAsia" w:cstheme="minorBidi"/>
                <w:color w:val="auto"/>
                <w:kern w:val="2"/>
                <w:sz w:val="22"/>
                <w:szCs w:val="21"/>
                <w:highlight w:val="yellow"/>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kern w:val="0"/>
                <w:sz w:val="22"/>
                <w:szCs w:val="22"/>
                <w:highlight w:val="yellow"/>
                <w:lang w:val="en-US" w:eastAsia="zh-CN" w:bidi="ar"/>
              </w:rPr>
            </w:pPr>
            <w:r>
              <w:rPr>
                <w:rFonts w:hint="eastAsia" w:ascii="宋体" w:hAnsi="宋体" w:eastAsia="宋体" w:cs="宋体"/>
                <w:b/>
                <w:color w:val="000000"/>
                <w:kern w:val="0"/>
                <w:sz w:val="22"/>
                <w:szCs w:val="22"/>
                <w:highlight w:val="yellow"/>
                <w:lang w:val="en-US" w:eastAsia="zh-CN" w:bidi="ar"/>
              </w:rPr>
              <w:t>送样</w:t>
            </w:r>
          </w:p>
        </w:tc>
        <w:tc>
          <w:tcPr>
            <w:tcW w:w="6347" w:type="dxa"/>
            <w:shd w:val="clear" w:color="auto" w:fill="auto"/>
            <w:vAlign w:val="center"/>
          </w:tcPr>
          <w:p w14:paraId="2E2F5DBA">
            <w:pPr>
              <w:keepNext w:val="0"/>
              <w:keepLines w:val="0"/>
              <w:widowControl/>
              <w:numPr>
                <w:ilvl w:val="0"/>
                <w:numId w:val="0"/>
              </w:numPr>
              <w:suppressLineNumbers w:val="0"/>
              <w:spacing w:before="0" w:beforeLines="0" w:beforeAutospacing="0" w:after="0" w:afterLines="0" w:afterAutospacing="0"/>
              <w:ind w:left="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u w:val="none"/>
                <w:lang w:val="en-US" w:eastAsia="zh-CN"/>
              </w:rPr>
              <w:t>1.</w:t>
            </w:r>
            <w:r>
              <w:rPr>
                <w:rFonts w:hint="eastAsia" w:ascii="宋体" w:hAnsi="宋体" w:eastAsia="宋体" w:cs="宋体"/>
                <w:color w:val="auto"/>
                <w:sz w:val="22"/>
                <w:szCs w:val="22"/>
                <w:highlight w:val="yellow"/>
                <w:lang w:val="en-US" w:eastAsia="zh-CN"/>
              </w:rPr>
              <w:t xml:space="preserve">供应商须在投标前自行前往 </w:t>
            </w:r>
            <w:r>
              <w:rPr>
                <w:rFonts w:hint="eastAsia" w:ascii="宋体" w:hAnsi="宋体" w:eastAsia="宋体" w:cs="宋体"/>
                <w:color w:val="auto"/>
                <w:sz w:val="22"/>
                <w:szCs w:val="22"/>
                <w:highlight w:val="yellow"/>
                <w:u w:val="single"/>
                <w:lang w:val="en-US" w:eastAsia="zh-CN"/>
              </w:rPr>
              <w:t>安徽省铜陵市枞阳县枞阳经济开发区新楼工业园（</w:t>
            </w:r>
            <w:r>
              <w:rPr>
                <w:rFonts w:hint="eastAsia" w:ascii="宋体" w:hAnsi="宋体" w:eastAsia="宋体" w:cs="宋体"/>
                <w:color w:val="auto"/>
                <w:sz w:val="22"/>
                <w:szCs w:val="22"/>
                <w:highlight w:val="yellow"/>
                <w:lang w:val="en-US" w:eastAsia="zh-CN"/>
              </w:rPr>
              <w:t>联系人：</w:t>
            </w:r>
            <w:r>
              <w:rPr>
                <w:rFonts w:hint="eastAsia" w:ascii="宋体" w:hAnsi="宋体" w:eastAsia="宋体" w:cs="宋体"/>
                <w:color w:val="auto"/>
                <w:sz w:val="22"/>
                <w:szCs w:val="22"/>
                <w:highlight w:val="yellow"/>
                <w:u w:val="single"/>
                <w:lang w:val="en-US" w:eastAsia="zh-CN"/>
              </w:rPr>
              <w:t xml:space="preserve">王工 15665699864 </w:t>
            </w:r>
            <w:r>
              <w:rPr>
                <w:rFonts w:hint="eastAsia" w:ascii="宋体" w:hAnsi="宋体" w:eastAsia="宋体" w:cs="宋体"/>
                <w:color w:val="auto"/>
                <w:sz w:val="22"/>
                <w:szCs w:val="22"/>
                <w:highlight w:val="yellow"/>
                <w:lang w:val="en-US" w:eastAsia="zh-CN"/>
              </w:rPr>
              <w:t>）进行标前送样。</w:t>
            </w:r>
          </w:p>
          <w:p w14:paraId="3A1336D8">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2.拟中标人如标后所送样品不符合采购人要求或在供应过程中产品达不到采购人要求的：</w:t>
            </w:r>
          </w:p>
          <w:p w14:paraId="1C8DD7B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1）采购人有权终止中标候选人资格，并没收投标保证金；按候选人公示顺延成交人或重新采购。</w:t>
            </w:r>
          </w:p>
          <w:p w14:paraId="1801B38B">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2）采购人有权终止合同，并依据合同规定追究法律责任。</w:t>
            </w:r>
          </w:p>
          <w:p w14:paraId="2F6B397C">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3）采购人有权对拟中标人违约行为按照约定进行处罚。</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color w:val="auto"/>
                <w:sz w:val="22"/>
                <w:szCs w:val="22"/>
                <w:highlight w:val="yellow"/>
                <w:lang w:val="en-US" w:eastAsia="zh-CN"/>
              </w:rPr>
              <w:t>4）采购人有权将未完成的工程量移交给第三方实施，供应商应无条件配合相关移交工作。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200</w:t>
            </w:r>
            <w:r>
              <w:rPr>
                <w:rFonts w:hint="eastAsia"/>
                <w:color w:val="auto"/>
                <w:highlight w:val="yellow"/>
                <w:lang w:val="en-US" w:eastAsia="zh-CN"/>
              </w:rPr>
              <w:t>万元的铝合金门窗供应及安装合同业绩（每个业绩至少提供一张该项目的增值税发票或收到业主转账的收款凭证）。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DB6BC15">
      <w:pPr>
        <w:jc w:val="center"/>
        <w:rPr>
          <w:rFonts w:hint="eastAsia" w:ascii="黑体" w:eastAsia="黑体"/>
          <w:sz w:val="24"/>
          <w:szCs w:val="24"/>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4</w:t>
      </w:r>
      <w:r>
        <w:rPr>
          <w:rFonts w:hint="eastAsia" w:ascii="黑体" w:eastAsia="黑体"/>
          <w:sz w:val="24"/>
          <w:szCs w:val="24"/>
          <w:highlight w:val="none"/>
        </w:rPr>
        <w:t>资格审查条件（</w:t>
      </w:r>
      <w:r>
        <w:rPr>
          <w:rFonts w:hint="eastAsia" w:ascii="黑体" w:eastAsia="黑体"/>
          <w:sz w:val="24"/>
          <w:szCs w:val="24"/>
          <w:highlight w:val="none"/>
          <w:lang w:val="en-US" w:eastAsia="zh-CN"/>
        </w:rPr>
        <w:t>投标材料送样</w:t>
      </w:r>
      <w:r>
        <w:rPr>
          <w:rFonts w:hint="eastAsia" w:ascii="黑体" w:eastAsia="黑体"/>
          <w:sz w:val="24"/>
          <w:szCs w:val="24"/>
          <w:highlight w:val="none"/>
        </w:rPr>
        <w:t>）</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sz w:val="22"/>
                <w:szCs w:val="22"/>
                <w:highlight w:val="red"/>
                <w:lang w:val="en-US" w:eastAsia="zh-CN"/>
              </w:rPr>
            </w:pPr>
            <w:r>
              <w:rPr>
                <w:rFonts w:hint="eastAsia"/>
                <w:sz w:val="22"/>
                <w:szCs w:val="22"/>
                <w:highlight w:val="yellow"/>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2642AD51">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default"/>
                <w:highlight w:val="yellow"/>
                <w:lang w:val="en-US" w:eastAsia="zh-CN"/>
              </w:rPr>
              <w:t>①供应商响应采购人需求，根据图纸、清单、品牌要求、质量参数等，进行标前送样（包含五金、型材、玻璃、密封胶等），投标人在响应文件递交的截止时间前1天日内递交铝合金窗样品经采购人确认封样。</w:t>
            </w:r>
          </w:p>
          <w:p w14:paraId="25A24CF1">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default"/>
                <w:highlight w:val="yellow"/>
                <w:lang w:val="en-US" w:eastAsia="zh-CN"/>
              </w:rPr>
              <w:t>②样品表面须贴标签，标签内容：投标单位名称、样品型号、规格、参数等信息。</w:t>
            </w:r>
          </w:p>
          <w:p w14:paraId="7080B64A">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default"/>
                <w:highlight w:val="yellow"/>
                <w:lang w:val="en-US" w:eastAsia="zh-CN"/>
              </w:rPr>
              <w:t>③样品递交至安徽省铜陵市枞阳县枞阳经济开发区新楼工业园（联系人：王</w:t>
            </w:r>
            <w:r>
              <w:rPr>
                <w:rFonts w:hint="eastAsia"/>
                <w:highlight w:val="yellow"/>
                <w:lang w:val="en-US" w:eastAsia="zh-CN"/>
              </w:rPr>
              <w:t>工</w:t>
            </w:r>
            <w:r>
              <w:rPr>
                <w:rFonts w:hint="default"/>
                <w:highlight w:val="yellow"/>
                <w:lang w:val="en-US" w:eastAsia="zh-CN"/>
              </w:rPr>
              <w:t>15665699864）</w:t>
            </w:r>
          </w:p>
          <w:p w14:paraId="5C55FB0E">
            <w:pPr>
              <w:keepNext w:val="0"/>
              <w:keepLines w:val="0"/>
              <w:suppressLineNumbers w:val="0"/>
              <w:spacing w:before="0" w:beforeAutospacing="0" w:after="0" w:afterAutospacing="0" w:line="276" w:lineRule="auto"/>
              <w:ind w:left="0" w:right="0" w:firstLine="210" w:firstLineChars="100"/>
              <w:jc w:val="left"/>
              <w:rPr>
                <w:rFonts w:hint="default"/>
                <w:highlight w:val="red"/>
                <w:lang w:val="en-US" w:eastAsia="zh-CN"/>
              </w:rPr>
            </w:pPr>
            <w:r>
              <w:rPr>
                <w:rFonts w:hint="default"/>
                <w:highlight w:val="yellow"/>
                <w:lang w:val="en-US" w:eastAsia="zh-CN"/>
              </w:rPr>
              <w:t>④投标人提供样品的品牌、质量、工艺、参数等，如不符合本次采购人要求的，采购人有权终止投标人本次投标资格。</w:t>
            </w:r>
          </w:p>
        </w:tc>
      </w:tr>
    </w:tbl>
    <w:p w14:paraId="43ED56AD">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）售后服务方案</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26656988"/>
      <w:bookmarkStart w:id="48" w:name="_Toc14201257"/>
      <w:bookmarkStart w:id="49"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26656994"/>
      <w:bookmarkStart w:id="54"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37087C90">
      <w:pPr>
        <w:spacing w:line="440" w:lineRule="exact"/>
        <w:ind w:firstLine="420"/>
        <w:rPr>
          <w:rFonts w:hint="eastAsia" w:ascii="Times New Roman" w:hAnsi="Times New Roman"/>
          <w:color w:val="auto"/>
          <w:sz w:val="21"/>
          <w:szCs w:val="24"/>
        </w:rPr>
      </w:pPr>
    </w:p>
    <w:p w14:paraId="5C8FA54B">
      <w:pPr>
        <w:spacing w:line="440" w:lineRule="exact"/>
        <w:ind w:firstLine="420"/>
        <w:rPr>
          <w:rFonts w:hint="eastAsia" w:ascii="Times New Roman" w:hAnsi="Times New Roman"/>
          <w:color w:val="auto"/>
          <w:sz w:val="21"/>
          <w:szCs w:val="24"/>
        </w:rPr>
      </w:pPr>
    </w:p>
    <w:p w14:paraId="5C274470">
      <w:pPr>
        <w:spacing w:line="440" w:lineRule="exact"/>
        <w:ind w:firstLine="420"/>
        <w:rPr>
          <w:rFonts w:hint="eastAsia" w:ascii="Times New Roman" w:hAnsi="Times New Roman"/>
          <w:color w:val="auto"/>
          <w:sz w:val="21"/>
          <w:szCs w:val="24"/>
        </w:rPr>
      </w:pPr>
    </w:p>
    <w:p w14:paraId="003154E2">
      <w:pPr>
        <w:spacing w:line="440" w:lineRule="exact"/>
        <w:ind w:firstLine="420"/>
        <w:rPr>
          <w:rFonts w:hint="eastAsia" w:ascii="Times New Roman" w:hAnsi="Times New Roman"/>
          <w:color w:val="auto"/>
          <w:sz w:val="21"/>
          <w:szCs w:val="24"/>
        </w:rPr>
      </w:pPr>
    </w:p>
    <w:p w14:paraId="2EB43E35">
      <w:pPr>
        <w:spacing w:line="440" w:lineRule="exact"/>
        <w:ind w:firstLine="420"/>
        <w:rPr>
          <w:rFonts w:hint="eastAsia" w:ascii="Times New Roman" w:hAnsi="Times New Roman"/>
          <w:color w:val="auto"/>
          <w:sz w:val="21"/>
          <w:szCs w:val="24"/>
        </w:rPr>
      </w:pPr>
    </w:p>
    <w:p w14:paraId="65B95DDA">
      <w:pPr>
        <w:spacing w:line="440" w:lineRule="exact"/>
        <w:ind w:firstLine="420"/>
        <w:rPr>
          <w:rFonts w:hint="eastAsia" w:ascii="Times New Roman" w:hAnsi="Times New Roman"/>
          <w:color w:val="auto"/>
          <w:sz w:val="21"/>
          <w:szCs w:val="24"/>
        </w:rPr>
      </w:pPr>
    </w:p>
    <w:p w14:paraId="2350C917">
      <w:pPr>
        <w:spacing w:line="440" w:lineRule="exact"/>
        <w:ind w:firstLine="420"/>
        <w:rPr>
          <w:rFonts w:hint="eastAsia" w:ascii="Times New Roman" w:hAnsi="Times New Roman"/>
          <w:color w:val="auto"/>
          <w:sz w:val="21"/>
          <w:szCs w:val="24"/>
        </w:rPr>
      </w:pPr>
    </w:p>
    <w:p w14:paraId="10F719E7">
      <w:pPr>
        <w:spacing w:line="440" w:lineRule="exact"/>
        <w:ind w:firstLine="420"/>
        <w:rPr>
          <w:rFonts w:hint="eastAsia" w:ascii="Times New Roman" w:hAnsi="Times New Roman"/>
          <w:color w:val="auto"/>
          <w:sz w:val="21"/>
          <w:szCs w:val="24"/>
        </w:rPr>
      </w:pPr>
    </w:p>
    <w:p w14:paraId="6FB9C6F2">
      <w:pPr>
        <w:spacing w:line="440" w:lineRule="exact"/>
        <w:ind w:firstLine="420"/>
        <w:rPr>
          <w:rFonts w:hint="eastAsia" w:ascii="Times New Roman" w:hAnsi="Times New Roman"/>
          <w:color w:val="auto"/>
          <w:sz w:val="21"/>
          <w:szCs w:val="24"/>
        </w:rPr>
      </w:pPr>
    </w:p>
    <w:p w14:paraId="41F8E55B">
      <w:pPr>
        <w:spacing w:line="440" w:lineRule="exact"/>
        <w:ind w:firstLine="420"/>
        <w:rPr>
          <w:rFonts w:hint="eastAsia" w:ascii="Times New Roman" w:hAnsi="Times New Roman"/>
          <w:color w:val="auto"/>
          <w:sz w:val="21"/>
          <w:szCs w:val="24"/>
        </w:rPr>
      </w:pPr>
    </w:p>
    <w:p w14:paraId="37ACA3A7">
      <w:pPr>
        <w:spacing w:line="440" w:lineRule="exact"/>
        <w:ind w:firstLine="420"/>
        <w:rPr>
          <w:rFonts w:hint="eastAsia" w:ascii="Times New Roman" w:hAnsi="Times New Roman"/>
          <w:color w:val="auto"/>
          <w:sz w:val="21"/>
          <w:szCs w:val="24"/>
        </w:rPr>
      </w:pPr>
    </w:p>
    <w:p w14:paraId="66D8E197">
      <w:pPr>
        <w:spacing w:line="440" w:lineRule="exact"/>
        <w:ind w:firstLine="420"/>
        <w:rPr>
          <w:rFonts w:hint="eastAsia" w:ascii="Times New Roman" w:hAnsi="Times New Roman"/>
          <w:color w:val="auto"/>
          <w:sz w:val="21"/>
          <w:szCs w:val="24"/>
        </w:rPr>
      </w:pPr>
    </w:p>
    <w:p w14:paraId="79DA59A1">
      <w:pPr>
        <w:spacing w:line="440" w:lineRule="exact"/>
        <w:ind w:firstLine="420"/>
        <w:rPr>
          <w:rFonts w:hint="eastAsia" w:ascii="Times New Roman" w:hAnsi="Times New Roman"/>
          <w:color w:val="auto"/>
          <w:sz w:val="21"/>
          <w:szCs w:val="24"/>
        </w:rPr>
      </w:pPr>
    </w:p>
    <w:p w14:paraId="2B63DB7F">
      <w:pPr>
        <w:spacing w:line="440" w:lineRule="exact"/>
        <w:ind w:firstLine="420"/>
        <w:rPr>
          <w:rFonts w:hint="eastAsia" w:ascii="Times New Roman" w:hAnsi="Times New Roman"/>
          <w:color w:val="auto"/>
          <w:sz w:val="21"/>
          <w:szCs w:val="24"/>
        </w:rPr>
      </w:pPr>
    </w:p>
    <w:p w14:paraId="5D3F9486">
      <w:pPr>
        <w:spacing w:line="440" w:lineRule="exact"/>
        <w:ind w:firstLine="420"/>
        <w:rPr>
          <w:rFonts w:hint="eastAsia" w:ascii="Times New Roman" w:hAnsi="Times New Roman"/>
          <w:color w:val="auto"/>
          <w:sz w:val="21"/>
          <w:szCs w:val="24"/>
        </w:rPr>
      </w:pPr>
    </w:p>
    <w:p w14:paraId="3F81005B">
      <w:pPr>
        <w:spacing w:line="440" w:lineRule="exact"/>
        <w:ind w:firstLine="420"/>
        <w:rPr>
          <w:rFonts w:hint="eastAsia" w:ascii="Times New Roman" w:hAnsi="Times New Roman"/>
          <w:color w:val="auto"/>
          <w:sz w:val="21"/>
          <w:szCs w:val="24"/>
        </w:rPr>
      </w:pPr>
    </w:p>
    <w:p w14:paraId="1D18E46E">
      <w:pPr>
        <w:spacing w:line="440" w:lineRule="exact"/>
        <w:ind w:firstLine="420"/>
        <w:rPr>
          <w:rFonts w:hint="eastAsia" w:ascii="Times New Roman" w:hAnsi="Times New Roman"/>
          <w:color w:val="auto"/>
          <w:sz w:val="21"/>
          <w:szCs w:val="24"/>
        </w:rPr>
      </w:pPr>
    </w:p>
    <w:p w14:paraId="1D3070E3">
      <w:pPr>
        <w:spacing w:line="440" w:lineRule="exact"/>
        <w:ind w:firstLine="420"/>
        <w:rPr>
          <w:rFonts w:hint="eastAsia" w:ascii="Times New Roman" w:hAnsi="Times New Roman"/>
          <w:color w:val="auto"/>
          <w:sz w:val="21"/>
          <w:szCs w:val="24"/>
        </w:rPr>
      </w:pPr>
    </w:p>
    <w:p w14:paraId="146032AB">
      <w:pPr>
        <w:spacing w:line="440" w:lineRule="exact"/>
        <w:ind w:firstLine="420"/>
        <w:rPr>
          <w:rFonts w:hint="eastAsia" w:ascii="Times New Roman" w:hAnsi="Times New Roman"/>
          <w:color w:val="auto"/>
          <w:sz w:val="21"/>
          <w:szCs w:val="24"/>
        </w:rPr>
      </w:pPr>
    </w:p>
    <w:p w14:paraId="21FC8088">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4E74A989">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4974496"/>
      <w:bookmarkStart w:id="58" w:name="_Toc457482536"/>
      <w:bookmarkStart w:id="59" w:name="_Toc14847"/>
      <w:bookmarkStart w:id="60" w:name="_Toc152045528"/>
      <w:bookmarkStart w:id="61" w:name="_Toc3834"/>
      <w:bookmarkStart w:id="62" w:name="_Toc447808662"/>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65BFC5D">
            <w:pPr>
              <w:pStyle w:val="7"/>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5898049">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039" w:type="pct"/>
            <w:vAlign w:val="center"/>
          </w:tcPr>
          <w:p w14:paraId="003C586F">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200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铝合金门窗</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业绩，每多提供一个业绩得5分，满分40分。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039"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058FD983">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4A57E4ED">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5389" w:type="dxa"/>
            <w:vAlign w:val="center"/>
          </w:tcPr>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bidi="ar"/>
              </w:rPr>
              <w:t>具有</w:t>
            </w:r>
            <w:r>
              <w:rPr>
                <w:rFonts w:hint="eastAsia" w:ascii="宋体" w:hAnsi="宋体" w:cs="宋体"/>
                <w:color w:val="auto"/>
                <w:kern w:val="0"/>
                <w:sz w:val="21"/>
                <w:szCs w:val="21"/>
                <w:lang w:bidi="ar"/>
              </w:rPr>
              <w:t>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CD1C9F8">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cyan"/>
                <w:lang w:val="en-US" w:eastAsia="zh-CN" w:bidi="ar-SA"/>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5389" w:type="dxa"/>
            <w:shd w:val="clear" w:color="auto" w:fill="auto"/>
            <w:vAlign w:val="center"/>
          </w:tcPr>
          <w:p w14:paraId="0C475E43">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19"/>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308209DC">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5389" w:type="dxa"/>
            <w:shd w:val="clear" w:color="auto" w:fill="auto"/>
            <w:vAlign w:val="center"/>
          </w:tcPr>
          <w:p w14:paraId="3686DE7B">
            <w:pPr>
              <w:pStyle w:val="12"/>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sz w:val="21"/>
                <w:szCs w:val="24"/>
                <w:lang w:val="en-US" w:eastAsia="zh-CN"/>
              </w:rPr>
              <w:t>根据</w:t>
            </w:r>
            <w:r>
              <w:rPr>
                <w:rFonts w:hint="eastAsia" w:ascii="宋体" w:hAnsi="宋体" w:cs="宋体"/>
                <w:color w:val="auto"/>
                <w:sz w:val="21"/>
                <w:szCs w:val="24"/>
                <w:highlight w:val="yellow"/>
                <w:lang w:val="en-US" w:eastAsia="zh-CN"/>
              </w:rPr>
              <w:t>投标人售后</w:t>
            </w:r>
            <w:r>
              <w:rPr>
                <w:rFonts w:hint="eastAsia" w:ascii="宋体" w:hAnsi="宋体" w:cs="宋体"/>
                <w:color w:val="auto"/>
                <w:sz w:val="21"/>
                <w:szCs w:val="24"/>
                <w:lang w:val="en-US" w:eastAsia="zh-CN"/>
              </w:rPr>
              <w:t>服务方案及增值服务进行综合评审。评委综合评分，优秀的得8-6分；一般的得5-3分，较差得基础分2分，未提供不得分。</w:t>
            </w:r>
          </w:p>
        </w:tc>
      </w:tr>
    </w:tbl>
    <w:p w14:paraId="5218B9BA">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w:t>
      </w:r>
      <w:bookmarkStart w:id="112" w:name="_GoBack"/>
      <w:bookmarkEnd w:id="112"/>
      <w:r>
        <w:rPr>
          <w:rFonts w:hint="eastAsia" w:ascii="Times New Roman" w:hAnsi="Times New Roman"/>
          <w:color w:val="auto"/>
          <w:sz w:val="21"/>
          <w:szCs w:val="24"/>
        </w:rPr>
        <w:t>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采购及安装</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安装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highlight w:val="yellow"/>
          <w:lang w:val="en-US" w:eastAsia="zh-CN" w:bidi="ar-SA"/>
        </w:rPr>
        <w:t>3.交货时间：在接到甲方通知之日起20天内完成窗框安装，30天内完成玻璃（玻璃为原厂原片）固定、窗扇安装等全部工作（具体根据实际情况安排进度）。通知方式包括但不限于电话、短信、邮件、传真、微信，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yellow"/>
          <w:lang w:val="en-US" w:eastAsia="zh-CN" w:bidi="ar-SA"/>
        </w:rPr>
        <w:t>乙方确认其有效联系人姓名</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lang w:val="en-US" w:eastAsia="zh-CN" w:bidi="ar-SA"/>
        </w:rPr>
        <w:t>，电话为</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lang w:val="en-US" w:eastAsia="zh-CN" w:bidi="ar-SA"/>
        </w:rPr>
        <w:t>，联系地址为：</w:t>
      </w:r>
      <w:r>
        <w:rPr>
          <w:rFonts w:hint="eastAsia" w:ascii="仿宋_GB2312" w:hAnsi="仿宋_GB2312" w:eastAsia="仿宋_GB2312" w:cs="仿宋_GB2312"/>
          <w:color w:val="auto"/>
          <w:kern w:val="2"/>
          <w:sz w:val="28"/>
          <w:szCs w:val="28"/>
          <w:highlight w:val="yellow"/>
          <w:u w:val="single"/>
          <w:lang w:val="en-US" w:eastAsia="zh-CN" w:bidi="ar-SA"/>
        </w:rPr>
        <w:t xml:space="preserve">                  </w:t>
      </w:r>
      <w:r>
        <w:rPr>
          <w:rFonts w:hint="eastAsia" w:ascii="仿宋_GB2312" w:hAnsi="仿宋_GB2312" w:eastAsia="仿宋_GB2312" w:cs="仿宋_GB2312"/>
          <w:color w:val="auto"/>
          <w:kern w:val="2"/>
          <w:sz w:val="28"/>
          <w:szCs w:val="28"/>
          <w:highlight w:val="yellow"/>
          <w:u w:val="none"/>
          <w:lang w:val="en-US" w:eastAsia="zh-CN" w:bidi="ar-SA"/>
        </w:rPr>
        <w:t>，</w:t>
      </w:r>
      <w:permEnd w:id="4"/>
      <w:r>
        <w:rPr>
          <w:rFonts w:hint="eastAsia" w:ascii="仿宋_GB2312" w:hAnsi="仿宋_GB2312" w:eastAsia="仿宋_GB2312" w:cs="仿宋_GB2312"/>
          <w:color w:val="auto"/>
          <w:kern w:val="2"/>
          <w:sz w:val="28"/>
          <w:szCs w:val="28"/>
          <w:highlight w:val="yellow"/>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331A034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1.窗框安装结束经甲方指定签收人验收合格并签字后，付至已完工程价款的30%。</w:t>
      </w:r>
    </w:p>
    <w:p w14:paraId="2DFCC2D6">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2.玻璃（玻璃为原厂原片）固定、窗扇安装结束，经甲方指定签收人验收合格并签字后付至已完工程价款的70%。</w:t>
      </w:r>
    </w:p>
    <w:p w14:paraId="4A5A146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3.货物全部供应结束、安装完毕，经甲方指定签收人验收合格并签字后付至已完工程价款的85%。</w:t>
      </w:r>
    </w:p>
    <w:p w14:paraId="059BC07E">
      <w:pPr>
        <w:wordWrap w:val="0"/>
        <w:spacing w:beforeLines="0" w:afterLines="0" w:line="560" w:lineRule="exact"/>
        <w:ind w:firstLine="560" w:firstLineChars="200"/>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4.项目竣工验收付至已完工程价款的95%。</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5.审计定案表出具后付至审计定案价的97%，剩余3%作为质保金，在缺陷责任期后无质量问题一次性无息支付。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6.响应保证金转为履约保证金，合同履行完成无违约行为并经甲方认定同意后28天内无息退还</w:t>
      </w:r>
      <w:r>
        <w:rPr>
          <w:rFonts w:hint="eastAsia" w:ascii="仿宋_GB2312" w:hAnsi="仿宋_GB2312" w:eastAsia="仿宋_GB2312" w:cs="仿宋_GB2312"/>
          <w:color w:val="auto"/>
          <w:sz w:val="28"/>
          <w:szCs w:val="28"/>
          <w:highlight w:val="none"/>
        </w:rPr>
        <w:t>。</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4E7CA7">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ascii="Times New Roman" w:hAnsi="Times New Roman" w:eastAsia="宋体" w:cs="Times New Roman"/>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31285"/>
      <w:bookmarkStart w:id="66" w:name="_Toc25485"/>
      <w:r>
        <w:rPr>
          <w:rFonts w:hint="eastAsia" w:ascii="Times New Roman" w:hAnsi="Times New Roman" w:eastAsia="宋体" w:cs="Times New Roman"/>
          <w:color w:val="auto"/>
          <w:lang w:val="en-US" w:eastAsia="zh-CN"/>
        </w:rPr>
        <w:t>采购需求及清单</w:t>
      </w:r>
      <w:bookmarkEnd w:id="65"/>
      <w:bookmarkEnd w:id="66"/>
    </w:p>
    <w:p w14:paraId="110CBC0C">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材料品牌推荐表</w:t>
      </w:r>
    </w:p>
    <w:p w14:paraId="59E52AAF">
      <w:pPr>
        <w:pStyle w:val="18"/>
        <w:numPr>
          <w:ilvl w:val="0"/>
          <w:numId w:val="0"/>
        </w:numPr>
        <w:jc w:val="both"/>
        <w:rPr>
          <w:rFonts w:hint="eastAsia" w:ascii="宋体" w:hAnsi="宋体" w:cs="宋体"/>
          <w:b/>
          <w:color w:val="auto"/>
          <w:sz w:val="21"/>
          <w:szCs w:val="21"/>
        </w:rPr>
      </w:pPr>
      <w:bookmarkStart w:id="67" w:name="_Toc5972"/>
      <w:r>
        <w:rPr>
          <w:rFonts w:hint="eastAsia" w:ascii="宋体" w:hAnsi="宋体" w:cs="宋体"/>
          <w:b/>
          <w:color w:val="auto"/>
          <w:sz w:val="21"/>
          <w:szCs w:val="21"/>
        </w:rPr>
        <w:drawing>
          <wp:inline distT="0" distB="0" distL="114300" distR="114300">
            <wp:extent cx="5278755" cy="7339965"/>
            <wp:effectExtent l="0" t="0" r="1714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278755" cy="7339965"/>
                    </a:xfrm>
                    <a:prstGeom prst="rect">
                      <a:avLst/>
                    </a:prstGeom>
                    <a:noFill/>
                    <a:ln w="9525">
                      <a:noFill/>
                    </a:ln>
                  </pic:spPr>
                </pic:pic>
              </a:graphicData>
            </a:graphic>
          </wp:inline>
        </w:drawing>
      </w:r>
    </w:p>
    <w:p w14:paraId="4FA5350D">
      <w:pPr>
        <w:pStyle w:val="18"/>
        <w:numPr>
          <w:ilvl w:val="0"/>
          <w:numId w:val="0"/>
        </w:numPr>
        <w:jc w:val="both"/>
        <w:rPr>
          <w:rFonts w:hint="eastAsia" w:ascii="宋体" w:hAnsi="宋体" w:cs="宋体"/>
          <w:b/>
          <w:color w:val="auto"/>
          <w:sz w:val="21"/>
          <w:szCs w:val="21"/>
        </w:rPr>
      </w:pPr>
    </w:p>
    <w:p w14:paraId="45C5A6E3">
      <w:pPr>
        <w:pStyle w:val="18"/>
        <w:numPr>
          <w:ilvl w:val="0"/>
          <w:numId w:val="3"/>
        </w:numPr>
        <w:ind w:firstLine="0" w:firstLineChars="0"/>
        <w:jc w:val="center"/>
        <w:rPr>
          <w:rFonts w:hint="eastAsia" w:ascii="宋体" w:hAnsi="宋体" w:cs="宋体"/>
          <w:b/>
          <w:color w:val="auto"/>
          <w:sz w:val="21"/>
          <w:szCs w:val="21"/>
        </w:rPr>
      </w:pPr>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w:t>
      </w:r>
      <w:r>
        <w:rPr>
          <w:rFonts w:hint="eastAsia" w:ascii="宋体" w:hAnsi="宋体" w:cs="宋体"/>
          <w:color w:val="auto"/>
          <w:sz w:val="24"/>
          <w:szCs w:val="24"/>
          <w:lang w:val="en-US" w:eastAsia="zh-CN"/>
        </w:rPr>
        <w:t>安装费、</w:t>
      </w:r>
      <w:r>
        <w:rPr>
          <w:rFonts w:hint="eastAsia" w:ascii="宋体" w:hAnsi="宋体" w:cs="宋体"/>
          <w:color w:val="auto"/>
          <w:sz w:val="24"/>
          <w:szCs w:val="24"/>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25232_WPSOffice_Level2"/>
      <w:bookmarkStart w:id="71"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49F6F21">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24785"/>
      <w:bookmarkStart w:id="78" w:name="_Toc19890"/>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9989"/>
      <w:bookmarkStart w:id="80" w:name="_Toc28901"/>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9607"/>
      <w:bookmarkStart w:id="82" w:name="_Toc23165"/>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default" w:ascii="Times New Roman" w:hAnsi="Times New Roman" w:eastAsia="黑体"/>
          <w:color w:val="auto"/>
          <w:sz w:val="28"/>
          <w:szCs w:val="28"/>
          <w:lang w:val="en-US" w:eastAsia="zh-CN"/>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86"/>
      <w:r>
        <w:rPr>
          <w:rFonts w:hint="eastAsia" w:ascii="Times New Roman" w:hAnsi="Times New Roman" w:eastAsia="黑体"/>
          <w:color w:val="auto"/>
          <w:sz w:val="28"/>
          <w:szCs w:val="28"/>
          <w:lang w:val="en-US" w:eastAsia="zh-CN"/>
        </w:rPr>
        <w:t>供货方案</w:t>
      </w:r>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88"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88"/>
    </w:p>
    <w:p w14:paraId="7819A5B5">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90"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bookmarkEnd w:id="90"/>
      <w:r>
        <w:rPr>
          <w:rFonts w:hint="eastAsia" w:ascii="Times New Roman" w:hAnsi="Times New Roman" w:eastAsia="黑体"/>
          <w:color w:val="auto"/>
          <w:sz w:val="28"/>
          <w:szCs w:val="28"/>
          <w:lang w:val="en-US" w:eastAsia="zh-CN"/>
        </w:rPr>
        <w:t>售后服务方案</w:t>
      </w:r>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1"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1"/>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14186"/>
      <w:r>
        <w:rPr>
          <w:rFonts w:hint="eastAsia" w:ascii="黑体" w:hAnsi="宋体" w:eastAsia="黑体" w:cs="黑体"/>
          <w:color w:val="auto"/>
          <w:kern w:val="2"/>
          <w:sz w:val="28"/>
          <w:szCs w:val="28"/>
          <w:lang w:val="en-US" w:eastAsia="zh-CN" w:bidi="ar"/>
        </w:rPr>
        <w:t>十、承诺书</w:t>
      </w:r>
      <w:bookmarkEnd w:id="89"/>
      <w:bookmarkEnd w:id="92"/>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703045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3" w:name="_Toc2975"/>
      <w:bookmarkStart w:id="94" w:name="_Toc10121"/>
      <w:r>
        <w:rPr>
          <w:rFonts w:hint="eastAsia" w:ascii="黑体" w:hAnsi="宋体" w:eastAsia="黑体" w:cs="黑体"/>
          <w:color w:val="auto"/>
          <w:kern w:val="2"/>
          <w:sz w:val="28"/>
          <w:szCs w:val="28"/>
          <w:lang w:val="en-US" w:eastAsia="zh-CN" w:bidi="ar"/>
        </w:rPr>
        <w:t>十一、其他材料</w:t>
      </w:r>
      <w:bookmarkEnd w:id="93"/>
      <w:bookmarkEnd w:id="94"/>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default" w:ascii="Times New Roman" w:hAnsi="Times New Roman" w:eastAsia="黑体" w:cs="Times New Roman"/>
          <w:color w:val="auto"/>
          <w:kern w:val="2"/>
          <w:sz w:val="50"/>
          <w:szCs w:val="50"/>
          <w:u w:val="none"/>
          <w:lang w:val="en-US" w:eastAsia="zh-CN" w:bidi="ar"/>
        </w:rPr>
        <w:t xml:space="preserve"> </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5" w:name="_Toc2786"/>
      <w:bookmarkStart w:id="96" w:name="_Toc4837"/>
      <w:r>
        <w:rPr>
          <w:rFonts w:ascii="Times New Roman" w:hAnsi="Times New Roman" w:eastAsia="黑体" w:cs="Times New Roman"/>
          <w:color w:val="auto"/>
          <w:sz w:val="50"/>
          <w:szCs w:val="50"/>
        </w:rPr>
        <w:t>响  应  文  件</w:t>
      </w:r>
      <w:bookmarkEnd w:id="95"/>
      <w:bookmarkEnd w:id="96"/>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7" w:name="_Toc29968"/>
      <w:bookmarkStart w:id="98" w:name="_Toc11805_WPSOffice_Level1"/>
      <w:bookmarkStart w:id="99" w:name="_Toc23583"/>
      <w:bookmarkStart w:id="100" w:name="_Toc15092"/>
      <w:bookmarkStart w:id="101" w:name="_Toc24269_WPSOffice_Level1"/>
      <w:bookmarkStart w:id="102" w:name="_Toc1687_WPSOffice_Level1"/>
      <w:bookmarkStart w:id="103" w:name="_Toc18312_WPSOffice_Level1"/>
      <w:bookmarkStart w:id="104" w:name="_Toc30031_WPSOffice_Level1"/>
      <w:bookmarkStart w:id="105" w:name="_Toc8703"/>
      <w:bookmarkStart w:id="106" w:name="_Toc1924"/>
      <w:bookmarkStart w:id="107" w:name="_Toc29399_WPSOffice_Level1"/>
      <w:bookmarkStart w:id="108" w:name="_Toc2765_WPSOffice_Level1"/>
      <w:r>
        <w:rPr>
          <w:rFonts w:hint="eastAsia" w:ascii="黑体" w:hAnsi="黑体" w:eastAsia="黑体" w:cs="黑体"/>
          <w:b w:val="0"/>
          <w:bCs/>
          <w:color w:val="auto"/>
          <w:sz w:val="28"/>
          <w:szCs w:val="28"/>
        </w:rPr>
        <w:t>一、</w:t>
      </w:r>
      <w:bookmarkEnd w:id="97"/>
      <w:bookmarkEnd w:id="98"/>
      <w:bookmarkEnd w:id="99"/>
      <w:bookmarkEnd w:id="100"/>
      <w:bookmarkEnd w:id="101"/>
      <w:bookmarkEnd w:id="102"/>
      <w:bookmarkEnd w:id="103"/>
      <w:bookmarkEnd w:id="104"/>
      <w:bookmarkEnd w:id="105"/>
      <w:bookmarkEnd w:id="106"/>
      <w:bookmarkEnd w:id="107"/>
      <w:bookmarkEnd w:id="108"/>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09" w:name="_Toc153421230"/>
      <w:bookmarkStart w:id="110" w:name="_Toc162490440"/>
      <w:bookmarkStart w:id="111" w:name="_Toc272486050"/>
      <w:r>
        <w:rPr>
          <w:rFonts w:hint="eastAsia" w:ascii="黑体" w:hAnsi="黑体" w:eastAsia="黑体" w:cs="黑体"/>
          <w:b w:val="0"/>
          <w:bCs/>
          <w:color w:val="auto"/>
          <w:sz w:val="28"/>
          <w:szCs w:val="28"/>
        </w:rPr>
        <w:t>二、</w:t>
      </w:r>
      <w:bookmarkEnd w:id="109"/>
      <w:bookmarkEnd w:id="110"/>
      <w:bookmarkEnd w:id="111"/>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r>
              <w:rPr>
                <w:rFonts w:hint="eastAsia"/>
                <w:highlight w:val="yellow"/>
                <w:lang w:val="en-US" w:eastAsia="zh-CN"/>
              </w:rPr>
              <w:t>（</w:t>
            </w:r>
            <w:r>
              <w:rPr>
                <w:rFonts w:hint="eastAsia"/>
                <w:highlight w:val="yellow"/>
                <w:u w:val="single"/>
                <w:lang w:val="en-US" w:eastAsia="zh-CN"/>
              </w:rPr>
              <w:t xml:space="preserve">   </w:t>
            </w:r>
            <w:r>
              <w:rPr>
                <w:rFonts w:hint="eastAsia"/>
                <w:highlight w:val="yellow"/>
                <w:lang w:val="en-US" w:eastAsia="zh-CN"/>
              </w:rPr>
              <w:t>包段）</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w:t>
      </w:r>
      <w:r>
        <w:rPr>
          <w:rFonts w:hint="eastAsia" w:ascii="宋体" w:hAnsi="宋体" w:cs="宋体"/>
          <w:b w:val="0"/>
          <w:bCs/>
          <w:color w:val="auto"/>
          <w:sz w:val="24"/>
          <w:lang w:val="en-US" w:eastAsia="zh-CN"/>
        </w:rPr>
        <w:t>安装、</w:t>
      </w:r>
      <w:r>
        <w:rPr>
          <w:rFonts w:hint="eastAsia" w:ascii="宋体" w:hAnsi="宋体" w:cs="宋体"/>
          <w:b w:val="0"/>
          <w:bCs/>
          <w:color w:val="auto"/>
          <w:sz w:val="24"/>
        </w:rPr>
        <w:t>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32E8FD67">
      <w:pPr>
        <w:jc w:val="center"/>
        <w:rPr>
          <w:rFonts w:hint="eastAsia" w:ascii="Times New Roman" w:hAnsi="Times New Roman" w:eastAsia="华文中宋" w:cs="Times New Roman"/>
          <w:b/>
          <w:smallCaps/>
          <w:color w:val="auto"/>
          <w:sz w:val="24"/>
          <w:szCs w:val="24"/>
          <w:lang w:val="en-US" w:eastAsia="zh-CN"/>
        </w:rPr>
      </w:pPr>
    </w:p>
    <w:p w14:paraId="41E9E810">
      <w:pPr>
        <w:jc w:val="center"/>
        <w:rPr>
          <w:rFonts w:hint="eastAsia"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材料品牌推荐表</w:t>
      </w:r>
    </w:p>
    <w:p w14:paraId="5AFEAD42">
      <w:pPr>
        <w:rPr>
          <w:rFonts w:ascii="Times New Roman" w:hAnsi="Times New Roman" w:eastAsia="华文中宋" w:cs="Times New Roman"/>
          <w:b/>
          <w:smallCaps/>
          <w:color w:val="auto"/>
          <w:sz w:val="24"/>
          <w:szCs w:val="24"/>
        </w:rPr>
      </w:pPr>
      <w:r>
        <w:rPr>
          <w:rFonts w:hint="eastAsia" w:ascii="Times New Roman" w:hAnsi="Times New Roman" w:eastAsia="华文中宋" w:cs="Times New Roman"/>
          <w:b/>
          <w:smallCaps/>
          <w:color w:val="auto"/>
          <w:sz w:val="24"/>
          <w:szCs w:val="24"/>
        </w:rPr>
        <w:drawing>
          <wp:inline distT="0" distB="0" distL="114300" distR="114300">
            <wp:extent cx="5278755" cy="7339965"/>
            <wp:effectExtent l="0" t="0" r="1714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278755" cy="7339965"/>
                    </a:xfrm>
                    <a:prstGeom prst="rect">
                      <a:avLst/>
                    </a:prstGeom>
                    <a:noFill/>
                    <a:ln w="9525">
                      <a:noFill/>
                    </a:ln>
                  </pic:spPr>
                </pic:pic>
              </a:graphicData>
            </a:graphic>
          </wp:inline>
        </w:drawing>
      </w:r>
    </w:p>
    <w:p w14:paraId="6ED89DD2">
      <w:pPr>
        <w:rPr>
          <w:rFonts w:ascii="Times New Roman" w:hAnsi="Times New Roman" w:eastAsia="华文中宋" w:cs="Times New Roman"/>
          <w:b/>
          <w:smallCaps/>
          <w:color w:val="auto"/>
          <w:sz w:val="24"/>
          <w:szCs w:val="24"/>
        </w:rPr>
      </w:pPr>
    </w:p>
    <w:p w14:paraId="443D745A">
      <w:pPr>
        <w:rPr>
          <w:rFonts w:ascii="Times New Roman" w:hAnsi="Times New Roman" w:eastAsia="华文中宋" w:cs="Times New Roman"/>
          <w:b/>
          <w:smallCaps/>
          <w:color w:val="auto"/>
          <w:sz w:val="24"/>
          <w:szCs w:val="24"/>
        </w:rPr>
      </w:pPr>
    </w:p>
    <w:p w14:paraId="7247334F">
      <w:pPr>
        <w:pStyle w:val="10"/>
        <w:adjustRightInd w:val="0"/>
        <w:snapToGrid w:val="0"/>
        <w:jc w:val="left"/>
        <w:rPr>
          <w:rFonts w:hint="eastAsia" w:ascii="Times New Roman" w:hAnsi="Times New Roman" w:eastAsia="华文中宋" w:cs="Times New Roman"/>
          <w:b/>
          <w:smallCaps/>
          <w:color w:val="auto"/>
          <w:sz w:val="24"/>
          <w:szCs w:val="24"/>
          <w:highlight w:val="yellow"/>
          <w:lang w:val="en-US" w:eastAsia="zh-CN"/>
        </w:rPr>
      </w:pP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E812A0"/>
    <w:rsid w:val="241155A9"/>
    <w:rsid w:val="241D716E"/>
    <w:rsid w:val="244412FB"/>
    <w:rsid w:val="2472524B"/>
    <w:rsid w:val="24AD2EBF"/>
    <w:rsid w:val="24BB5C18"/>
    <w:rsid w:val="253902A6"/>
    <w:rsid w:val="253F05F7"/>
    <w:rsid w:val="254A0D4A"/>
    <w:rsid w:val="254B358D"/>
    <w:rsid w:val="25517C49"/>
    <w:rsid w:val="256E6DFD"/>
    <w:rsid w:val="25891872"/>
    <w:rsid w:val="25B60EA7"/>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D1721"/>
    <w:rsid w:val="45260A34"/>
    <w:rsid w:val="45303661"/>
    <w:rsid w:val="4551727C"/>
    <w:rsid w:val="45653B06"/>
    <w:rsid w:val="45675307"/>
    <w:rsid w:val="4574425A"/>
    <w:rsid w:val="458D6DA1"/>
    <w:rsid w:val="458F2670"/>
    <w:rsid w:val="45E82159"/>
    <w:rsid w:val="45ED0F61"/>
    <w:rsid w:val="45FB77CB"/>
    <w:rsid w:val="460C19D8"/>
    <w:rsid w:val="46767799"/>
    <w:rsid w:val="46B5206F"/>
    <w:rsid w:val="46CA0775"/>
    <w:rsid w:val="46D53D73"/>
    <w:rsid w:val="471825FE"/>
    <w:rsid w:val="4727514F"/>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8796</Words>
  <Characters>9522</Characters>
  <Lines>1</Lines>
  <Paragraphs>1</Paragraphs>
  <TotalTime>23</TotalTime>
  <ScaleCrop>false</ScaleCrop>
  <LinksUpToDate>false</LinksUpToDate>
  <CharactersWithSpaces>9853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2025-02-20T10:47:00Z</cp:lastPrinted>
  <dcterms:modified xsi:type="dcterms:W3CDTF">2025-02-21T12:03:46Z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