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D046D2">
      <w:pPr>
        <w:widowControl/>
        <w:jc w:val="center"/>
        <w:rPr>
          <w:rFonts w:ascii="Times New Roman" w:hAnsi="Times New Roman" w:cs="Times New Roman"/>
          <w:b/>
          <w:bCs/>
          <w:color w:val="auto"/>
          <w:kern w:val="0"/>
          <w:sz w:val="44"/>
          <w:szCs w:val="44"/>
          <w:highlight w:val="none"/>
        </w:rPr>
      </w:pPr>
    </w:p>
    <w:p w14:paraId="5F3919CA">
      <w:pPr>
        <w:spacing w:line="540" w:lineRule="exact"/>
        <w:ind w:firstLine="420"/>
        <w:jc w:val="center"/>
        <w:rPr>
          <w:rFonts w:hint="eastAsia" w:ascii="Times New Roman" w:hAnsi="Times New Roman" w:cs="Times New Roman"/>
          <w:b/>
          <w:bCs/>
          <w:color w:val="auto"/>
          <w:kern w:val="0"/>
          <w:sz w:val="44"/>
          <w:szCs w:val="44"/>
          <w:highlight w:val="none"/>
          <w:lang w:val="en-US" w:eastAsia="zh-CN"/>
        </w:rPr>
      </w:pPr>
      <w:r>
        <w:rPr>
          <w:rFonts w:hint="eastAsia" w:ascii="Times New Roman" w:hAnsi="Times New Roman" w:cs="Times New Roman"/>
          <w:b/>
          <w:bCs/>
          <w:color w:val="auto"/>
          <w:kern w:val="0"/>
          <w:sz w:val="44"/>
          <w:szCs w:val="44"/>
          <w:highlight w:val="none"/>
          <w:lang w:val="en-US" w:eastAsia="zh-CN"/>
        </w:rPr>
        <w:t>全椒经纬壹品、朔湖东苑及瑞俪花都项目</w:t>
      </w:r>
    </w:p>
    <w:p w14:paraId="31683B96">
      <w:pPr>
        <w:spacing w:line="540" w:lineRule="exact"/>
        <w:ind w:firstLine="420"/>
        <w:jc w:val="center"/>
        <w:rPr>
          <w:rFonts w:ascii="Times New Roman" w:hAnsi="Times New Roman" w:cs="Times New Roman"/>
          <w:color w:val="auto"/>
          <w:szCs w:val="21"/>
          <w:highlight w:val="none"/>
        </w:rPr>
      </w:pPr>
      <w:r>
        <w:rPr>
          <w:rFonts w:hint="eastAsia" w:ascii="Times New Roman" w:hAnsi="Times New Roman" w:cs="Times New Roman"/>
          <w:b/>
          <w:bCs/>
          <w:color w:val="auto"/>
          <w:kern w:val="0"/>
          <w:sz w:val="44"/>
          <w:szCs w:val="44"/>
          <w:highlight w:val="none"/>
          <w:lang w:val="en-US" w:eastAsia="zh-CN"/>
        </w:rPr>
        <w:t>投资后评价服务</w:t>
      </w:r>
    </w:p>
    <w:p w14:paraId="6A07811A">
      <w:pPr>
        <w:pStyle w:val="13"/>
        <w:rPr>
          <w:rFonts w:ascii="Times New Roman" w:hAnsi="Times New Roman" w:cs="Times New Roman"/>
          <w:color w:val="auto"/>
          <w:szCs w:val="21"/>
          <w:highlight w:val="none"/>
        </w:rPr>
      </w:pPr>
    </w:p>
    <w:p w14:paraId="20E6B12B">
      <w:pPr>
        <w:pStyle w:val="13"/>
        <w:rPr>
          <w:rFonts w:ascii="Times New Roman" w:hAnsi="Times New Roman" w:cs="Times New Roman"/>
          <w:color w:val="auto"/>
          <w:szCs w:val="21"/>
          <w:highlight w:val="none"/>
        </w:rPr>
      </w:pPr>
    </w:p>
    <w:p w14:paraId="5C4656B5">
      <w:pPr>
        <w:pStyle w:val="13"/>
        <w:rPr>
          <w:rFonts w:ascii="Times New Roman" w:hAnsi="Times New Roman" w:cs="Times New Roman"/>
          <w:color w:val="auto"/>
          <w:szCs w:val="21"/>
          <w:highlight w:val="none"/>
        </w:rPr>
      </w:pPr>
    </w:p>
    <w:p w14:paraId="5871CFF9">
      <w:pPr>
        <w:spacing w:line="540" w:lineRule="exact"/>
        <w:ind w:firstLine="420"/>
        <w:rPr>
          <w:rFonts w:ascii="Times New Roman" w:hAnsi="Times New Roman" w:cs="Times New Roman"/>
          <w:color w:val="auto"/>
          <w:szCs w:val="21"/>
          <w:highlight w:val="none"/>
        </w:rPr>
      </w:pPr>
    </w:p>
    <w:p w14:paraId="09044A6B">
      <w:pPr>
        <w:jc w:val="center"/>
        <w:rPr>
          <w:rFonts w:ascii="Times New Roman" w:hAnsi="Times New Roman" w:eastAsia="黑体" w:cs="Times New Roman"/>
          <w:color w:val="auto"/>
          <w:sz w:val="72"/>
          <w:szCs w:val="72"/>
          <w:highlight w:val="none"/>
        </w:rPr>
      </w:pPr>
    </w:p>
    <w:p w14:paraId="68930974">
      <w:pPr>
        <w:jc w:val="center"/>
        <w:rPr>
          <w:rFonts w:ascii="Times New Roman" w:hAnsi="Times New Roman" w:eastAsia="黑体" w:cs="Times New Roman"/>
          <w:color w:val="auto"/>
          <w:sz w:val="72"/>
          <w:szCs w:val="72"/>
          <w:highlight w:val="none"/>
        </w:rPr>
      </w:pPr>
      <w:r>
        <w:rPr>
          <w:rFonts w:ascii="Times New Roman" w:hAnsi="Times New Roman" w:eastAsia="黑体" w:cs="Times New Roman"/>
          <w:color w:val="auto"/>
          <w:sz w:val="72"/>
          <w:szCs w:val="72"/>
          <w:highlight w:val="none"/>
        </w:rPr>
        <w:t>询  比  文  件</w:t>
      </w:r>
    </w:p>
    <w:p w14:paraId="12552A0E">
      <w:pPr>
        <w:spacing w:line="540" w:lineRule="exact"/>
        <w:ind w:firstLine="420"/>
        <w:rPr>
          <w:rFonts w:ascii="Times New Roman" w:hAnsi="Times New Roman" w:cs="Times New Roman"/>
          <w:color w:val="auto"/>
          <w:szCs w:val="21"/>
          <w:highlight w:val="none"/>
        </w:rPr>
      </w:pPr>
    </w:p>
    <w:p w14:paraId="5B6DCB90">
      <w:pPr>
        <w:spacing w:line="540" w:lineRule="exact"/>
        <w:ind w:firstLine="420"/>
        <w:rPr>
          <w:rFonts w:ascii="Times New Roman" w:hAnsi="Times New Roman" w:cs="Times New Roman"/>
          <w:color w:val="auto"/>
          <w:szCs w:val="21"/>
          <w:highlight w:val="none"/>
        </w:rPr>
      </w:pPr>
    </w:p>
    <w:p w14:paraId="23641694">
      <w:pPr>
        <w:pStyle w:val="2"/>
        <w:rPr>
          <w:color w:val="auto"/>
          <w:highlight w:val="none"/>
        </w:rPr>
      </w:pPr>
    </w:p>
    <w:p w14:paraId="05B25CEA">
      <w:pPr>
        <w:spacing w:line="540" w:lineRule="exact"/>
        <w:ind w:firstLine="420"/>
        <w:rPr>
          <w:rFonts w:ascii="Times New Roman" w:hAnsi="Times New Roman" w:cs="Times New Roman"/>
          <w:color w:val="auto"/>
          <w:szCs w:val="21"/>
          <w:highlight w:val="none"/>
        </w:rPr>
      </w:pPr>
    </w:p>
    <w:p w14:paraId="77C1C9C1">
      <w:pPr>
        <w:spacing w:line="540" w:lineRule="exact"/>
        <w:ind w:firstLine="420"/>
        <w:rPr>
          <w:rFonts w:ascii="Times New Roman" w:hAnsi="Times New Roman" w:cs="Times New Roman"/>
          <w:color w:val="auto"/>
          <w:szCs w:val="21"/>
          <w:highlight w:val="none"/>
        </w:rPr>
      </w:pPr>
    </w:p>
    <w:p w14:paraId="7821D1F9">
      <w:pPr>
        <w:spacing w:line="540" w:lineRule="exact"/>
        <w:ind w:firstLine="420"/>
        <w:rPr>
          <w:rFonts w:ascii="Times New Roman" w:hAnsi="Times New Roman" w:cs="Times New Roman"/>
          <w:color w:val="auto"/>
          <w:szCs w:val="21"/>
          <w:highlight w:val="none"/>
        </w:rPr>
      </w:pPr>
    </w:p>
    <w:p w14:paraId="18C475F3">
      <w:pPr>
        <w:spacing w:line="540" w:lineRule="exact"/>
        <w:ind w:firstLine="420"/>
        <w:rPr>
          <w:rFonts w:ascii="Times New Roman" w:hAnsi="Times New Roman" w:cs="Times New Roman"/>
          <w:color w:val="auto"/>
          <w:szCs w:val="21"/>
          <w:highlight w:val="none"/>
        </w:rPr>
      </w:pPr>
    </w:p>
    <w:p w14:paraId="42A8C1CF">
      <w:pPr>
        <w:spacing w:line="540" w:lineRule="exact"/>
        <w:ind w:firstLine="420"/>
        <w:rPr>
          <w:rFonts w:ascii="Times New Roman" w:hAnsi="Times New Roman" w:cs="Times New Roman"/>
          <w:color w:val="auto"/>
          <w:szCs w:val="21"/>
          <w:highlight w:val="none"/>
        </w:rPr>
      </w:pPr>
    </w:p>
    <w:p w14:paraId="054B6368">
      <w:pPr>
        <w:spacing w:line="540" w:lineRule="exact"/>
        <w:ind w:firstLine="420"/>
        <w:rPr>
          <w:rFonts w:ascii="Times New Roman" w:hAnsi="Times New Roman" w:cs="Times New Roman"/>
          <w:color w:val="auto"/>
          <w:szCs w:val="21"/>
          <w:highlight w:val="none"/>
        </w:rPr>
      </w:pPr>
    </w:p>
    <w:p w14:paraId="17B0667B">
      <w:pPr>
        <w:spacing w:line="540" w:lineRule="exact"/>
        <w:ind w:firstLine="640"/>
        <w:rPr>
          <w:rFonts w:ascii="Times New Roman" w:hAnsi="Times New Roman" w:eastAsia="黑体" w:cs="Times New Roman"/>
          <w:color w:val="auto"/>
          <w:sz w:val="32"/>
          <w:szCs w:val="32"/>
          <w:highlight w:val="none"/>
        </w:rPr>
      </w:pPr>
    </w:p>
    <w:p w14:paraId="0C4CB3F0">
      <w:pPr>
        <w:spacing w:line="540" w:lineRule="exact"/>
        <w:ind w:left="1896" w:leftChars="903"/>
        <w:rPr>
          <w:rFonts w:ascii="Times New Roman" w:hAnsi="Times New Roman" w:cs="Times New Roman"/>
          <w:color w:val="auto"/>
          <w:szCs w:val="21"/>
          <w:highlight w:val="none"/>
        </w:rPr>
      </w:pPr>
    </w:p>
    <w:p w14:paraId="3D39E5F6">
      <w:pPr>
        <w:snapToGrid w:val="0"/>
        <w:jc w:val="center"/>
        <w:rPr>
          <w:rFonts w:ascii="Times New Roman" w:hAnsi="Times New Roman" w:cs="Times New Roman"/>
          <w:color w:val="auto"/>
          <w:sz w:val="32"/>
          <w:szCs w:val="32"/>
          <w:highlight w:val="none"/>
        </w:rPr>
      </w:pPr>
      <w:r>
        <w:rPr>
          <w:rFonts w:ascii="Times New Roman" w:hAnsi="Times New Roman" w:eastAsia="黑体" w:cs="Times New Roman"/>
          <w:color w:val="auto"/>
          <w:sz w:val="32"/>
          <w:szCs w:val="32"/>
          <w:highlight w:val="none"/>
        </w:rPr>
        <w:t>采 购 人：</w:t>
      </w:r>
      <w:r>
        <w:rPr>
          <w:rFonts w:ascii="Times New Roman" w:hAnsi="Times New Roman" w:eastAsia="黑体" w:cs="Times New Roman"/>
          <w:color w:val="auto"/>
          <w:sz w:val="32"/>
          <w:szCs w:val="32"/>
          <w:highlight w:val="none"/>
          <w:u w:val="single"/>
        </w:rPr>
        <w:t>安徽交</w:t>
      </w:r>
      <w:r>
        <w:rPr>
          <w:rFonts w:hint="eastAsia" w:ascii="Times New Roman" w:hAnsi="Times New Roman" w:eastAsia="黑体" w:cs="Times New Roman"/>
          <w:color w:val="auto"/>
          <w:sz w:val="32"/>
          <w:szCs w:val="32"/>
          <w:highlight w:val="none"/>
          <w:u w:val="single"/>
          <w:lang w:val="en-US" w:eastAsia="zh-CN"/>
        </w:rPr>
        <w:t>控建设工程</w:t>
      </w:r>
      <w:r>
        <w:rPr>
          <w:rFonts w:ascii="Times New Roman" w:hAnsi="Times New Roman" w:eastAsia="黑体" w:cs="Times New Roman"/>
          <w:color w:val="auto"/>
          <w:sz w:val="32"/>
          <w:szCs w:val="32"/>
          <w:highlight w:val="none"/>
          <w:u w:val="single"/>
        </w:rPr>
        <w:t>集团有限公司</w:t>
      </w:r>
    </w:p>
    <w:p w14:paraId="2C8AE9C1">
      <w:pPr>
        <w:snapToGrid w:val="0"/>
        <w:ind w:left="1896" w:leftChars="903"/>
        <w:rPr>
          <w:rFonts w:ascii="Times New Roman" w:hAnsi="Times New Roman" w:cs="Times New Roman"/>
          <w:color w:val="auto"/>
          <w:sz w:val="32"/>
          <w:szCs w:val="32"/>
          <w:highlight w:val="none"/>
        </w:rPr>
      </w:pPr>
    </w:p>
    <w:p w14:paraId="613D15F7">
      <w:pPr>
        <w:snapToGrid w:val="0"/>
        <w:jc w:val="center"/>
        <w:rPr>
          <w:rFonts w:ascii="Times New Roman" w:hAnsi="Times New Roman" w:cs="Times New Roman"/>
          <w:color w:val="auto"/>
          <w:sz w:val="32"/>
          <w:szCs w:val="32"/>
          <w:highlight w:val="none"/>
        </w:rPr>
      </w:pPr>
      <w:r>
        <w:rPr>
          <w:rFonts w:ascii="Times New Roman" w:hAnsi="Times New Roman" w:eastAsia="黑体" w:cs="Times New Roman"/>
          <w:color w:val="auto"/>
          <w:sz w:val="32"/>
          <w:szCs w:val="32"/>
          <w:highlight w:val="none"/>
        </w:rPr>
        <w:t>日    期</w:t>
      </w:r>
      <w:r>
        <w:rPr>
          <w:rFonts w:ascii="Times New Roman" w:hAnsi="Times New Roman" w:cs="Times New Roman"/>
          <w:color w:val="auto"/>
          <w:sz w:val="32"/>
          <w:szCs w:val="32"/>
          <w:highlight w:val="none"/>
        </w:rPr>
        <w:t>：</w:t>
      </w:r>
      <w:r>
        <w:rPr>
          <w:rFonts w:hint="eastAsia" w:ascii="Times New Roman" w:hAnsi="Times New Roman" w:eastAsia="黑体" w:cs="Times New Roman"/>
          <w:color w:val="auto"/>
          <w:sz w:val="32"/>
          <w:szCs w:val="32"/>
          <w:highlight w:val="none"/>
          <w:u w:val="single"/>
        </w:rPr>
        <w:t>202</w:t>
      </w:r>
      <w:r>
        <w:rPr>
          <w:rFonts w:hint="eastAsia" w:ascii="Times New Roman" w:hAnsi="Times New Roman" w:eastAsia="黑体" w:cs="Times New Roman"/>
          <w:color w:val="auto"/>
          <w:sz w:val="32"/>
          <w:szCs w:val="32"/>
          <w:highlight w:val="none"/>
          <w:u w:val="single"/>
          <w:lang w:val="en-US" w:eastAsia="zh-CN"/>
        </w:rPr>
        <w:t>5</w:t>
      </w:r>
      <w:r>
        <w:rPr>
          <w:rFonts w:ascii="Times New Roman" w:hAnsi="Times New Roman" w:cs="Times New Roman"/>
          <w:color w:val="auto"/>
          <w:sz w:val="32"/>
          <w:szCs w:val="32"/>
          <w:highlight w:val="none"/>
        </w:rPr>
        <w:t>年</w:t>
      </w:r>
      <w:r>
        <w:rPr>
          <w:rFonts w:hint="eastAsia" w:ascii="Times New Roman" w:hAnsi="Times New Roman" w:eastAsia="黑体" w:cs="Times New Roman"/>
          <w:color w:val="auto"/>
          <w:sz w:val="32"/>
          <w:szCs w:val="32"/>
          <w:highlight w:val="none"/>
          <w:u w:val="single"/>
          <w:lang w:val="en-US" w:eastAsia="zh-CN"/>
        </w:rPr>
        <w:t>5</w:t>
      </w:r>
      <w:r>
        <w:rPr>
          <w:rFonts w:ascii="Times New Roman" w:hAnsi="Times New Roman" w:cs="Times New Roman"/>
          <w:color w:val="auto"/>
          <w:sz w:val="32"/>
          <w:szCs w:val="32"/>
          <w:highlight w:val="none"/>
        </w:rPr>
        <w:t>月</w:t>
      </w:r>
    </w:p>
    <w:p w14:paraId="5F5B6832">
      <w:pPr>
        <w:ind w:left="1896" w:leftChars="903"/>
        <w:rPr>
          <w:rFonts w:ascii="Times New Roman" w:hAnsi="Times New Roman" w:cs="Times New Roman"/>
          <w:color w:val="auto"/>
          <w:sz w:val="24"/>
          <w:highlight w:val="none"/>
        </w:rPr>
        <w:sectPr>
          <w:headerReference r:id="rId3" w:type="default"/>
          <w:pgSz w:w="11906" w:h="16838"/>
          <w:pgMar w:top="1417" w:right="1417" w:bottom="1417" w:left="1417" w:header="851" w:footer="992" w:gutter="0"/>
          <w:cols w:space="720" w:num="1"/>
          <w:docGrid w:type="lines" w:linePitch="312" w:charSpace="0"/>
        </w:sectPr>
      </w:pPr>
    </w:p>
    <w:p w14:paraId="2FAEB489">
      <w:pPr>
        <w:jc w:val="center"/>
        <w:rPr>
          <w:b/>
          <w:bCs/>
          <w:color w:val="auto"/>
          <w:sz w:val="30"/>
          <w:szCs w:val="30"/>
          <w:highlight w:val="none"/>
        </w:rPr>
      </w:pPr>
      <w:r>
        <w:rPr>
          <w:rFonts w:ascii="宋体" w:hAnsi="宋体"/>
          <w:b/>
          <w:bCs/>
          <w:color w:val="auto"/>
          <w:sz w:val="30"/>
          <w:szCs w:val="30"/>
          <w:highlight w:val="none"/>
        </w:rPr>
        <w:t>目录</w:t>
      </w:r>
    </w:p>
    <w:p w14:paraId="6E087470">
      <w:pPr>
        <w:pStyle w:val="41"/>
        <w:tabs>
          <w:tab w:val="right" w:leader="dot" w:pos="8312"/>
        </w:tabs>
        <w:spacing w:line="480" w:lineRule="auto"/>
        <w:rPr>
          <w:color w:val="auto"/>
          <w:sz w:val="24"/>
          <w:szCs w:val="24"/>
          <w:highlight w:val="none"/>
        </w:rPr>
      </w:pPr>
      <w:r>
        <w:rPr>
          <w:rFonts w:ascii="宋体" w:hAnsi="宋体"/>
          <w:color w:val="auto"/>
          <w:sz w:val="21"/>
          <w:highlight w:val="none"/>
        </w:rPr>
        <w:fldChar w:fldCharType="begin"/>
      </w:r>
      <w:r>
        <w:rPr>
          <w:rFonts w:ascii="宋体" w:hAnsi="宋体"/>
          <w:color w:val="auto"/>
          <w:sz w:val="21"/>
          <w:highlight w:val="none"/>
        </w:rPr>
        <w:instrText xml:space="preserve">TOC \o "1-1" \h \u </w:instrText>
      </w:r>
      <w:r>
        <w:rPr>
          <w:rFonts w:ascii="宋体" w:hAnsi="宋体"/>
          <w:color w:val="auto"/>
          <w:sz w:val="21"/>
          <w:highlight w:val="none"/>
        </w:rPr>
        <w:fldChar w:fldCharType="separate"/>
      </w:r>
      <w:r>
        <w:rPr>
          <w:color w:val="auto"/>
          <w:highlight w:val="none"/>
        </w:rPr>
        <w:fldChar w:fldCharType="begin"/>
      </w:r>
      <w:r>
        <w:rPr>
          <w:color w:val="auto"/>
          <w:highlight w:val="none"/>
        </w:rPr>
        <w:instrText xml:space="preserve"> HYPERLINK \l "_Toc2366" </w:instrText>
      </w:r>
      <w:r>
        <w:rPr>
          <w:color w:val="auto"/>
          <w:highlight w:val="none"/>
        </w:rPr>
        <w:fldChar w:fldCharType="separate"/>
      </w:r>
      <w:r>
        <w:rPr>
          <w:rFonts w:hint="eastAsia" w:ascii="Times New Roman" w:hAnsi="Times New Roman" w:cs="Times New Roman"/>
          <w:color w:val="auto"/>
          <w:sz w:val="24"/>
          <w:szCs w:val="24"/>
          <w:highlight w:val="none"/>
        </w:rPr>
        <w:t xml:space="preserve">第一章 </w:t>
      </w:r>
      <w:r>
        <w:rPr>
          <w:rFonts w:ascii="Times New Roman" w:hAnsi="Times New Roman" w:cs="Times New Roman"/>
          <w:color w:val="auto"/>
          <w:sz w:val="24"/>
          <w:szCs w:val="24"/>
          <w:highlight w:val="none"/>
        </w:rPr>
        <w:t>采购公告</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_Toc2366 </w:instrText>
      </w:r>
      <w:r>
        <w:rPr>
          <w:color w:val="auto"/>
          <w:sz w:val="24"/>
          <w:szCs w:val="24"/>
          <w:highlight w:val="none"/>
        </w:rPr>
        <w:fldChar w:fldCharType="separate"/>
      </w:r>
      <w:r>
        <w:rPr>
          <w:color w:val="auto"/>
          <w:sz w:val="24"/>
          <w:szCs w:val="24"/>
          <w:highlight w:val="none"/>
        </w:rPr>
        <w:t>3</w:t>
      </w:r>
      <w:r>
        <w:rPr>
          <w:color w:val="auto"/>
          <w:sz w:val="24"/>
          <w:szCs w:val="24"/>
          <w:highlight w:val="none"/>
        </w:rPr>
        <w:fldChar w:fldCharType="end"/>
      </w:r>
      <w:r>
        <w:rPr>
          <w:color w:val="auto"/>
          <w:sz w:val="24"/>
          <w:szCs w:val="24"/>
          <w:highlight w:val="none"/>
        </w:rPr>
        <w:fldChar w:fldCharType="end"/>
      </w:r>
    </w:p>
    <w:p w14:paraId="78469C9F">
      <w:pPr>
        <w:pStyle w:val="41"/>
        <w:tabs>
          <w:tab w:val="right" w:leader="dot" w:pos="8312"/>
        </w:tabs>
        <w:spacing w:line="480" w:lineRule="auto"/>
        <w:rPr>
          <w:color w:val="auto"/>
          <w:sz w:val="24"/>
          <w:szCs w:val="24"/>
          <w:highlight w:val="none"/>
        </w:rPr>
      </w:pPr>
      <w:r>
        <w:rPr>
          <w:color w:val="auto"/>
          <w:highlight w:val="none"/>
        </w:rPr>
        <w:fldChar w:fldCharType="begin"/>
      </w:r>
      <w:r>
        <w:rPr>
          <w:color w:val="auto"/>
          <w:highlight w:val="none"/>
        </w:rPr>
        <w:instrText xml:space="preserve"> HYPERLINK \l "_Toc1629" </w:instrText>
      </w:r>
      <w:r>
        <w:rPr>
          <w:color w:val="auto"/>
          <w:highlight w:val="none"/>
        </w:rPr>
        <w:fldChar w:fldCharType="separate"/>
      </w:r>
      <w:r>
        <w:rPr>
          <w:rFonts w:hint="eastAsia" w:ascii="Times New Roman" w:hAnsi="Times New Roman" w:cs="Times New Roman"/>
          <w:color w:val="auto"/>
          <w:sz w:val="24"/>
          <w:szCs w:val="24"/>
          <w:highlight w:val="none"/>
        </w:rPr>
        <w:t xml:space="preserve">第二章 </w:t>
      </w:r>
      <w:r>
        <w:rPr>
          <w:rFonts w:ascii="Times New Roman" w:hAnsi="Times New Roman" w:cs="Times New Roman"/>
          <w:color w:val="auto"/>
          <w:sz w:val="24"/>
          <w:szCs w:val="24"/>
          <w:highlight w:val="none"/>
        </w:rPr>
        <w:t>供应商须知</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_Toc1629 </w:instrText>
      </w:r>
      <w:r>
        <w:rPr>
          <w:color w:val="auto"/>
          <w:sz w:val="24"/>
          <w:szCs w:val="24"/>
          <w:highlight w:val="none"/>
        </w:rPr>
        <w:fldChar w:fldCharType="separate"/>
      </w:r>
      <w:r>
        <w:rPr>
          <w:color w:val="auto"/>
          <w:sz w:val="24"/>
          <w:szCs w:val="24"/>
          <w:highlight w:val="none"/>
        </w:rPr>
        <w:t>6</w:t>
      </w:r>
      <w:r>
        <w:rPr>
          <w:color w:val="auto"/>
          <w:sz w:val="24"/>
          <w:szCs w:val="24"/>
          <w:highlight w:val="none"/>
        </w:rPr>
        <w:fldChar w:fldCharType="end"/>
      </w:r>
      <w:r>
        <w:rPr>
          <w:color w:val="auto"/>
          <w:sz w:val="24"/>
          <w:szCs w:val="24"/>
          <w:highlight w:val="none"/>
        </w:rPr>
        <w:fldChar w:fldCharType="end"/>
      </w:r>
    </w:p>
    <w:p w14:paraId="216E07AB">
      <w:pPr>
        <w:pStyle w:val="41"/>
        <w:tabs>
          <w:tab w:val="right" w:leader="dot" w:pos="8312"/>
        </w:tabs>
        <w:spacing w:line="480" w:lineRule="auto"/>
        <w:rPr>
          <w:color w:val="auto"/>
          <w:sz w:val="24"/>
          <w:szCs w:val="24"/>
          <w:highlight w:val="none"/>
        </w:rPr>
      </w:pPr>
      <w:r>
        <w:rPr>
          <w:color w:val="auto"/>
          <w:highlight w:val="none"/>
        </w:rPr>
        <w:fldChar w:fldCharType="begin"/>
      </w:r>
      <w:r>
        <w:rPr>
          <w:color w:val="auto"/>
          <w:highlight w:val="none"/>
        </w:rPr>
        <w:instrText xml:space="preserve"> HYPERLINK \l "_Toc667" </w:instrText>
      </w:r>
      <w:r>
        <w:rPr>
          <w:color w:val="auto"/>
          <w:highlight w:val="none"/>
        </w:rPr>
        <w:fldChar w:fldCharType="separate"/>
      </w:r>
      <w:r>
        <w:rPr>
          <w:rFonts w:hint="eastAsia" w:ascii="Times New Roman" w:hAnsi="Times New Roman" w:cs="Times New Roman"/>
          <w:color w:val="auto"/>
          <w:sz w:val="24"/>
          <w:szCs w:val="24"/>
          <w:highlight w:val="none"/>
        </w:rPr>
        <w:t xml:space="preserve">第三章 </w:t>
      </w:r>
      <w:r>
        <w:rPr>
          <w:rFonts w:ascii="Times New Roman" w:hAnsi="Times New Roman" w:cs="Times New Roman"/>
          <w:color w:val="auto"/>
          <w:sz w:val="24"/>
          <w:szCs w:val="24"/>
          <w:highlight w:val="none"/>
        </w:rPr>
        <w:t>评审办法</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_Toc667 </w:instrText>
      </w:r>
      <w:r>
        <w:rPr>
          <w:color w:val="auto"/>
          <w:sz w:val="24"/>
          <w:szCs w:val="24"/>
          <w:highlight w:val="none"/>
        </w:rPr>
        <w:fldChar w:fldCharType="separate"/>
      </w:r>
      <w:r>
        <w:rPr>
          <w:color w:val="auto"/>
          <w:sz w:val="24"/>
          <w:szCs w:val="24"/>
          <w:highlight w:val="none"/>
        </w:rPr>
        <w:t>12</w:t>
      </w:r>
      <w:r>
        <w:rPr>
          <w:color w:val="auto"/>
          <w:sz w:val="24"/>
          <w:szCs w:val="24"/>
          <w:highlight w:val="none"/>
        </w:rPr>
        <w:fldChar w:fldCharType="end"/>
      </w:r>
      <w:r>
        <w:rPr>
          <w:color w:val="auto"/>
          <w:sz w:val="24"/>
          <w:szCs w:val="24"/>
          <w:highlight w:val="none"/>
        </w:rPr>
        <w:fldChar w:fldCharType="end"/>
      </w:r>
    </w:p>
    <w:p w14:paraId="58C7DBF5">
      <w:pPr>
        <w:pStyle w:val="41"/>
        <w:tabs>
          <w:tab w:val="right" w:leader="dot" w:pos="8312"/>
        </w:tabs>
        <w:spacing w:line="480" w:lineRule="auto"/>
        <w:rPr>
          <w:color w:val="auto"/>
          <w:sz w:val="24"/>
          <w:szCs w:val="24"/>
          <w:highlight w:val="none"/>
        </w:rPr>
      </w:pPr>
      <w:r>
        <w:rPr>
          <w:color w:val="auto"/>
          <w:highlight w:val="none"/>
        </w:rPr>
        <w:fldChar w:fldCharType="begin"/>
      </w:r>
      <w:r>
        <w:rPr>
          <w:color w:val="auto"/>
          <w:highlight w:val="none"/>
        </w:rPr>
        <w:instrText xml:space="preserve"> HYPERLINK \l "_Toc27009" </w:instrText>
      </w:r>
      <w:r>
        <w:rPr>
          <w:color w:val="auto"/>
          <w:highlight w:val="none"/>
        </w:rPr>
        <w:fldChar w:fldCharType="separate"/>
      </w:r>
      <w:r>
        <w:rPr>
          <w:rFonts w:hint="eastAsia" w:ascii="Times New Roman" w:hAnsi="Times New Roman" w:cs="Times New Roman"/>
          <w:color w:val="auto"/>
          <w:sz w:val="24"/>
          <w:szCs w:val="24"/>
          <w:highlight w:val="none"/>
        </w:rPr>
        <w:t xml:space="preserve">第四章 </w:t>
      </w:r>
      <w:r>
        <w:rPr>
          <w:rFonts w:ascii="Times New Roman" w:hAnsi="Times New Roman" w:cs="Times New Roman"/>
          <w:color w:val="auto"/>
          <w:sz w:val="24"/>
          <w:szCs w:val="24"/>
          <w:highlight w:val="none"/>
        </w:rPr>
        <w:t>合同内容</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_Toc27009 </w:instrText>
      </w:r>
      <w:r>
        <w:rPr>
          <w:color w:val="auto"/>
          <w:sz w:val="24"/>
          <w:szCs w:val="24"/>
          <w:highlight w:val="none"/>
        </w:rPr>
        <w:fldChar w:fldCharType="separate"/>
      </w:r>
      <w:r>
        <w:rPr>
          <w:color w:val="auto"/>
          <w:sz w:val="24"/>
          <w:szCs w:val="24"/>
          <w:highlight w:val="none"/>
        </w:rPr>
        <w:t>18</w:t>
      </w:r>
      <w:r>
        <w:rPr>
          <w:color w:val="auto"/>
          <w:sz w:val="24"/>
          <w:szCs w:val="24"/>
          <w:highlight w:val="none"/>
        </w:rPr>
        <w:fldChar w:fldCharType="end"/>
      </w:r>
      <w:r>
        <w:rPr>
          <w:color w:val="auto"/>
          <w:sz w:val="24"/>
          <w:szCs w:val="24"/>
          <w:highlight w:val="none"/>
        </w:rPr>
        <w:fldChar w:fldCharType="end"/>
      </w:r>
    </w:p>
    <w:p w14:paraId="067B03D3">
      <w:pPr>
        <w:pStyle w:val="41"/>
        <w:tabs>
          <w:tab w:val="right" w:leader="dot" w:pos="8312"/>
        </w:tabs>
        <w:spacing w:line="480" w:lineRule="auto"/>
        <w:rPr>
          <w:color w:val="auto"/>
          <w:highlight w:val="none"/>
        </w:rPr>
      </w:pPr>
      <w:r>
        <w:rPr>
          <w:color w:val="auto"/>
          <w:highlight w:val="none"/>
        </w:rPr>
        <w:fldChar w:fldCharType="begin"/>
      </w:r>
      <w:r>
        <w:rPr>
          <w:color w:val="auto"/>
          <w:highlight w:val="none"/>
        </w:rPr>
        <w:instrText xml:space="preserve"> HYPERLINK \l "_Toc3007" </w:instrText>
      </w:r>
      <w:r>
        <w:rPr>
          <w:color w:val="auto"/>
          <w:highlight w:val="none"/>
        </w:rPr>
        <w:fldChar w:fldCharType="separate"/>
      </w:r>
      <w:r>
        <w:rPr>
          <w:rFonts w:hint="eastAsia" w:ascii="Times New Roman" w:hAnsi="Times New Roman" w:cs="Times New Roman"/>
          <w:color w:val="auto"/>
          <w:sz w:val="24"/>
          <w:szCs w:val="24"/>
          <w:highlight w:val="none"/>
        </w:rPr>
        <w:t xml:space="preserve">第五章 </w:t>
      </w:r>
      <w:r>
        <w:rPr>
          <w:rFonts w:ascii="Times New Roman" w:hAnsi="Times New Roman" w:cs="Times New Roman"/>
          <w:color w:val="auto"/>
          <w:sz w:val="24"/>
          <w:szCs w:val="24"/>
          <w:highlight w:val="none"/>
        </w:rPr>
        <w:t>响应文件格式</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_Toc3007 </w:instrText>
      </w:r>
      <w:r>
        <w:rPr>
          <w:color w:val="auto"/>
          <w:sz w:val="24"/>
          <w:szCs w:val="24"/>
          <w:highlight w:val="none"/>
        </w:rPr>
        <w:fldChar w:fldCharType="separate"/>
      </w:r>
      <w:r>
        <w:rPr>
          <w:color w:val="auto"/>
          <w:sz w:val="24"/>
          <w:szCs w:val="24"/>
          <w:highlight w:val="none"/>
        </w:rPr>
        <w:t>24</w:t>
      </w:r>
      <w:r>
        <w:rPr>
          <w:color w:val="auto"/>
          <w:sz w:val="24"/>
          <w:szCs w:val="24"/>
          <w:highlight w:val="none"/>
        </w:rPr>
        <w:fldChar w:fldCharType="end"/>
      </w:r>
      <w:r>
        <w:rPr>
          <w:color w:val="auto"/>
          <w:sz w:val="24"/>
          <w:szCs w:val="24"/>
          <w:highlight w:val="none"/>
        </w:rPr>
        <w:fldChar w:fldCharType="end"/>
      </w:r>
    </w:p>
    <w:p w14:paraId="5CA1E30D">
      <w:pPr>
        <w:jc w:val="center"/>
        <w:rPr>
          <w:rFonts w:ascii="宋体" w:hAnsi="宋体"/>
          <w:color w:val="auto"/>
          <w:highlight w:val="none"/>
        </w:rPr>
      </w:pPr>
      <w:r>
        <w:rPr>
          <w:rFonts w:ascii="宋体" w:hAnsi="宋体"/>
          <w:color w:val="auto"/>
          <w:highlight w:val="none"/>
        </w:rPr>
        <w:fldChar w:fldCharType="end"/>
      </w:r>
    </w:p>
    <w:p w14:paraId="13D1000A">
      <w:pPr>
        <w:jc w:val="center"/>
        <w:rPr>
          <w:rFonts w:ascii="宋体" w:hAnsi="宋体"/>
          <w:color w:val="auto"/>
          <w:highlight w:val="none"/>
        </w:rPr>
      </w:pPr>
    </w:p>
    <w:p w14:paraId="7C80C01C">
      <w:pPr>
        <w:jc w:val="center"/>
        <w:rPr>
          <w:rFonts w:ascii="宋体" w:hAnsi="宋体"/>
          <w:color w:val="auto"/>
          <w:highlight w:val="none"/>
        </w:rPr>
      </w:pPr>
    </w:p>
    <w:p w14:paraId="7165AD6C">
      <w:pPr>
        <w:rPr>
          <w:rFonts w:ascii="Times New Roman" w:hAnsi="Times New Roman" w:cs="Times New Roman"/>
          <w:color w:val="auto"/>
          <w:highlight w:val="none"/>
        </w:rPr>
      </w:pPr>
      <w:r>
        <w:rPr>
          <w:rFonts w:ascii="Times New Roman" w:hAnsi="Times New Roman" w:cs="Times New Roman"/>
          <w:color w:val="auto"/>
          <w:highlight w:val="none"/>
        </w:rPr>
        <w:br w:type="page"/>
      </w:r>
    </w:p>
    <w:p w14:paraId="50FAB0E7">
      <w:pPr>
        <w:pStyle w:val="6"/>
        <w:numPr>
          <w:ilvl w:val="0"/>
          <w:numId w:val="0"/>
        </w:numPr>
        <w:spacing w:beforeLines="0" w:afterLines="0" w:line="400" w:lineRule="exact"/>
        <w:rPr>
          <w:rFonts w:ascii="Times New Roman" w:hAnsi="Times New Roman" w:eastAsia="宋体" w:cs="Times New Roman"/>
          <w:color w:val="auto"/>
          <w:highlight w:val="none"/>
        </w:rPr>
      </w:pPr>
      <w:bookmarkStart w:id="0" w:name="_Toc2366"/>
      <w:r>
        <w:rPr>
          <w:rFonts w:hint="eastAsia" w:ascii="Times New Roman" w:hAnsi="Times New Roman" w:eastAsia="宋体" w:cs="Times New Roman"/>
          <w:color w:val="auto"/>
          <w:highlight w:val="none"/>
        </w:rPr>
        <w:t xml:space="preserve">第一章 </w:t>
      </w:r>
      <w:r>
        <w:rPr>
          <w:rFonts w:ascii="Times New Roman" w:hAnsi="Times New Roman" w:eastAsia="宋体" w:cs="Times New Roman"/>
          <w:color w:val="auto"/>
          <w:highlight w:val="none"/>
        </w:rPr>
        <w:t>采购公告</w:t>
      </w:r>
      <w:bookmarkEnd w:id="0"/>
    </w:p>
    <w:p w14:paraId="6372B8FC">
      <w:pPr>
        <w:pStyle w:val="7"/>
        <w:numPr>
          <w:ilvl w:val="0"/>
          <w:numId w:val="0"/>
        </w:numPr>
        <w:snapToGrid w:val="0"/>
        <w:spacing w:line="360" w:lineRule="auto"/>
        <w:ind w:left="210"/>
        <w:rPr>
          <w:rFonts w:ascii="Times New Roman" w:hAnsi="Times New Roman" w:eastAsia="黑体" w:cs="Times New Roman"/>
          <w:bCs w:val="0"/>
          <w:color w:val="auto"/>
          <w:sz w:val="24"/>
          <w:szCs w:val="24"/>
          <w:highlight w:val="none"/>
        </w:rPr>
      </w:pPr>
      <w:bookmarkStart w:id="1" w:name="_Toc525632585"/>
      <w:bookmarkStart w:id="2" w:name="_Toc10395_WPSOffice_Level2"/>
      <w:bookmarkStart w:id="3" w:name="_Toc13871"/>
      <w:bookmarkStart w:id="4" w:name="_Toc24354_WPSOffice_Level2"/>
      <w:bookmarkStart w:id="5" w:name="_Toc12765"/>
      <w:bookmarkStart w:id="6" w:name="_Toc6496_WPSOffice_Level2"/>
      <w:bookmarkStart w:id="7" w:name="_Toc4489_WPSOffice_Level2"/>
      <w:r>
        <w:rPr>
          <w:rFonts w:hint="eastAsia" w:ascii="Times New Roman" w:hAnsi="Times New Roman" w:eastAsia="黑体" w:cs="Times New Roman"/>
          <w:bCs w:val="0"/>
          <w:color w:val="auto"/>
          <w:sz w:val="24"/>
          <w:szCs w:val="24"/>
          <w:highlight w:val="none"/>
        </w:rPr>
        <w:t>1.</w:t>
      </w:r>
      <w:r>
        <w:rPr>
          <w:rFonts w:ascii="Times New Roman" w:hAnsi="Times New Roman" w:eastAsia="黑体" w:cs="Times New Roman"/>
          <w:bCs w:val="0"/>
          <w:color w:val="auto"/>
          <w:sz w:val="24"/>
          <w:szCs w:val="24"/>
          <w:highlight w:val="none"/>
        </w:rPr>
        <w:t>项目简介</w:t>
      </w:r>
      <w:bookmarkEnd w:id="1"/>
      <w:bookmarkEnd w:id="2"/>
      <w:bookmarkEnd w:id="3"/>
      <w:bookmarkEnd w:id="4"/>
      <w:bookmarkEnd w:id="5"/>
      <w:bookmarkEnd w:id="6"/>
      <w:bookmarkEnd w:id="7"/>
    </w:p>
    <w:p w14:paraId="760A3A3C">
      <w:pPr>
        <w:snapToGrid w:val="0"/>
        <w:spacing w:line="360" w:lineRule="auto"/>
        <w:ind w:firstLine="480" w:firstLineChars="200"/>
        <w:rPr>
          <w:rFonts w:hint="eastAsia" w:ascii="Times New Roman" w:hAnsi="Times New Roman" w:eastAsia="宋体" w:cs="Times New Roman"/>
          <w:color w:val="auto"/>
          <w:sz w:val="24"/>
          <w:highlight w:val="none"/>
          <w:u w:val="single"/>
          <w:lang w:eastAsia="zh-CN"/>
        </w:rPr>
      </w:pPr>
      <w:r>
        <w:rPr>
          <w:rFonts w:hint="eastAsia" w:ascii="Times New Roman" w:hAnsi="Times New Roman" w:cs="Times New Roman"/>
          <w:color w:val="auto"/>
          <w:sz w:val="24"/>
          <w:highlight w:val="none"/>
        </w:rPr>
        <w:t>1.1</w:t>
      </w:r>
      <w:r>
        <w:rPr>
          <w:rFonts w:ascii="Times New Roman" w:hAnsi="Times New Roman" w:cs="Times New Roman"/>
          <w:color w:val="auto"/>
          <w:sz w:val="24"/>
          <w:highlight w:val="none"/>
        </w:rPr>
        <w:t>项目名称：</w:t>
      </w:r>
      <w:r>
        <w:rPr>
          <w:rFonts w:hint="eastAsia" w:ascii="Times New Roman" w:hAnsi="Times New Roman" w:cs="Times New Roman"/>
          <w:color w:val="auto"/>
          <w:sz w:val="24"/>
          <w:highlight w:val="none"/>
          <w:u w:val="single"/>
          <w:lang w:eastAsia="zh-CN"/>
        </w:rPr>
        <w:t>全椒经纬壹品、朔湖东苑及瑞俪花都项目投资后评价服务</w:t>
      </w:r>
    </w:p>
    <w:p w14:paraId="4024A256">
      <w:pPr>
        <w:snapToGrid w:val="0"/>
        <w:spacing w:line="360" w:lineRule="auto"/>
        <w:ind w:firstLine="480" w:firstLineChars="200"/>
        <w:rPr>
          <w:rFonts w:ascii="Times New Roman" w:hAnsi="Times New Roman" w:cs="Times New Roman"/>
          <w:color w:val="auto"/>
          <w:sz w:val="24"/>
          <w:highlight w:val="none"/>
        </w:rPr>
      </w:pPr>
      <w:r>
        <w:rPr>
          <w:rFonts w:ascii="Times New Roman" w:hAnsi="Times New Roman" w:cs="Times New Roman"/>
          <w:color w:val="auto"/>
          <w:sz w:val="24"/>
          <w:highlight w:val="none"/>
        </w:rPr>
        <w:t>1.2 采 购 人：</w:t>
      </w:r>
      <w:r>
        <w:rPr>
          <w:rFonts w:hint="eastAsia" w:ascii="Times New Roman" w:hAnsi="Times New Roman" w:cs="Times New Roman"/>
          <w:color w:val="auto"/>
          <w:sz w:val="24"/>
          <w:highlight w:val="none"/>
          <w:u w:val="single"/>
        </w:rPr>
        <w:t>安徽交控建设工程集团有限公司</w:t>
      </w:r>
    </w:p>
    <w:p w14:paraId="7EBCC3CB">
      <w:pPr>
        <w:snapToGrid w:val="0"/>
        <w:spacing w:line="360" w:lineRule="auto"/>
        <w:ind w:firstLine="480" w:firstLineChars="200"/>
        <w:rPr>
          <w:rFonts w:ascii="Times New Roman" w:hAnsi="Times New Roman" w:cs="Times New Roman"/>
          <w:color w:val="auto"/>
          <w:sz w:val="24"/>
          <w:highlight w:val="none"/>
        </w:rPr>
      </w:pPr>
      <w:r>
        <w:rPr>
          <w:rFonts w:hint="eastAsia" w:ascii="Times New Roman" w:hAnsi="Times New Roman" w:cs="Times New Roman"/>
          <w:color w:val="auto"/>
          <w:sz w:val="24"/>
          <w:highlight w:val="none"/>
        </w:rPr>
        <w:t>1.</w:t>
      </w:r>
      <w:r>
        <w:rPr>
          <w:rFonts w:hint="eastAsia" w:ascii="Times New Roman" w:hAnsi="Times New Roman" w:cs="Times New Roman"/>
          <w:color w:val="auto"/>
          <w:sz w:val="24"/>
          <w:highlight w:val="none"/>
          <w:lang w:val="en-US" w:eastAsia="zh-CN"/>
        </w:rPr>
        <w:t>3</w:t>
      </w:r>
      <w:r>
        <w:rPr>
          <w:rFonts w:ascii="Times New Roman" w:hAnsi="Times New Roman" w:cs="Times New Roman"/>
          <w:color w:val="auto"/>
          <w:sz w:val="24"/>
          <w:highlight w:val="none"/>
        </w:rPr>
        <w:t>项目概况：</w:t>
      </w:r>
    </w:p>
    <w:p w14:paraId="6C569EB3">
      <w:pPr>
        <w:snapToGrid w:val="0"/>
        <w:spacing w:line="360" w:lineRule="auto"/>
        <w:ind w:firstLine="480" w:firstLineChars="200"/>
        <w:rPr>
          <w:rFonts w:hint="eastAsia" w:ascii="Times New Roman" w:hAnsi="Times New Roman" w:cs="Times New Roman"/>
          <w:color w:val="auto"/>
          <w:sz w:val="24"/>
          <w:highlight w:val="none"/>
          <w:lang w:val="en-US" w:eastAsia="zh-CN"/>
        </w:rPr>
      </w:pPr>
      <w:bookmarkStart w:id="8" w:name="_Toc4489_WPSOffice_Level3"/>
      <w:r>
        <w:rPr>
          <w:rFonts w:hint="eastAsia" w:ascii="Times New Roman" w:hAnsi="Times New Roman" w:cs="Times New Roman"/>
          <w:color w:val="auto"/>
          <w:sz w:val="24"/>
          <w:highlight w:val="none"/>
          <w:lang w:val="en-US" w:eastAsia="zh-CN"/>
        </w:rPr>
        <w:t>（一）全椒经纬壹品项目。商品房开发项目，项目位于全椒站前路与南三路交口。项目总投资约4.6亿元，总占地面积76.36亩, 规划总建筑面积14.51万平米,计容面积12.6万平米,容积率2.48,绿化率35%。其中地上建筑面积12.71万㎡，地下建筑面积1.62万㎡，由18幢栋高层、小高层、多层、低层商业组成。项目分二期开发建设，其中：一期项目于2015年10月竣工交付；二期项目于2019年 6月竣工交付。规划建设有6栋多层、1栋2层、5栋18层、1栋11层、2栋26层、1栋30层和2栋33层建筑。项目共有住宅总计1114户,商业总计66间。项目于2013年9月拿地，2014年5月开工建设，2014年9月首次开盘。</w:t>
      </w:r>
    </w:p>
    <w:p w14:paraId="0801B810">
      <w:pPr>
        <w:snapToGrid w:val="0"/>
        <w:spacing w:line="360" w:lineRule="auto"/>
        <w:ind w:firstLine="480" w:firstLineChars="200"/>
        <w:rPr>
          <w:rFonts w:hint="default" w:ascii="Times New Roman" w:hAnsi="Times New Roman" w:cs="Times New Roman"/>
          <w:color w:val="auto"/>
          <w:sz w:val="24"/>
          <w:highlight w:val="none"/>
          <w:lang w:val="en-US" w:eastAsia="zh-CN"/>
        </w:rPr>
      </w:pPr>
      <w:r>
        <w:rPr>
          <w:rFonts w:hint="eastAsia" w:ascii="Times New Roman" w:hAnsi="Times New Roman" w:cs="Times New Roman"/>
          <w:color w:val="auto"/>
          <w:sz w:val="24"/>
          <w:highlight w:val="none"/>
          <w:lang w:val="en-US" w:eastAsia="zh-CN"/>
        </w:rPr>
        <w:t>（二）淮北朔湖东苑项目。政府安置房项目，项目位于淮北市杜集区朔里镇东方朔大道与同道路交口东南角。项目总投资4.9亿元，项目总占地面积138.70亩，总建筑面积约17.83万㎡，容积率1.595，绿化率35%，项目分一期开发建设，项目于2021年12月竣工交付，规划建设有4栋11层小高层住宅，5栋15层高层住宅，1栋16层高层住宅，9栋17层高层住宅，1栋幼儿园，1栋配套用房。项目共有住宅488户，机动车车位1293个。项目于2018年8月拿地，2019年5月开工建设，2021年12月交付。</w:t>
      </w:r>
    </w:p>
    <w:p w14:paraId="3222DEF7">
      <w:pPr>
        <w:snapToGrid w:val="0"/>
        <w:spacing w:line="360" w:lineRule="auto"/>
        <w:ind w:firstLine="480" w:firstLineChars="200"/>
        <w:rPr>
          <w:rFonts w:hint="eastAsia" w:ascii="Times New Roman" w:hAnsi="Times New Roman" w:cs="Times New Roman"/>
          <w:color w:val="auto"/>
          <w:sz w:val="24"/>
          <w:highlight w:val="none"/>
          <w:lang w:val="en-US" w:eastAsia="zh-CN"/>
        </w:rPr>
      </w:pPr>
      <w:r>
        <w:rPr>
          <w:rFonts w:hint="eastAsia" w:ascii="Times New Roman" w:hAnsi="Times New Roman" w:cs="Times New Roman"/>
          <w:color w:val="auto"/>
          <w:sz w:val="24"/>
          <w:highlight w:val="none"/>
          <w:lang w:val="en-US" w:eastAsia="zh-CN"/>
        </w:rPr>
        <w:t>（三）淮北瑞俪花都项目。政府安置房项目，项目位于淮北市杜集区段园镇袁庄村萧县外环路东侧。项目总投资2.12亿元，项目总占地面积49.54亩，总建筑面积约7.15万㎡，容积率1.799，绿化率35%，项目分一期开发建设，项目于2021年1月竣工交付，规划建设有2栋16层高层住宅，5栋18层高层住宅，1栋幼儿园，1栋配套用房。项目共有住宅488户，机动车车位558个。项目于2020年6月拿地，2021年2月开工建设，2023年1月交付。</w:t>
      </w:r>
    </w:p>
    <w:p w14:paraId="738BC213">
      <w:pPr>
        <w:snapToGrid w:val="0"/>
        <w:spacing w:line="360" w:lineRule="auto"/>
        <w:rPr>
          <w:rFonts w:ascii="Times New Roman" w:hAnsi="Times New Roman" w:eastAsia="黑体" w:cs="Times New Roman"/>
          <w:bCs w:val="0"/>
          <w:color w:val="auto"/>
          <w:sz w:val="24"/>
          <w:szCs w:val="24"/>
          <w:highlight w:val="none"/>
        </w:rPr>
      </w:pPr>
      <w:r>
        <w:rPr>
          <w:rFonts w:hint="eastAsia" w:ascii="Times New Roman" w:hAnsi="Times New Roman" w:eastAsia="黑体" w:cs="Times New Roman"/>
          <w:b/>
          <w:bCs w:val="0"/>
          <w:color w:val="auto"/>
          <w:kern w:val="2"/>
          <w:sz w:val="24"/>
          <w:szCs w:val="24"/>
          <w:highlight w:val="none"/>
          <w:lang w:val="en-US" w:eastAsia="zh-CN" w:bidi="ar-SA"/>
        </w:rPr>
        <w:t>2.采购说明</w:t>
      </w:r>
    </w:p>
    <w:p w14:paraId="2D23B517">
      <w:pPr>
        <w:snapToGrid w:val="0"/>
        <w:spacing w:line="360" w:lineRule="auto"/>
        <w:ind w:firstLine="480" w:firstLineChars="200"/>
        <w:rPr>
          <w:rFonts w:ascii="Times New Roman" w:hAnsi="Times New Roman" w:cs="Times New Roman"/>
          <w:color w:val="auto"/>
          <w:sz w:val="24"/>
          <w:highlight w:val="none"/>
          <w:u w:val="single"/>
        </w:rPr>
      </w:pPr>
      <w:r>
        <w:rPr>
          <w:rFonts w:ascii="Times New Roman" w:hAnsi="Times New Roman" w:cs="Times New Roman"/>
          <w:color w:val="auto"/>
          <w:sz w:val="24"/>
          <w:highlight w:val="none"/>
        </w:rPr>
        <w:t>2.1 采购方式：</w:t>
      </w:r>
      <w:bookmarkEnd w:id="8"/>
      <w:r>
        <w:rPr>
          <w:rFonts w:ascii="Times New Roman" w:hAnsi="Times New Roman" w:cs="Times New Roman"/>
          <w:color w:val="auto"/>
          <w:sz w:val="24"/>
          <w:highlight w:val="none"/>
          <w:u w:val="single"/>
        </w:rPr>
        <w:t>公开询比采购</w:t>
      </w:r>
    </w:p>
    <w:p w14:paraId="75CDC9BA">
      <w:pPr>
        <w:snapToGrid w:val="0"/>
        <w:spacing w:line="360" w:lineRule="auto"/>
        <w:ind w:firstLine="480" w:firstLineChars="200"/>
        <w:rPr>
          <w:rFonts w:ascii="Times New Roman" w:hAnsi="Times New Roman" w:cs="Times New Roman"/>
          <w:color w:val="auto"/>
          <w:sz w:val="24"/>
          <w:highlight w:val="none"/>
          <w:u w:val="single"/>
        </w:rPr>
      </w:pPr>
      <w:bookmarkStart w:id="9" w:name="_Toc23266_WPSOffice_Level3"/>
      <w:r>
        <w:rPr>
          <w:rFonts w:ascii="Times New Roman" w:hAnsi="Times New Roman" w:cs="Times New Roman"/>
          <w:color w:val="auto"/>
          <w:sz w:val="24"/>
          <w:highlight w:val="none"/>
        </w:rPr>
        <w:t>2.2 资金来源及比例：</w:t>
      </w:r>
      <w:bookmarkEnd w:id="9"/>
      <w:bookmarkStart w:id="10" w:name="_Toc22379_WPSOffice_Level3"/>
      <w:r>
        <w:rPr>
          <w:rFonts w:ascii="Times New Roman" w:hAnsi="Times New Roman" w:cs="Times New Roman"/>
          <w:color w:val="auto"/>
          <w:sz w:val="24"/>
          <w:highlight w:val="none"/>
          <w:u w:val="single"/>
        </w:rPr>
        <w:t>企业自筹</w:t>
      </w:r>
    </w:p>
    <w:p w14:paraId="427C6880">
      <w:pPr>
        <w:snapToGrid w:val="0"/>
        <w:spacing w:line="360" w:lineRule="auto"/>
        <w:ind w:firstLine="480" w:firstLineChars="200"/>
        <w:rPr>
          <w:rFonts w:hint="eastAsia" w:ascii="Times New Roman" w:hAnsi="Times New Roman" w:cs="Times New Roman"/>
          <w:color w:val="auto"/>
          <w:sz w:val="24"/>
          <w:highlight w:val="none"/>
        </w:rPr>
      </w:pPr>
      <w:r>
        <w:rPr>
          <w:rFonts w:ascii="Times New Roman" w:hAnsi="Times New Roman" w:cs="Times New Roman"/>
          <w:color w:val="auto"/>
          <w:sz w:val="24"/>
          <w:highlight w:val="none"/>
        </w:rPr>
        <w:t xml:space="preserve">2.3 </w:t>
      </w:r>
      <w:r>
        <w:rPr>
          <w:rFonts w:hint="eastAsia" w:ascii="Times New Roman" w:hAnsi="Times New Roman" w:cs="Times New Roman"/>
          <w:color w:val="auto"/>
          <w:sz w:val="24"/>
          <w:highlight w:val="none"/>
        </w:rPr>
        <w:t>采购范围：全椒经纬壹品、朔湖东苑及瑞俪花都项目投资后评价服务</w:t>
      </w:r>
    </w:p>
    <w:p w14:paraId="057BC0B8">
      <w:pPr>
        <w:snapToGrid w:val="0"/>
        <w:spacing w:line="360" w:lineRule="auto"/>
        <w:ind w:firstLine="480" w:firstLineChars="200"/>
        <w:rPr>
          <w:rFonts w:ascii="宋体" w:hAnsi="宋体" w:cs="宋体"/>
          <w:color w:val="auto"/>
          <w:sz w:val="24"/>
          <w:highlight w:val="none"/>
        </w:rPr>
      </w:pPr>
      <w:r>
        <w:rPr>
          <w:rFonts w:hint="eastAsia" w:ascii="Times New Roman" w:hAnsi="Times New Roman" w:cs="Times New Roman"/>
          <w:color w:val="auto"/>
          <w:sz w:val="24"/>
          <w:highlight w:val="none"/>
        </w:rPr>
        <w:t>根据《安徽省省属企业投资后评价工作指引（试行）》、安徽交控集团《投资项目后评价管理办法》的要求，开展独立、客观、公正的评价工作并出具评价报告</w:t>
      </w:r>
      <w:r>
        <w:rPr>
          <w:rFonts w:hint="eastAsia" w:ascii="宋体" w:hAnsi="宋体" w:cs="宋体"/>
          <w:color w:val="auto"/>
          <w:sz w:val="24"/>
          <w:highlight w:val="none"/>
        </w:rPr>
        <w:t>。</w:t>
      </w:r>
    </w:p>
    <w:p w14:paraId="2ABA17F9">
      <w:pPr>
        <w:snapToGrid w:val="0"/>
        <w:spacing w:line="360" w:lineRule="auto"/>
        <w:ind w:firstLine="480" w:firstLineChars="200"/>
        <w:rPr>
          <w:rFonts w:hint="eastAsia" w:ascii="Times New Roman" w:hAnsi="Times New Roman" w:eastAsia="宋体" w:cs="Times New Roman"/>
          <w:color w:val="auto"/>
          <w:sz w:val="24"/>
          <w:highlight w:val="none"/>
          <w:u w:val="single"/>
          <w:lang w:val="en-US" w:eastAsia="zh-CN"/>
        </w:rPr>
      </w:pPr>
      <w:r>
        <w:rPr>
          <w:rFonts w:hint="eastAsia" w:ascii="Times New Roman" w:hAnsi="Times New Roman" w:cs="Times New Roman"/>
          <w:color w:val="auto"/>
          <w:sz w:val="24"/>
          <w:highlight w:val="none"/>
        </w:rPr>
        <w:t xml:space="preserve">2.4 </w:t>
      </w:r>
      <w:r>
        <w:rPr>
          <w:rFonts w:ascii="Times New Roman" w:hAnsi="Times New Roman" w:cs="Times New Roman"/>
          <w:color w:val="auto"/>
          <w:sz w:val="24"/>
          <w:highlight w:val="none"/>
        </w:rPr>
        <w:t>合同包划分：</w:t>
      </w:r>
      <w:r>
        <w:rPr>
          <w:rFonts w:hint="eastAsia" w:ascii="Times New Roman" w:hAnsi="Times New Roman" w:cs="Times New Roman"/>
          <w:color w:val="auto"/>
          <w:sz w:val="24"/>
          <w:highlight w:val="none"/>
          <w:u w:val="single"/>
        </w:rPr>
        <w:t>共</w:t>
      </w:r>
      <w:r>
        <w:rPr>
          <w:rFonts w:hint="eastAsia" w:ascii="Times New Roman" w:hAnsi="Times New Roman" w:cs="Times New Roman"/>
          <w:color w:val="auto"/>
          <w:sz w:val="24"/>
          <w:highlight w:val="none"/>
          <w:u w:val="single"/>
          <w:lang w:val="en-US" w:eastAsia="zh-CN"/>
        </w:rPr>
        <w:t>1</w:t>
      </w:r>
      <w:r>
        <w:rPr>
          <w:rFonts w:hint="eastAsia" w:ascii="Times New Roman" w:hAnsi="Times New Roman" w:cs="Times New Roman"/>
          <w:color w:val="auto"/>
          <w:sz w:val="24"/>
          <w:highlight w:val="none"/>
          <w:u w:val="single"/>
        </w:rPr>
        <w:t>个标段。</w:t>
      </w:r>
      <w:r>
        <w:rPr>
          <w:rFonts w:hint="eastAsia" w:ascii="Times New Roman" w:hAnsi="Times New Roman" w:cs="Times New Roman"/>
          <w:color w:val="auto"/>
          <w:sz w:val="24"/>
          <w:highlight w:val="none"/>
          <w:u w:val="single"/>
          <w:lang w:val="en-US" w:eastAsia="zh-CN"/>
        </w:rPr>
        <w:t xml:space="preserve"> </w:t>
      </w:r>
    </w:p>
    <w:p w14:paraId="3F84B31F">
      <w:pPr>
        <w:snapToGrid w:val="0"/>
        <w:spacing w:line="360" w:lineRule="auto"/>
        <w:ind w:firstLine="480" w:firstLineChars="200"/>
        <w:rPr>
          <w:rFonts w:hint="default" w:ascii="Times New Roman" w:hAnsi="Times New Roman" w:eastAsia="宋体" w:cs="Times New Roman"/>
          <w:color w:val="auto"/>
          <w:sz w:val="24"/>
          <w:highlight w:val="none"/>
          <w:lang w:val="en-US" w:eastAsia="zh-CN"/>
        </w:rPr>
      </w:pPr>
      <w:r>
        <w:rPr>
          <w:rFonts w:ascii="Times New Roman" w:hAnsi="Times New Roman" w:cs="Times New Roman"/>
          <w:color w:val="auto"/>
          <w:sz w:val="24"/>
          <w:highlight w:val="none"/>
        </w:rPr>
        <w:t>2.</w:t>
      </w:r>
      <w:r>
        <w:rPr>
          <w:rFonts w:hint="eastAsia" w:ascii="Times New Roman" w:hAnsi="Times New Roman" w:cs="Times New Roman"/>
          <w:color w:val="auto"/>
          <w:sz w:val="24"/>
          <w:highlight w:val="none"/>
        </w:rPr>
        <w:t>5</w:t>
      </w:r>
      <w:r>
        <w:rPr>
          <w:rFonts w:ascii="Times New Roman" w:hAnsi="Times New Roman" w:cs="Times New Roman"/>
          <w:color w:val="auto"/>
          <w:sz w:val="24"/>
          <w:highlight w:val="none"/>
        </w:rPr>
        <w:t xml:space="preserve"> 最高限价：</w:t>
      </w:r>
      <w:bookmarkEnd w:id="10"/>
      <w:r>
        <w:rPr>
          <w:rFonts w:hint="eastAsia" w:ascii="Times New Roman" w:hAnsi="Times New Roman" w:cs="Times New Roman"/>
          <w:color w:val="auto"/>
          <w:sz w:val="24"/>
          <w:highlight w:val="none"/>
          <w:lang w:val="en-US" w:eastAsia="zh-CN"/>
        </w:rPr>
        <w:t>20万元</w:t>
      </w:r>
    </w:p>
    <w:p w14:paraId="7D2D10D2">
      <w:pPr>
        <w:snapToGrid w:val="0"/>
        <w:spacing w:line="360" w:lineRule="auto"/>
        <w:ind w:firstLine="480" w:firstLineChars="200"/>
        <w:rPr>
          <w:rFonts w:hint="eastAsia" w:ascii="Times New Roman" w:hAnsi="Times New Roman" w:cs="Times New Roman"/>
          <w:color w:val="auto"/>
          <w:sz w:val="24"/>
          <w:highlight w:val="none"/>
          <w:lang w:val="en-US" w:eastAsia="zh-CN"/>
        </w:rPr>
      </w:pPr>
      <w:r>
        <w:rPr>
          <w:rFonts w:ascii="Times New Roman" w:hAnsi="Times New Roman" w:cs="Times New Roman"/>
          <w:color w:val="auto"/>
          <w:sz w:val="24"/>
          <w:highlight w:val="none"/>
        </w:rPr>
        <w:t>2.6 计划服务期：</w:t>
      </w:r>
      <w:bookmarkStart w:id="11" w:name="_Toc525632587"/>
      <w:bookmarkStart w:id="12" w:name="_Toc6388"/>
      <w:bookmarkStart w:id="13" w:name="_Toc22379_WPSOffice_Level2"/>
      <w:bookmarkStart w:id="14" w:name="_Toc31673_WPSOffice_Level2"/>
      <w:bookmarkStart w:id="15" w:name="_Toc29516_WPSOffice_Level2"/>
      <w:bookmarkStart w:id="16" w:name="_Toc3714"/>
      <w:bookmarkStart w:id="17" w:name="_Toc1622_WPSOffice_Level2"/>
      <w:r>
        <w:rPr>
          <w:rFonts w:hint="eastAsia" w:ascii="Times New Roman" w:hAnsi="Times New Roman" w:cs="Times New Roman"/>
          <w:color w:val="auto"/>
          <w:sz w:val="24"/>
          <w:highlight w:val="none"/>
          <w:lang w:val="en-US" w:eastAsia="zh-CN"/>
        </w:rPr>
        <w:t>2个月</w:t>
      </w:r>
    </w:p>
    <w:p w14:paraId="69053E1B">
      <w:pPr>
        <w:snapToGrid w:val="0"/>
        <w:spacing w:line="360" w:lineRule="auto"/>
        <w:rPr>
          <w:rFonts w:ascii="Times New Roman" w:hAnsi="Times New Roman" w:eastAsia="黑体" w:cs="Times New Roman"/>
          <w:b/>
          <w:bCs/>
          <w:color w:val="auto"/>
          <w:sz w:val="24"/>
          <w:szCs w:val="24"/>
          <w:highlight w:val="none"/>
        </w:rPr>
      </w:pPr>
      <w:r>
        <w:rPr>
          <w:rFonts w:hint="eastAsia" w:ascii="Times New Roman" w:hAnsi="Times New Roman" w:eastAsia="黑体" w:cs="Times New Roman"/>
          <w:b/>
          <w:bCs/>
          <w:color w:val="auto"/>
          <w:sz w:val="24"/>
          <w:szCs w:val="24"/>
          <w:highlight w:val="none"/>
        </w:rPr>
        <w:t>3.</w:t>
      </w:r>
      <w:r>
        <w:rPr>
          <w:rFonts w:ascii="Times New Roman" w:hAnsi="Times New Roman" w:eastAsia="黑体" w:cs="Times New Roman"/>
          <w:b/>
          <w:bCs/>
          <w:color w:val="auto"/>
          <w:sz w:val="24"/>
          <w:szCs w:val="24"/>
          <w:highlight w:val="none"/>
        </w:rPr>
        <w:t>供应商资格条件</w:t>
      </w:r>
      <w:bookmarkEnd w:id="11"/>
      <w:bookmarkEnd w:id="12"/>
      <w:bookmarkEnd w:id="13"/>
      <w:bookmarkEnd w:id="14"/>
      <w:bookmarkEnd w:id="15"/>
      <w:bookmarkEnd w:id="16"/>
      <w:bookmarkEnd w:id="17"/>
    </w:p>
    <w:p w14:paraId="68EAB535">
      <w:pPr>
        <w:snapToGrid w:val="0"/>
        <w:spacing w:line="360" w:lineRule="auto"/>
        <w:ind w:firstLine="480" w:firstLineChars="200"/>
        <w:rPr>
          <w:rFonts w:ascii="Times New Roman" w:hAnsi="Times New Roman" w:cs="Times New Roman"/>
          <w:color w:val="auto"/>
          <w:sz w:val="24"/>
          <w:highlight w:val="none"/>
        </w:rPr>
      </w:pPr>
      <w:r>
        <w:rPr>
          <w:rFonts w:ascii="Times New Roman" w:hAnsi="Times New Roman" w:cs="Times New Roman"/>
          <w:color w:val="auto"/>
          <w:sz w:val="24"/>
          <w:highlight w:val="none"/>
        </w:rPr>
        <w:t>3.1 本次采购要求供应商须</w:t>
      </w:r>
      <w:r>
        <w:rPr>
          <w:rFonts w:hint="eastAsia" w:ascii="Times New Roman" w:hAnsi="Times New Roman" w:cs="Times New Roman"/>
          <w:color w:val="auto"/>
          <w:sz w:val="24"/>
          <w:highlight w:val="none"/>
        </w:rPr>
        <w:t>同时</w:t>
      </w:r>
      <w:r>
        <w:rPr>
          <w:rFonts w:ascii="Times New Roman" w:hAnsi="Times New Roman" w:cs="Times New Roman"/>
          <w:color w:val="auto"/>
          <w:sz w:val="24"/>
          <w:highlight w:val="none"/>
        </w:rPr>
        <w:t>具备：</w:t>
      </w:r>
    </w:p>
    <w:p w14:paraId="5B83FC82">
      <w:pPr>
        <w:snapToGrid w:val="0"/>
        <w:spacing w:line="360" w:lineRule="auto"/>
        <w:ind w:firstLine="480" w:firstLineChars="200"/>
        <w:rPr>
          <w:rFonts w:ascii="Times New Roman" w:hAnsi="Times New Roman" w:cs="Times New Roman"/>
          <w:color w:val="auto"/>
          <w:sz w:val="24"/>
          <w:highlight w:val="none"/>
        </w:rPr>
      </w:pPr>
      <w:r>
        <w:rPr>
          <w:rFonts w:ascii="Times New Roman" w:hAnsi="Times New Roman" w:cs="Times New Roman"/>
          <w:color w:val="auto"/>
          <w:sz w:val="24"/>
          <w:highlight w:val="none"/>
        </w:rPr>
        <w:t>（1）持有有效的营业执照；</w:t>
      </w:r>
    </w:p>
    <w:p w14:paraId="41AFB3DA">
      <w:pPr>
        <w:numPr>
          <w:ilvl w:val="0"/>
          <w:numId w:val="3"/>
        </w:numPr>
        <w:snapToGrid w:val="0"/>
        <w:spacing w:line="360" w:lineRule="auto"/>
        <w:ind w:firstLine="480" w:firstLineChars="200"/>
        <w:rPr>
          <w:rFonts w:ascii="Times New Roman" w:hAnsi="Times New Roman" w:cs="Times New Roman"/>
          <w:color w:val="auto"/>
          <w:sz w:val="24"/>
          <w:highlight w:val="none"/>
        </w:rPr>
      </w:pPr>
      <w:r>
        <w:rPr>
          <w:rFonts w:ascii="Times New Roman" w:hAnsi="Times New Roman" w:cs="Times New Roman"/>
          <w:color w:val="auto"/>
          <w:sz w:val="24"/>
          <w:highlight w:val="none"/>
        </w:rPr>
        <w:t>业绩最低要求：</w:t>
      </w:r>
    </w:p>
    <w:p w14:paraId="40A5C8AD">
      <w:pPr>
        <w:snapToGrid w:val="0"/>
        <w:spacing w:line="360" w:lineRule="auto"/>
        <w:ind w:firstLine="600" w:firstLineChars="250"/>
        <w:rPr>
          <w:rFonts w:ascii="Times New Roman" w:hAnsi="Times New Roman" w:cs="Times New Roman"/>
          <w:color w:val="auto"/>
          <w:sz w:val="24"/>
          <w:highlight w:val="none"/>
        </w:rPr>
      </w:pPr>
      <w:r>
        <w:rPr>
          <w:rFonts w:ascii="Times New Roman" w:hAnsi="Times New Roman" w:cs="Times New Roman"/>
          <w:color w:val="auto"/>
          <w:sz w:val="24"/>
          <w:highlight w:val="none"/>
        </w:rPr>
        <w:t>20</w:t>
      </w:r>
      <w:r>
        <w:rPr>
          <w:rFonts w:hint="eastAsia" w:ascii="Times New Roman" w:hAnsi="Times New Roman" w:cs="Times New Roman"/>
          <w:color w:val="auto"/>
          <w:sz w:val="24"/>
          <w:highlight w:val="none"/>
          <w:lang w:val="en-US" w:eastAsia="zh-CN"/>
        </w:rPr>
        <w:t>21</w:t>
      </w:r>
      <w:r>
        <w:rPr>
          <w:rFonts w:ascii="Times New Roman" w:hAnsi="Times New Roman" w:cs="Times New Roman"/>
          <w:color w:val="auto"/>
          <w:sz w:val="24"/>
          <w:highlight w:val="none"/>
        </w:rPr>
        <w:t>年1月1日以来，投标人须具有1项投资后评价</w:t>
      </w:r>
      <w:r>
        <w:rPr>
          <w:rFonts w:hint="eastAsia" w:ascii="Times New Roman" w:hAnsi="Times New Roman" w:cs="Times New Roman"/>
          <w:color w:val="auto"/>
          <w:sz w:val="24"/>
          <w:highlight w:val="none"/>
          <w:lang w:val="en-US" w:eastAsia="zh-CN"/>
        </w:rPr>
        <w:t>或绩效评价</w:t>
      </w:r>
      <w:r>
        <w:rPr>
          <w:rFonts w:ascii="Times New Roman" w:hAnsi="Times New Roman" w:cs="Times New Roman"/>
          <w:color w:val="auto"/>
          <w:sz w:val="24"/>
          <w:highlight w:val="none"/>
        </w:rPr>
        <w:t>业绩。</w:t>
      </w:r>
    </w:p>
    <w:p w14:paraId="26369F97">
      <w:pPr>
        <w:numPr>
          <w:ilvl w:val="0"/>
          <w:numId w:val="3"/>
        </w:numPr>
        <w:snapToGrid w:val="0"/>
        <w:spacing w:line="360" w:lineRule="auto"/>
        <w:ind w:firstLine="480" w:firstLineChars="200"/>
        <w:rPr>
          <w:rFonts w:ascii="Times New Roman" w:hAnsi="Times New Roman" w:cs="Times New Roman"/>
          <w:color w:val="auto"/>
          <w:sz w:val="24"/>
          <w:highlight w:val="none"/>
        </w:rPr>
      </w:pPr>
      <w:r>
        <w:rPr>
          <w:rFonts w:ascii="Times New Roman" w:hAnsi="Times New Roman" w:cs="Times New Roman"/>
          <w:color w:val="auto"/>
          <w:sz w:val="24"/>
          <w:highlight w:val="none"/>
        </w:rPr>
        <w:t>主要人员最低要求：</w:t>
      </w:r>
    </w:p>
    <w:p w14:paraId="1932517E">
      <w:pPr>
        <w:snapToGrid w:val="0"/>
        <w:spacing w:line="360" w:lineRule="auto"/>
        <w:ind w:firstLine="480" w:firstLineChars="200"/>
        <w:rPr>
          <w:rFonts w:hint="eastAsia" w:ascii="Times New Roman" w:hAnsi="Times New Roman" w:eastAsia="宋体" w:cs="Times New Roman"/>
          <w:color w:val="auto"/>
          <w:sz w:val="24"/>
          <w:highlight w:val="none"/>
          <w:lang w:eastAsia="zh-CN"/>
        </w:rPr>
      </w:pPr>
      <w:r>
        <w:rPr>
          <w:rFonts w:hint="eastAsia" w:ascii="Times New Roman" w:hAnsi="Times New Roman" w:cs="Times New Roman"/>
          <w:color w:val="auto"/>
          <w:sz w:val="24"/>
          <w:highlight w:val="none"/>
        </w:rPr>
        <w:t>①项目负责人应</w:t>
      </w:r>
      <w:r>
        <w:rPr>
          <w:rFonts w:ascii="Times New Roman" w:hAnsi="Times New Roman" w:cs="Times New Roman"/>
          <w:color w:val="auto"/>
          <w:sz w:val="24"/>
          <w:highlight w:val="none"/>
        </w:rPr>
        <w:t>具备以下</w:t>
      </w:r>
      <w:r>
        <w:rPr>
          <w:rFonts w:hint="eastAsia" w:ascii="Times New Roman" w:hAnsi="Times New Roman" w:cs="Times New Roman"/>
          <w:color w:val="auto"/>
          <w:sz w:val="24"/>
          <w:highlight w:val="none"/>
        </w:rPr>
        <w:t>条件</w:t>
      </w:r>
      <w:r>
        <w:rPr>
          <w:rFonts w:ascii="Times New Roman" w:hAnsi="Times New Roman" w:cs="Times New Roman"/>
          <w:color w:val="auto"/>
          <w:sz w:val="24"/>
          <w:highlight w:val="none"/>
        </w:rPr>
        <w:t>之一：</w:t>
      </w:r>
      <w:r>
        <w:rPr>
          <w:rFonts w:hint="eastAsia" w:ascii="Times New Roman" w:hAnsi="Times New Roman" w:cs="Times New Roman"/>
          <w:color w:val="auto"/>
          <w:sz w:val="24"/>
          <w:highlight w:val="none"/>
        </w:rPr>
        <w:t>注册</w:t>
      </w:r>
      <w:r>
        <w:rPr>
          <w:rFonts w:ascii="Times New Roman" w:hAnsi="Times New Roman" w:cs="Times New Roman"/>
          <w:color w:val="auto"/>
          <w:sz w:val="24"/>
          <w:highlight w:val="none"/>
        </w:rPr>
        <w:t>会计师资格、（注册）资产评估师、（</w:t>
      </w:r>
      <w:r>
        <w:rPr>
          <w:rFonts w:hint="eastAsia" w:ascii="Times New Roman" w:hAnsi="Times New Roman" w:cs="Times New Roman"/>
          <w:color w:val="auto"/>
          <w:sz w:val="24"/>
          <w:highlight w:val="none"/>
        </w:rPr>
        <w:t>注册）税务师、正/副高会计师、高级审计师、从事审计/资产评估工作5年以上</w:t>
      </w:r>
      <w:r>
        <w:rPr>
          <w:rFonts w:hint="eastAsia" w:ascii="Times New Roman" w:hAnsi="Times New Roman" w:cs="Times New Roman"/>
          <w:color w:val="auto"/>
          <w:sz w:val="24"/>
          <w:highlight w:val="none"/>
          <w:lang w:eastAsia="zh-CN"/>
        </w:rPr>
        <w:t>。</w:t>
      </w:r>
    </w:p>
    <w:p w14:paraId="1B91D5B9">
      <w:pPr>
        <w:snapToGrid w:val="0"/>
        <w:spacing w:line="360" w:lineRule="auto"/>
        <w:ind w:firstLine="480" w:firstLineChars="200"/>
        <w:rPr>
          <w:rFonts w:hint="eastAsia" w:ascii="Times New Roman" w:hAnsi="Times New Roman" w:eastAsia="宋体" w:cs="Times New Roman"/>
          <w:b w:val="0"/>
          <w:bCs w:val="0"/>
          <w:color w:val="auto"/>
          <w:sz w:val="24"/>
          <w:highlight w:val="none"/>
          <w:lang w:val="en-US" w:eastAsia="zh-CN"/>
        </w:rPr>
      </w:pPr>
      <w:r>
        <w:rPr>
          <w:rFonts w:hint="eastAsia" w:ascii="Times New Roman" w:hAnsi="Times New Roman" w:cs="Times New Roman"/>
          <w:color w:val="auto"/>
          <w:sz w:val="24"/>
          <w:highlight w:val="none"/>
        </w:rPr>
        <w:t>②</w:t>
      </w:r>
      <w:r>
        <w:rPr>
          <w:rFonts w:ascii="Times New Roman" w:hAnsi="Times New Roman" w:cs="Times New Roman"/>
          <w:color w:val="auto"/>
          <w:sz w:val="24"/>
          <w:highlight w:val="none"/>
        </w:rPr>
        <w:t>对供应商其</w:t>
      </w:r>
      <w:r>
        <w:rPr>
          <w:rFonts w:ascii="Times New Roman" w:hAnsi="Times New Roman" w:cs="Times New Roman"/>
          <w:b w:val="0"/>
          <w:bCs w:val="0"/>
          <w:color w:val="auto"/>
          <w:sz w:val="24"/>
          <w:highlight w:val="none"/>
        </w:rPr>
        <w:t>他人员的要求：</w:t>
      </w:r>
      <w:r>
        <w:rPr>
          <w:rFonts w:hint="eastAsia" w:ascii="Times New Roman" w:hAnsi="Times New Roman" w:cs="Times New Roman"/>
          <w:b w:val="0"/>
          <w:bCs w:val="0"/>
          <w:color w:val="auto"/>
          <w:sz w:val="24"/>
          <w:highlight w:val="none"/>
        </w:rPr>
        <w:t>项目</w:t>
      </w:r>
      <w:r>
        <w:rPr>
          <w:rFonts w:ascii="Times New Roman" w:hAnsi="Times New Roman" w:cs="Times New Roman"/>
          <w:b w:val="0"/>
          <w:bCs w:val="0"/>
          <w:color w:val="auto"/>
          <w:sz w:val="24"/>
          <w:highlight w:val="none"/>
        </w:rPr>
        <w:t>组</w:t>
      </w:r>
      <w:r>
        <w:rPr>
          <w:rFonts w:hint="eastAsia" w:ascii="Times New Roman" w:hAnsi="Times New Roman" w:cs="Times New Roman"/>
          <w:b w:val="0"/>
          <w:bCs w:val="0"/>
          <w:color w:val="auto"/>
          <w:sz w:val="24"/>
          <w:highlight w:val="none"/>
        </w:rPr>
        <w:t>成员</w:t>
      </w:r>
      <w:r>
        <w:rPr>
          <w:rFonts w:ascii="Times New Roman" w:hAnsi="Times New Roman" w:cs="Times New Roman"/>
          <w:b w:val="0"/>
          <w:bCs w:val="0"/>
          <w:color w:val="auto"/>
          <w:sz w:val="24"/>
          <w:highlight w:val="none"/>
        </w:rPr>
        <w:t>不少于</w:t>
      </w:r>
      <w:r>
        <w:rPr>
          <w:rFonts w:hint="eastAsia" w:ascii="Times New Roman" w:hAnsi="Times New Roman" w:cs="Times New Roman"/>
          <w:b w:val="0"/>
          <w:bCs w:val="0"/>
          <w:color w:val="auto"/>
          <w:sz w:val="24"/>
          <w:highlight w:val="none"/>
          <w:lang w:val="en-US" w:eastAsia="zh-CN"/>
        </w:rPr>
        <w:t>7</w:t>
      </w:r>
      <w:r>
        <w:rPr>
          <w:rFonts w:hint="eastAsia" w:ascii="Times New Roman" w:hAnsi="Times New Roman" w:cs="Times New Roman"/>
          <w:b w:val="0"/>
          <w:bCs w:val="0"/>
          <w:color w:val="auto"/>
          <w:sz w:val="24"/>
          <w:highlight w:val="none"/>
        </w:rPr>
        <w:t>个人，其中注册会计师不少于</w:t>
      </w:r>
      <w:r>
        <w:rPr>
          <w:rFonts w:hint="eastAsia" w:ascii="Times New Roman" w:hAnsi="Times New Roman" w:cs="Times New Roman"/>
          <w:b w:val="0"/>
          <w:bCs w:val="0"/>
          <w:color w:val="auto"/>
          <w:sz w:val="24"/>
          <w:highlight w:val="none"/>
          <w:lang w:val="en-US" w:eastAsia="zh-CN"/>
        </w:rPr>
        <w:t>3</w:t>
      </w:r>
      <w:r>
        <w:rPr>
          <w:rFonts w:hint="eastAsia" w:ascii="Times New Roman" w:hAnsi="Times New Roman" w:cs="Times New Roman"/>
          <w:b w:val="0"/>
          <w:bCs w:val="0"/>
          <w:color w:val="auto"/>
          <w:sz w:val="24"/>
          <w:highlight w:val="none"/>
        </w:rPr>
        <w:t>人</w:t>
      </w:r>
      <w:r>
        <w:rPr>
          <w:rFonts w:hint="eastAsia" w:ascii="Times New Roman" w:hAnsi="Times New Roman" w:cs="Times New Roman"/>
          <w:b w:val="0"/>
          <w:bCs w:val="0"/>
          <w:color w:val="auto"/>
          <w:sz w:val="24"/>
          <w:highlight w:val="none"/>
          <w:lang w:eastAsia="zh-CN"/>
        </w:rPr>
        <w:t>。</w:t>
      </w:r>
      <w:r>
        <w:rPr>
          <w:rFonts w:hint="eastAsia" w:ascii="Times New Roman" w:hAnsi="Times New Roman" w:cs="Times New Roman"/>
          <w:b w:val="0"/>
          <w:bCs w:val="0"/>
          <w:color w:val="auto"/>
          <w:sz w:val="24"/>
          <w:highlight w:val="none"/>
          <w:lang w:val="en-US" w:eastAsia="zh-CN"/>
        </w:rPr>
        <w:t>注册</w:t>
      </w:r>
      <w:r>
        <w:rPr>
          <w:rFonts w:hint="eastAsia" w:ascii="Times New Roman" w:hAnsi="Times New Roman" w:cs="Times New Roman"/>
          <w:b w:val="0"/>
          <w:bCs w:val="0"/>
          <w:color w:val="auto"/>
          <w:sz w:val="24"/>
          <w:highlight w:val="none"/>
          <w:lang w:eastAsia="zh-CN"/>
        </w:rPr>
        <w:t>造价工程师不少于1人，造价工程师可以是外聘人员，且中选人必须确保响应文件所载人员全程参与项目工作并承担外聘费用（</w:t>
      </w:r>
      <w:r>
        <w:rPr>
          <w:rFonts w:hint="eastAsia" w:ascii="Times New Roman" w:hAnsi="Times New Roman" w:cs="Times New Roman"/>
          <w:b w:val="0"/>
          <w:bCs w:val="0"/>
          <w:color w:val="auto"/>
          <w:sz w:val="24"/>
          <w:highlight w:val="none"/>
          <w:lang w:val="en-US" w:eastAsia="zh-CN"/>
        </w:rPr>
        <w:t>二级造价工程师不予认可</w:t>
      </w:r>
      <w:r>
        <w:rPr>
          <w:rFonts w:hint="eastAsia" w:ascii="Times New Roman" w:hAnsi="Times New Roman" w:cs="Times New Roman"/>
          <w:b w:val="0"/>
          <w:bCs w:val="0"/>
          <w:color w:val="auto"/>
          <w:sz w:val="24"/>
          <w:highlight w:val="none"/>
          <w:lang w:eastAsia="zh-CN"/>
        </w:rPr>
        <w:t>）</w:t>
      </w:r>
      <w:r>
        <w:rPr>
          <w:rFonts w:hint="eastAsia" w:ascii="Times New Roman" w:hAnsi="Times New Roman" w:cs="Times New Roman"/>
          <w:b w:val="0"/>
          <w:bCs w:val="0"/>
          <w:color w:val="auto"/>
          <w:sz w:val="24"/>
          <w:highlight w:val="none"/>
        </w:rPr>
        <w:t>。</w:t>
      </w:r>
    </w:p>
    <w:p w14:paraId="5FFB0048">
      <w:pPr>
        <w:numPr>
          <w:ilvl w:val="0"/>
          <w:numId w:val="3"/>
        </w:numPr>
        <w:snapToGrid w:val="0"/>
        <w:spacing w:line="360" w:lineRule="auto"/>
        <w:ind w:firstLine="480" w:firstLineChars="200"/>
        <w:rPr>
          <w:rFonts w:ascii="Times New Roman" w:hAnsi="Times New Roman" w:cs="Times New Roman"/>
          <w:color w:val="auto"/>
          <w:sz w:val="24"/>
          <w:highlight w:val="none"/>
        </w:rPr>
      </w:pPr>
      <w:r>
        <w:rPr>
          <w:rFonts w:ascii="Times New Roman" w:hAnsi="Times New Roman" w:cs="Times New Roman"/>
          <w:color w:val="auto"/>
          <w:sz w:val="24"/>
          <w:highlight w:val="none"/>
        </w:rPr>
        <w:t>信誉要求最低要求：</w:t>
      </w:r>
    </w:p>
    <w:p w14:paraId="7AEDAB4F">
      <w:pPr>
        <w:snapToGrid w:val="0"/>
        <w:spacing w:line="360" w:lineRule="auto"/>
        <w:ind w:firstLine="480" w:firstLineChars="200"/>
        <w:rPr>
          <w:rFonts w:ascii="Times New Roman" w:hAnsi="Times New Roman" w:cs="Times New Roman"/>
          <w:color w:val="auto"/>
          <w:sz w:val="24"/>
          <w:highlight w:val="none"/>
        </w:rPr>
      </w:pPr>
      <w:r>
        <w:rPr>
          <w:rFonts w:hint="eastAsia" w:ascii="宋体" w:hAnsi="宋体" w:cs="宋体"/>
          <w:color w:val="auto"/>
          <w:sz w:val="24"/>
          <w:highlight w:val="none"/>
        </w:rPr>
        <w:t>①</w:t>
      </w:r>
      <w:r>
        <w:rPr>
          <w:rFonts w:hint="eastAsia" w:ascii="Times New Roman" w:hAnsi="Times New Roman" w:cs="Times New Roman"/>
          <w:color w:val="auto"/>
          <w:sz w:val="24"/>
          <w:highlight w:val="none"/>
        </w:rPr>
        <w:t>未被责令停业，暂扣或吊销执照；</w:t>
      </w:r>
    </w:p>
    <w:p w14:paraId="48C0A9B6">
      <w:pPr>
        <w:snapToGrid w:val="0"/>
        <w:spacing w:line="360" w:lineRule="auto"/>
        <w:ind w:firstLine="480" w:firstLineChars="200"/>
        <w:rPr>
          <w:color w:val="auto"/>
          <w:sz w:val="24"/>
          <w:highlight w:val="none"/>
        </w:rPr>
      </w:pPr>
      <w:r>
        <w:rPr>
          <w:rFonts w:hint="eastAsia" w:ascii="Times New Roman" w:hAnsi="Times New Roman" w:cs="Times New Roman"/>
          <w:color w:val="auto"/>
          <w:sz w:val="24"/>
          <w:highlight w:val="none"/>
        </w:rPr>
        <w:t>②未进入清算程序，或被宣告破产，或其他丧失履约能力的情形；</w:t>
      </w:r>
    </w:p>
    <w:p w14:paraId="3028F82F">
      <w:pPr>
        <w:snapToGrid w:val="0"/>
        <w:spacing w:line="360" w:lineRule="auto"/>
        <w:ind w:firstLine="480" w:firstLineChars="200"/>
        <w:rPr>
          <w:rFonts w:ascii="Times New Roman" w:hAnsi="Times New Roman" w:cs="Times New Roman"/>
          <w:color w:val="auto"/>
          <w:sz w:val="24"/>
          <w:highlight w:val="none"/>
        </w:rPr>
      </w:pPr>
      <w:r>
        <w:rPr>
          <w:rFonts w:hint="eastAsia" w:ascii="Times New Roman" w:hAnsi="Times New Roman" w:cs="Times New Roman"/>
          <w:color w:val="auto"/>
          <w:sz w:val="24"/>
          <w:highlight w:val="none"/>
        </w:rPr>
        <w:t>③</w:t>
      </w:r>
      <w:r>
        <w:rPr>
          <w:rFonts w:ascii="Times New Roman" w:hAnsi="Times New Roman" w:cs="Times New Roman"/>
          <w:color w:val="auto"/>
          <w:sz w:val="24"/>
          <w:highlight w:val="none"/>
        </w:rPr>
        <w:t>在国家企业信用信息公示系统（http://www.gsxt.gov.cn）中</w:t>
      </w:r>
      <w:r>
        <w:rPr>
          <w:rFonts w:hint="eastAsia" w:ascii="Times New Roman" w:hAnsi="Times New Roman" w:cs="Times New Roman"/>
          <w:color w:val="auto"/>
          <w:sz w:val="24"/>
          <w:highlight w:val="none"/>
        </w:rPr>
        <w:t>未</w:t>
      </w:r>
      <w:r>
        <w:rPr>
          <w:rFonts w:ascii="Times New Roman" w:hAnsi="Times New Roman" w:cs="Times New Roman"/>
          <w:color w:val="auto"/>
          <w:sz w:val="24"/>
          <w:highlight w:val="none"/>
        </w:rPr>
        <w:t>被列入严重违法失信企业名单；</w:t>
      </w:r>
    </w:p>
    <w:p w14:paraId="389C17BB">
      <w:pPr>
        <w:snapToGrid w:val="0"/>
        <w:spacing w:line="360" w:lineRule="auto"/>
        <w:ind w:firstLine="480" w:firstLineChars="200"/>
        <w:rPr>
          <w:rFonts w:ascii="Times New Roman" w:hAnsi="Times New Roman" w:cs="Times New Roman"/>
          <w:color w:val="auto"/>
          <w:sz w:val="24"/>
          <w:highlight w:val="none"/>
        </w:rPr>
      </w:pPr>
      <w:r>
        <w:rPr>
          <w:rFonts w:hint="eastAsia" w:ascii="Times New Roman" w:hAnsi="Times New Roman" w:cs="Times New Roman"/>
          <w:color w:val="auto"/>
          <w:sz w:val="24"/>
          <w:highlight w:val="none"/>
        </w:rPr>
        <w:t>④在中国执行信息公开网（http://zxgk.court.gov.cn/index.jsp）</w:t>
      </w:r>
      <w:r>
        <w:rPr>
          <w:rFonts w:hint="eastAsia" w:ascii="Times New Roman" w:hAnsi="Times New Roman" w:cs="Times New Roman"/>
          <w:color w:val="auto"/>
          <w:sz w:val="24"/>
          <w:highlight w:val="none"/>
          <w:lang w:val="en-US" w:eastAsia="zh-CN"/>
        </w:rPr>
        <w:t>中</w:t>
      </w:r>
      <w:r>
        <w:rPr>
          <w:rFonts w:hint="eastAsia" w:ascii="Times New Roman" w:hAnsi="Times New Roman" w:cs="Times New Roman"/>
          <w:color w:val="auto"/>
          <w:sz w:val="24"/>
          <w:highlight w:val="none"/>
        </w:rPr>
        <w:t>未</w:t>
      </w:r>
      <w:r>
        <w:rPr>
          <w:rFonts w:ascii="Times New Roman" w:hAnsi="Times New Roman" w:cs="Times New Roman"/>
          <w:color w:val="auto"/>
          <w:sz w:val="24"/>
          <w:highlight w:val="none"/>
        </w:rPr>
        <w:t>被列入失信被执行人名单；</w:t>
      </w:r>
    </w:p>
    <w:p w14:paraId="618B9AEF">
      <w:pPr>
        <w:snapToGrid w:val="0"/>
        <w:spacing w:line="360" w:lineRule="auto"/>
        <w:ind w:firstLine="480" w:firstLineChars="200"/>
        <w:rPr>
          <w:rFonts w:ascii="Times New Roman" w:hAnsi="Times New Roman" w:cs="Times New Roman"/>
          <w:color w:val="auto"/>
          <w:sz w:val="24"/>
          <w:highlight w:val="none"/>
        </w:rPr>
      </w:pPr>
      <w:r>
        <w:rPr>
          <w:rFonts w:hint="eastAsia" w:ascii="Times New Roman" w:hAnsi="Times New Roman" w:cs="Times New Roman"/>
          <w:color w:val="auto"/>
          <w:sz w:val="24"/>
          <w:highlight w:val="none"/>
        </w:rPr>
        <w:t>⑤</w:t>
      </w:r>
      <w:r>
        <w:rPr>
          <w:rFonts w:ascii="Times New Roman" w:hAnsi="Times New Roman" w:cs="Times New Roman"/>
          <w:color w:val="auto"/>
          <w:sz w:val="24"/>
          <w:highlight w:val="none"/>
        </w:rPr>
        <w:t>在近三年内（自</w:t>
      </w:r>
      <w:r>
        <w:rPr>
          <w:rFonts w:hint="eastAsia" w:ascii="Times New Roman" w:hAnsi="Times New Roman" w:cs="Times New Roman"/>
          <w:color w:val="auto"/>
          <w:sz w:val="24"/>
          <w:highlight w:val="none"/>
        </w:rPr>
        <w:t>响应文件递交截止之日</w:t>
      </w:r>
      <w:r>
        <w:rPr>
          <w:rFonts w:ascii="Times New Roman" w:hAnsi="Times New Roman" w:cs="Times New Roman"/>
          <w:color w:val="auto"/>
          <w:sz w:val="24"/>
          <w:highlight w:val="none"/>
        </w:rPr>
        <w:t>向前追溯3年）供应商或其法定代表人、拟委任的项目</w:t>
      </w:r>
      <w:r>
        <w:rPr>
          <w:rFonts w:hint="eastAsia" w:ascii="Times New Roman" w:hAnsi="Times New Roman" w:cs="Times New Roman"/>
          <w:color w:val="auto"/>
          <w:sz w:val="24"/>
          <w:highlight w:val="none"/>
        </w:rPr>
        <w:t>负责人未</w:t>
      </w:r>
      <w:r>
        <w:rPr>
          <w:rFonts w:ascii="Times New Roman" w:hAnsi="Times New Roman" w:cs="Times New Roman"/>
          <w:color w:val="auto"/>
          <w:sz w:val="24"/>
          <w:highlight w:val="none"/>
        </w:rPr>
        <w:t>有行贿犯罪行为。</w:t>
      </w:r>
    </w:p>
    <w:p w14:paraId="3E3665F1">
      <w:pPr>
        <w:snapToGrid w:val="0"/>
        <w:spacing w:line="360" w:lineRule="auto"/>
        <w:ind w:firstLine="480" w:firstLineChars="200"/>
        <w:rPr>
          <w:rFonts w:ascii="Times New Roman" w:hAnsi="Times New Roman" w:cs="Times New Roman"/>
          <w:color w:val="auto"/>
          <w:sz w:val="24"/>
          <w:highlight w:val="none"/>
        </w:rPr>
      </w:pPr>
      <w:r>
        <w:rPr>
          <w:rFonts w:hint="eastAsia" w:ascii="Times New Roman" w:hAnsi="Times New Roman" w:cs="Times New Roman"/>
          <w:color w:val="auto"/>
          <w:sz w:val="24"/>
          <w:highlight w:val="none"/>
        </w:rPr>
        <w:t>备注：</w:t>
      </w:r>
    </w:p>
    <w:p w14:paraId="304B4C37">
      <w:pPr>
        <w:snapToGrid w:val="0"/>
        <w:spacing w:line="360" w:lineRule="auto"/>
        <w:ind w:firstLine="480" w:firstLineChars="200"/>
        <w:rPr>
          <w:rFonts w:ascii="Times New Roman" w:hAnsi="Times New Roman" w:cs="Times New Roman"/>
          <w:color w:val="auto"/>
          <w:sz w:val="24"/>
          <w:highlight w:val="none"/>
        </w:rPr>
      </w:pPr>
      <w:r>
        <w:rPr>
          <w:rFonts w:hint="eastAsia" w:ascii="Times New Roman" w:hAnsi="Times New Roman" w:cs="Times New Roman"/>
          <w:color w:val="auto"/>
          <w:sz w:val="24"/>
          <w:highlight w:val="none"/>
        </w:rPr>
        <w:t>1）类似业绩证明材料：须提供与委托方签订的合同协议书复印件或业主证明复印件等能体现投标人信息的相关材料。</w:t>
      </w:r>
    </w:p>
    <w:p w14:paraId="75C42EB6">
      <w:pPr>
        <w:snapToGrid w:val="0"/>
        <w:spacing w:line="360" w:lineRule="auto"/>
        <w:ind w:firstLine="480" w:firstLineChars="200"/>
        <w:rPr>
          <w:rFonts w:ascii="Times New Roman" w:hAnsi="Times New Roman" w:cs="Times New Roman"/>
          <w:color w:val="auto"/>
          <w:sz w:val="24"/>
          <w:highlight w:val="none"/>
        </w:rPr>
      </w:pPr>
      <w:r>
        <w:rPr>
          <w:rFonts w:hint="eastAsia" w:ascii="Times New Roman" w:hAnsi="Times New Roman" w:cs="Times New Roman"/>
          <w:color w:val="auto"/>
          <w:sz w:val="24"/>
          <w:highlight w:val="none"/>
          <w:lang w:val="en-US" w:eastAsia="zh-CN"/>
        </w:rPr>
        <w:t>2</w:t>
      </w:r>
      <w:r>
        <w:rPr>
          <w:rFonts w:hint="eastAsia" w:ascii="Times New Roman" w:hAnsi="Times New Roman" w:cs="Times New Roman"/>
          <w:color w:val="auto"/>
          <w:sz w:val="24"/>
          <w:highlight w:val="none"/>
        </w:rPr>
        <w:t>）询比文件所需的资料，供应商应按要求保证在有效期内，如不在有效期内，应提供相关部门的合法批件或其他相关书面证明材料证明其有效性。</w:t>
      </w:r>
    </w:p>
    <w:p w14:paraId="776EC474">
      <w:pPr>
        <w:snapToGrid w:val="0"/>
        <w:spacing w:line="360" w:lineRule="auto"/>
        <w:ind w:firstLine="480" w:firstLineChars="200"/>
        <w:rPr>
          <w:rFonts w:ascii="Times New Roman" w:hAnsi="Times New Roman" w:cs="Times New Roman"/>
          <w:color w:val="auto"/>
          <w:sz w:val="24"/>
          <w:highlight w:val="none"/>
        </w:rPr>
      </w:pPr>
      <w:r>
        <w:rPr>
          <w:rFonts w:ascii="Times New Roman" w:hAnsi="Times New Roman" w:cs="Times New Roman"/>
          <w:color w:val="auto"/>
          <w:sz w:val="24"/>
          <w:highlight w:val="none"/>
        </w:rPr>
        <w:t>3.2 联合体：本次采购</w:t>
      </w:r>
      <w:r>
        <w:rPr>
          <w:rFonts w:hint="eastAsia" w:ascii="Times New Roman" w:hAnsi="Times New Roman" w:cs="Times New Roman"/>
          <w:color w:val="auto"/>
          <w:sz w:val="24"/>
          <w:highlight w:val="none"/>
        </w:rPr>
        <w:t>不接受</w:t>
      </w:r>
      <w:r>
        <w:rPr>
          <w:rFonts w:ascii="Times New Roman" w:hAnsi="Times New Roman" w:cs="Times New Roman"/>
          <w:color w:val="auto"/>
          <w:sz w:val="24"/>
          <w:highlight w:val="none"/>
        </w:rPr>
        <w:t>联合体报价。</w:t>
      </w:r>
    </w:p>
    <w:p w14:paraId="5A01275D">
      <w:pPr>
        <w:snapToGrid w:val="0"/>
        <w:spacing w:line="360" w:lineRule="auto"/>
        <w:ind w:firstLine="480" w:firstLineChars="200"/>
        <w:rPr>
          <w:rFonts w:ascii="Times New Roman" w:hAnsi="Times New Roman" w:cs="Times New Roman"/>
          <w:color w:val="auto"/>
          <w:sz w:val="24"/>
          <w:highlight w:val="none"/>
        </w:rPr>
      </w:pPr>
      <w:r>
        <w:rPr>
          <w:rFonts w:ascii="Times New Roman" w:hAnsi="Times New Roman" w:cs="Times New Roman"/>
          <w:color w:val="auto"/>
          <w:sz w:val="24"/>
          <w:highlight w:val="none"/>
        </w:rPr>
        <w:t>3.3 单位负责人为同一人或者存在控股、管理关系的不同单位，不得同时参加同一合同包报价，否则相关响应文件均无效。</w:t>
      </w:r>
    </w:p>
    <w:p w14:paraId="6F42895C">
      <w:pPr>
        <w:pStyle w:val="7"/>
        <w:numPr>
          <w:ilvl w:val="0"/>
          <w:numId w:val="0"/>
        </w:numPr>
        <w:snapToGrid w:val="0"/>
        <w:spacing w:line="360" w:lineRule="auto"/>
        <w:rPr>
          <w:rFonts w:ascii="Times New Roman" w:hAnsi="Times New Roman" w:eastAsia="黑体" w:cs="Times New Roman"/>
          <w:bCs w:val="0"/>
          <w:color w:val="auto"/>
          <w:sz w:val="24"/>
          <w:szCs w:val="24"/>
          <w:highlight w:val="none"/>
        </w:rPr>
      </w:pPr>
      <w:bookmarkStart w:id="18" w:name="_Toc525632588"/>
      <w:bookmarkStart w:id="19" w:name="_Toc2996_WPSOffice_Level2"/>
      <w:bookmarkStart w:id="20" w:name="_Toc25666_WPSOffice_Level2"/>
      <w:bookmarkStart w:id="21" w:name="_Toc4109_WPSOffice_Level2"/>
      <w:bookmarkStart w:id="22" w:name="_Toc29452_WPSOffice_Level2"/>
      <w:bookmarkStart w:id="23" w:name="_Toc1994"/>
      <w:bookmarkStart w:id="24" w:name="_Toc4751"/>
      <w:r>
        <w:rPr>
          <w:rFonts w:hint="eastAsia" w:ascii="Times New Roman" w:hAnsi="Times New Roman" w:eastAsia="黑体" w:cs="Times New Roman"/>
          <w:bCs w:val="0"/>
          <w:color w:val="auto"/>
          <w:sz w:val="24"/>
          <w:szCs w:val="24"/>
          <w:highlight w:val="none"/>
        </w:rPr>
        <w:t>4.询比文件</w:t>
      </w:r>
      <w:r>
        <w:rPr>
          <w:rFonts w:ascii="Times New Roman" w:hAnsi="Times New Roman" w:eastAsia="黑体" w:cs="Times New Roman"/>
          <w:bCs w:val="0"/>
          <w:color w:val="auto"/>
          <w:sz w:val="24"/>
          <w:szCs w:val="24"/>
          <w:highlight w:val="none"/>
        </w:rPr>
        <w:t>的获取</w:t>
      </w:r>
      <w:bookmarkEnd w:id="18"/>
      <w:bookmarkEnd w:id="19"/>
      <w:bookmarkEnd w:id="20"/>
      <w:bookmarkEnd w:id="21"/>
      <w:bookmarkEnd w:id="22"/>
      <w:bookmarkEnd w:id="23"/>
      <w:bookmarkEnd w:id="24"/>
    </w:p>
    <w:p w14:paraId="695352A8">
      <w:pPr>
        <w:snapToGrid w:val="0"/>
        <w:spacing w:line="360" w:lineRule="auto"/>
        <w:ind w:firstLine="480" w:firstLineChars="200"/>
        <w:rPr>
          <w:rFonts w:ascii="宋体" w:hAnsi="宋体" w:cs="宋体"/>
          <w:color w:val="auto"/>
          <w:sz w:val="24"/>
          <w:highlight w:val="none"/>
        </w:rPr>
      </w:pPr>
      <w:bookmarkStart w:id="25" w:name="_Toc726"/>
      <w:bookmarkStart w:id="26" w:name="_Toc525632589"/>
      <w:r>
        <w:rPr>
          <w:rFonts w:hint="eastAsia" w:ascii="宋体" w:hAnsi="宋体" w:cs="宋体"/>
          <w:color w:val="auto"/>
          <w:sz w:val="24"/>
          <w:highlight w:val="none"/>
        </w:rPr>
        <w:t>4.1供应商应在递交响应文件的截止时间前登录安徽交控建设工程集团有限公司</w:t>
      </w:r>
      <w:r>
        <w:rPr>
          <w:rFonts w:hint="eastAsia" w:ascii="宋体" w:hAnsi="宋体" w:cs="宋体"/>
          <w:color w:val="auto"/>
          <w:sz w:val="24"/>
          <w:highlight w:val="none"/>
          <w:lang w:val="en-US" w:eastAsia="zh-CN"/>
        </w:rPr>
        <w:t>网站</w:t>
      </w:r>
      <w:r>
        <w:rPr>
          <w:rFonts w:hint="eastAsia" w:ascii="宋体" w:hAnsi="宋体" w:cs="宋体"/>
          <w:color w:val="auto"/>
          <w:sz w:val="24"/>
          <w:highlight w:val="none"/>
        </w:rPr>
        <w:t>（网址：http://www.ahjggroup.com）“招标公告”栏目了解项目信息</w:t>
      </w:r>
      <w:r>
        <w:rPr>
          <w:rFonts w:hint="eastAsia" w:ascii="宋体" w:hAnsi="宋体" w:cs="宋体"/>
          <w:color w:val="auto"/>
          <w:sz w:val="24"/>
          <w:highlight w:val="none"/>
          <w:lang w:eastAsia="zh-CN"/>
        </w:rPr>
        <w:t>，</w:t>
      </w:r>
      <w:r>
        <w:rPr>
          <w:rFonts w:hint="eastAsia" w:ascii="宋体" w:hAnsi="宋体" w:cs="宋体"/>
          <w:color w:val="auto"/>
          <w:sz w:val="24"/>
          <w:highlight w:val="none"/>
        </w:rPr>
        <w:t>自行下载询比文件及相关资料。咨询电话：0551-6</w:t>
      </w:r>
      <w:r>
        <w:rPr>
          <w:rFonts w:hint="eastAsia" w:ascii="宋体" w:hAnsi="宋体" w:cs="宋体"/>
          <w:color w:val="auto"/>
          <w:sz w:val="24"/>
          <w:highlight w:val="none"/>
          <w:lang w:val="en-US" w:eastAsia="zh-CN"/>
        </w:rPr>
        <w:t>2265209</w:t>
      </w:r>
      <w:r>
        <w:rPr>
          <w:rFonts w:hint="eastAsia" w:ascii="宋体" w:hAnsi="宋体" w:cs="宋体"/>
          <w:color w:val="auto"/>
          <w:sz w:val="24"/>
          <w:highlight w:val="none"/>
        </w:rPr>
        <w:t>。采购人不再另行书面通知，供应商应及时关注、查阅。因未及时查看导致不利后果的，责任自负。</w:t>
      </w:r>
    </w:p>
    <w:p w14:paraId="2CD54F42">
      <w:pPr>
        <w:pStyle w:val="7"/>
        <w:numPr>
          <w:ilvl w:val="0"/>
          <w:numId w:val="0"/>
        </w:numPr>
        <w:snapToGrid w:val="0"/>
        <w:spacing w:line="360" w:lineRule="auto"/>
        <w:rPr>
          <w:rFonts w:ascii="Times New Roman" w:hAnsi="Times New Roman" w:eastAsia="黑体" w:cs="Times New Roman"/>
          <w:bCs w:val="0"/>
          <w:color w:val="auto"/>
          <w:sz w:val="24"/>
          <w:szCs w:val="24"/>
          <w:highlight w:val="none"/>
        </w:rPr>
      </w:pPr>
      <w:r>
        <w:rPr>
          <w:rFonts w:hint="eastAsia" w:ascii="Times New Roman" w:hAnsi="Times New Roman" w:eastAsia="黑体" w:cs="Times New Roman"/>
          <w:bCs w:val="0"/>
          <w:color w:val="auto"/>
          <w:sz w:val="24"/>
          <w:szCs w:val="24"/>
          <w:highlight w:val="none"/>
        </w:rPr>
        <w:t>5.</w:t>
      </w:r>
      <w:r>
        <w:rPr>
          <w:rFonts w:ascii="Times New Roman" w:hAnsi="Times New Roman" w:eastAsia="黑体" w:cs="Times New Roman"/>
          <w:bCs w:val="0"/>
          <w:color w:val="auto"/>
          <w:sz w:val="24"/>
          <w:szCs w:val="24"/>
          <w:highlight w:val="none"/>
        </w:rPr>
        <w:t>响应文件的递交</w:t>
      </w:r>
      <w:bookmarkEnd w:id="25"/>
      <w:bookmarkEnd w:id="26"/>
    </w:p>
    <w:p w14:paraId="25211B2B">
      <w:pPr>
        <w:snapToGrid w:val="0"/>
        <w:spacing w:line="360" w:lineRule="auto"/>
        <w:ind w:firstLine="480" w:firstLineChars="200"/>
        <w:rPr>
          <w:rFonts w:ascii="宋体" w:hAnsi="宋体" w:cs="宋体"/>
          <w:color w:val="auto"/>
          <w:sz w:val="24"/>
          <w:highlight w:val="none"/>
        </w:rPr>
      </w:pPr>
      <w:bookmarkStart w:id="27" w:name="_Toc525632591"/>
      <w:bookmarkStart w:id="28" w:name="_Toc22719"/>
      <w:r>
        <w:rPr>
          <w:rFonts w:hint="eastAsia" w:ascii="宋体" w:hAnsi="宋体" w:cs="宋体"/>
          <w:color w:val="auto"/>
          <w:sz w:val="24"/>
          <w:highlight w:val="none"/>
        </w:rPr>
        <w:t xml:space="preserve">5.1响应文件递交的截止时间为2025年5月13日10时00分，供应商的法定代表人或其授权代理人应在文件递交截止时间前，将响应文件递交至安徽交控建设工程集团有限公司10楼职工书屋（1012室）。 </w:t>
      </w:r>
    </w:p>
    <w:p w14:paraId="4652BC61">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w:t>
      </w:r>
      <w:r>
        <w:rPr>
          <w:rFonts w:hint="eastAsia" w:ascii="宋体" w:hAnsi="宋体" w:cs="宋体"/>
          <w:color w:val="auto"/>
          <w:sz w:val="24"/>
          <w:highlight w:val="none"/>
          <w:lang w:val="en-US" w:eastAsia="zh-CN"/>
        </w:rPr>
        <w:t>2</w:t>
      </w:r>
      <w:r>
        <w:rPr>
          <w:rFonts w:hint="eastAsia" w:ascii="宋体" w:hAnsi="宋体" w:cs="宋体"/>
          <w:color w:val="auto"/>
          <w:sz w:val="24"/>
          <w:highlight w:val="none"/>
        </w:rPr>
        <w:t>本项目无需提供响应保证金。</w:t>
      </w:r>
    </w:p>
    <w:p w14:paraId="4F33B2F6">
      <w:pPr>
        <w:pStyle w:val="7"/>
        <w:numPr>
          <w:ilvl w:val="0"/>
          <w:numId w:val="0"/>
        </w:numPr>
        <w:snapToGrid w:val="0"/>
        <w:spacing w:line="360" w:lineRule="auto"/>
        <w:rPr>
          <w:rFonts w:ascii="Times New Roman" w:hAnsi="Times New Roman" w:eastAsia="黑体" w:cs="Times New Roman"/>
          <w:bCs w:val="0"/>
          <w:color w:val="auto"/>
          <w:sz w:val="24"/>
          <w:szCs w:val="24"/>
          <w:highlight w:val="none"/>
        </w:rPr>
      </w:pPr>
      <w:r>
        <w:rPr>
          <w:rFonts w:hint="eastAsia" w:ascii="Times New Roman" w:hAnsi="Times New Roman" w:eastAsia="黑体" w:cs="Times New Roman"/>
          <w:bCs w:val="0"/>
          <w:color w:val="auto"/>
          <w:sz w:val="24"/>
          <w:szCs w:val="24"/>
          <w:highlight w:val="none"/>
        </w:rPr>
        <w:t>6.</w:t>
      </w:r>
      <w:r>
        <w:rPr>
          <w:rFonts w:ascii="Times New Roman" w:hAnsi="Times New Roman" w:eastAsia="黑体" w:cs="Times New Roman"/>
          <w:bCs w:val="0"/>
          <w:color w:val="auto"/>
          <w:sz w:val="24"/>
          <w:szCs w:val="24"/>
          <w:highlight w:val="none"/>
        </w:rPr>
        <w:t>发布公告的媒介</w:t>
      </w:r>
      <w:bookmarkEnd w:id="27"/>
      <w:bookmarkEnd w:id="28"/>
    </w:p>
    <w:p w14:paraId="7027C309">
      <w:pPr>
        <w:snapToGrid w:val="0"/>
        <w:spacing w:line="360" w:lineRule="auto"/>
        <w:ind w:firstLine="480" w:firstLineChars="200"/>
        <w:rPr>
          <w:rFonts w:ascii="宋体" w:hAnsi="宋体" w:cs="宋体"/>
          <w:color w:val="auto"/>
          <w:sz w:val="24"/>
          <w:highlight w:val="none"/>
        </w:rPr>
      </w:pPr>
      <w:bookmarkStart w:id="29" w:name="_Toc525632592"/>
      <w:bookmarkStart w:id="30" w:name="_Toc28571_WPSOffice_Level2"/>
      <w:bookmarkStart w:id="31" w:name="_Toc14943_WPSOffice_Level2"/>
      <w:bookmarkStart w:id="32" w:name="_Toc26829"/>
      <w:bookmarkStart w:id="33" w:name="_Toc20572_WPSOffice_Level2"/>
      <w:bookmarkStart w:id="34" w:name="_Toc321_WPSOffice_Level2"/>
      <w:bookmarkStart w:id="35" w:name="_Toc8501"/>
      <w:r>
        <w:rPr>
          <w:rFonts w:hint="eastAsia" w:ascii="宋体" w:hAnsi="宋体" w:cs="宋体"/>
          <w:color w:val="auto"/>
          <w:sz w:val="24"/>
          <w:highlight w:val="none"/>
        </w:rPr>
        <w:t>本次采购公告同时在安徽交控建设工程集团有限公司网站发布。</w:t>
      </w:r>
    </w:p>
    <w:p w14:paraId="481AE684">
      <w:pPr>
        <w:pStyle w:val="7"/>
        <w:numPr>
          <w:ilvl w:val="0"/>
          <w:numId w:val="0"/>
        </w:numPr>
        <w:snapToGrid w:val="0"/>
        <w:spacing w:line="360" w:lineRule="auto"/>
        <w:rPr>
          <w:rFonts w:ascii="Times New Roman" w:hAnsi="Times New Roman" w:eastAsia="黑体" w:cs="Times New Roman"/>
          <w:bCs w:val="0"/>
          <w:color w:val="auto"/>
          <w:sz w:val="24"/>
          <w:szCs w:val="24"/>
          <w:highlight w:val="none"/>
        </w:rPr>
      </w:pPr>
      <w:r>
        <w:rPr>
          <w:rFonts w:hint="eastAsia" w:ascii="Times New Roman" w:hAnsi="Times New Roman" w:eastAsia="黑体" w:cs="Times New Roman"/>
          <w:bCs w:val="0"/>
          <w:color w:val="auto"/>
          <w:sz w:val="24"/>
          <w:szCs w:val="24"/>
          <w:highlight w:val="none"/>
        </w:rPr>
        <w:t>7.</w:t>
      </w:r>
      <w:r>
        <w:rPr>
          <w:rFonts w:ascii="Times New Roman" w:hAnsi="Times New Roman" w:eastAsia="黑体" w:cs="Times New Roman"/>
          <w:bCs w:val="0"/>
          <w:color w:val="auto"/>
          <w:sz w:val="24"/>
          <w:szCs w:val="24"/>
          <w:highlight w:val="none"/>
        </w:rPr>
        <w:t>采购人联系方式</w:t>
      </w:r>
      <w:bookmarkEnd w:id="29"/>
      <w:bookmarkEnd w:id="30"/>
      <w:bookmarkEnd w:id="31"/>
      <w:bookmarkEnd w:id="32"/>
      <w:bookmarkEnd w:id="33"/>
      <w:bookmarkEnd w:id="34"/>
      <w:bookmarkEnd w:id="35"/>
    </w:p>
    <w:p w14:paraId="6095058A">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7.1</w:t>
      </w:r>
      <w:r>
        <w:rPr>
          <w:rFonts w:hint="eastAsia" w:ascii="宋体" w:hAnsi="宋体" w:cs="宋体"/>
          <w:color w:val="auto"/>
          <w:sz w:val="24"/>
          <w:highlight w:val="none"/>
        </w:rPr>
        <w:t xml:space="preserve">采 购 人：安徽交控建设工程集团有限公司 </w:t>
      </w:r>
    </w:p>
    <w:p w14:paraId="63841724">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地    址： 安徽省合肥市滨湖高速时代广场C1号楼1005室  </w:t>
      </w:r>
    </w:p>
    <w:p w14:paraId="12CDAF51">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联 系 人：</w:t>
      </w:r>
      <w:r>
        <w:rPr>
          <w:rFonts w:hint="eastAsia" w:ascii="宋体" w:hAnsi="宋体" w:cs="宋体"/>
          <w:color w:val="auto"/>
          <w:sz w:val="24"/>
          <w:highlight w:val="none"/>
          <w:lang w:val="en-US" w:eastAsia="zh-CN"/>
        </w:rPr>
        <w:t>张工</w:t>
      </w:r>
      <w:r>
        <w:rPr>
          <w:rFonts w:hint="eastAsia" w:ascii="宋体" w:hAnsi="宋体" w:cs="宋体"/>
          <w:color w:val="auto"/>
          <w:sz w:val="24"/>
          <w:highlight w:val="none"/>
        </w:rPr>
        <w:t xml:space="preserve">   </w:t>
      </w:r>
    </w:p>
    <w:p w14:paraId="0E378C0C">
      <w:pPr>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电    话：0551-6</w:t>
      </w:r>
      <w:r>
        <w:rPr>
          <w:rFonts w:hint="eastAsia" w:ascii="宋体" w:hAnsi="宋体" w:cs="宋体"/>
          <w:color w:val="auto"/>
          <w:sz w:val="24"/>
          <w:highlight w:val="none"/>
          <w:lang w:val="en-US" w:eastAsia="zh-CN"/>
        </w:rPr>
        <w:t>2265209</w:t>
      </w:r>
      <w:r>
        <w:rPr>
          <w:rFonts w:hint="eastAsia" w:ascii="宋体" w:hAnsi="宋体" w:cs="宋体"/>
          <w:color w:val="auto"/>
          <w:sz w:val="24"/>
          <w:highlight w:val="none"/>
        </w:rPr>
        <w:t xml:space="preserve">  </w:t>
      </w:r>
    </w:p>
    <w:p w14:paraId="11FDD095">
      <w:pPr>
        <w:pStyle w:val="2"/>
        <w:ind w:left="0" w:leftChars="0" w:firstLine="0" w:firstLineChars="0"/>
        <w:rPr>
          <w:rFonts w:hint="default" w:eastAsia="宋体"/>
          <w:lang w:val="en-US" w:eastAsia="zh-CN"/>
        </w:rPr>
      </w:pPr>
      <w:r>
        <w:rPr>
          <w:rFonts w:hint="eastAsia" w:ascii="宋体" w:hAnsi="宋体" w:cs="宋体"/>
          <w:color w:val="auto"/>
          <w:sz w:val="24"/>
          <w:highlight w:val="none"/>
          <w:lang w:val="en-US" w:eastAsia="zh-CN"/>
        </w:rPr>
        <w:t xml:space="preserve">    电子邮箱：690754381@qq.com</w:t>
      </w:r>
    </w:p>
    <w:p w14:paraId="5D0A2C9F">
      <w:pPr>
        <w:rPr>
          <w:rFonts w:hint="eastAsia" w:ascii="Times New Roman" w:hAnsi="Times New Roman" w:eastAsia="宋体" w:cs="Times New Roman"/>
          <w:color w:val="auto"/>
          <w:highlight w:val="none"/>
        </w:rPr>
      </w:pPr>
      <w:bookmarkStart w:id="36" w:name="_Toc1629"/>
      <w:r>
        <w:rPr>
          <w:rFonts w:hint="eastAsia" w:ascii="Times New Roman" w:hAnsi="Times New Roman" w:eastAsia="宋体" w:cs="Times New Roman"/>
          <w:color w:val="auto"/>
          <w:highlight w:val="none"/>
        </w:rPr>
        <w:br w:type="page"/>
      </w:r>
    </w:p>
    <w:p w14:paraId="213F044C">
      <w:pPr>
        <w:pStyle w:val="6"/>
        <w:numPr>
          <w:ilvl w:val="0"/>
          <w:numId w:val="0"/>
        </w:numPr>
        <w:spacing w:before="312" w:after="312"/>
        <w:rPr>
          <w:rFonts w:ascii="Times New Roman" w:hAnsi="Times New Roman" w:eastAsia="宋体" w:cs="Times New Roman"/>
          <w:color w:val="auto"/>
          <w:highlight w:val="none"/>
        </w:rPr>
      </w:pPr>
      <w:r>
        <w:rPr>
          <w:rFonts w:hint="eastAsia" w:ascii="Times New Roman" w:hAnsi="Times New Roman" w:eastAsia="宋体" w:cs="Times New Roman"/>
          <w:color w:val="auto"/>
          <w:highlight w:val="none"/>
        </w:rPr>
        <w:t xml:space="preserve">第二章 </w:t>
      </w:r>
      <w:r>
        <w:rPr>
          <w:rFonts w:ascii="Times New Roman" w:hAnsi="Times New Roman" w:eastAsia="宋体" w:cs="Times New Roman"/>
          <w:color w:val="auto"/>
          <w:highlight w:val="none"/>
        </w:rPr>
        <w:t>供应商须知</w:t>
      </w:r>
      <w:bookmarkEnd w:id="36"/>
    </w:p>
    <w:p w14:paraId="18A68BD4">
      <w:pPr>
        <w:keepNext/>
        <w:keepLines/>
        <w:spacing w:line="360" w:lineRule="auto"/>
        <w:outlineLvl w:val="1"/>
        <w:rPr>
          <w:rFonts w:ascii="宋体" w:hAnsi="宋体" w:cs="宋体"/>
          <w:bCs/>
          <w:color w:val="auto"/>
          <w:sz w:val="24"/>
          <w:highlight w:val="none"/>
        </w:rPr>
      </w:pPr>
      <w:bookmarkStart w:id="37" w:name="_Toc26656938"/>
      <w:bookmarkStart w:id="38" w:name="_Toc14201207"/>
      <w:bookmarkStart w:id="39" w:name="_Toc9067720"/>
      <w:r>
        <w:rPr>
          <w:rFonts w:hint="eastAsia" w:ascii="宋体" w:hAnsi="宋体" w:cs="宋体"/>
          <w:bCs/>
          <w:color w:val="auto"/>
          <w:sz w:val="24"/>
          <w:highlight w:val="none"/>
        </w:rPr>
        <w:t>1. 总则</w:t>
      </w:r>
      <w:bookmarkEnd w:id="37"/>
      <w:bookmarkEnd w:id="38"/>
      <w:bookmarkEnd w:id="39"/>
    </w:p>
    <w:p w14:paraId="18D95DE7">
      <w:pPr>
        <w:keepNext/>
        <w:keepLines/>
        <w:spacing w:line="360" w:lineRule="auto"/>
        <w:outlineLvl w:val="2"/>
        <w:rPr>
          <w:rFonts w:ascii="宋体" w:hAnsi="宋体" w:cs="宋体"/>
          <w:bCs/>
          <w:color w:val="auto"/>
          <w:sz w:val="24"/>
          <w:highlight w:val="none"/>
        </w:rPr>
      </w:pPr>
      <w:bookmarkStart w:id="40" w:name="_Toc26656939"/>
      <w:bookmarkStart w:id="41" w:name="_Toc14201208"/>
      <w:r>
        <w:rPr>
          <w:rFonts w:hint="eastAsia" w:ascii="宋体" w:hAnsi="宋体" w:cs="宋体"/>
          <w:bCs/>
          <w:color w:val="auto"/>
          <w:sz w:val="24"/>
          <w:highlight w:val="none"/>
        </w:rPr>
        <w:t xml:space="preserve">1.1 </w:t>
      </w:r>
      <w:bookmarkEnd w:id="40"/>
      <w:bookmarkEnd w:id="41"/>
      <w:bookmarkStart w:id="42" w:name="_Toc26656941"/>
      <w:bookmarkStart w:id="43" w:name="_Toc14201210"/>
      <w:r>
        <w:rPr>
          <w:rFonts w:hint="eastAsia" w:ascii="宋体" w:hAnsi="宋体" w:cs="宋体"/>
          <w:bCs/>
          <w:color w:val="auto"/>
          <w:sz w:val="24"/>
          <w:highlight w:val="none"/>
        </w:rPr>
        <w:t>质量要求和安全</w:t>
      </w:r>
      <w:bookmarkEnd w:id="42"/>
      <w:bookmarkEnd w:id="43"/>
      <w:r>
        <w:rPr>
          <w:rFonts w:hint="eastAsia" w:ascii="宋体" w:hAnsi="宋体" w:cs="宋体"/>
          <w:bCs/>
          <w:color w:val="auto"/>
          <w:sz w:val="24"/>
          <w:highlight w:val="none"/>
        </w:rPr>
        <w:t>目标</w:t>
      </w:r>
    </w:p>
    <w:p w14:paraId="59E0CE96">
      <w:pPr>
        <w:spacing w:line="360" w:lineRule="auto"/>
        <w:ind w:firstLine="420"/>
        <w:rPr>
          <w:rFonts w:ascii="宋体" w:hAnsi="宋体" w:cs="宋体"/>
          <w:color w:val="auto"/>
          <w:sz w:val="24"/>
          <w:highlight w:val="none"/>
        </w:rPr>
      </w:pPr>
      <w:r>
        <w:rPr>
          <w:rFonts w:hint="eastAsia" w:ascii="宋体" w:hAnsi="宋体" w:cs="宋体"/>
          <w:color w:val="auto"/>
          <w:sz w:val="24"/>
          <w:highlight w:val="none"/>
        </w:rPr>
        <w:t>1.1.1 本合同包的质量要求：/。</w:t>
      </w:r>
    </w:p>
    <w:p w14:paraId="3E0A26FC">
      <w:pPr>
        <w:spacing w:line="360" w:lineRule="auto"/>
        <w:ind w:firstLine="420"/>
        <w:rPr>
          <w:rFonts w:ascii="宋体" w:hAnsi="宋体" w:cs="宋体"/>
          <w:color w:val="auto"/>
          <w:sz w:val="24"/>
          <w:highlight w:val="none"/>
        </w:rPr>
      </w:pPr>
      <w:r>
        <w:rPr>
          <w:rFonts w:hint="eastAsia" w:ascii="宋体" w:hAnsi="宋体" w:cs="宋体"/>
          <w:color w:val="auto"/>
          <w:sz w:val="24"/>
          <w:highlight w:val="none"/>
        </w:rPr>
        <w:t>1.1.2 本合同包的安全目标：/。</w:t>
      </w:r>
    </w:p>
    <w:p w14:paraId="3FD45A65">
      <w:pPr>
        <w:keepNext/>
        <w:keepLines/>
        <w:spacing w:line="360" w:lineRule="auto"/>
        <w:outlineLvl w:val="2"/>
        <w:rPr>
          <w:rFonts w:ascii="宋体" w:hAnsi="宋体" w:cs="宋体"/>
          <w:bCs/>
          <w:color w:val="auto"/>
          <w:sz w:val="24"/>
          <w:highlight w:val="none"/>
        </w:rPr>
      </w:pPr>
      <w:bookmarkStart w:id="44" w:name="_Toc14201211"/>
      <w:bookmarkStart w:id="45" w:name="_Toc26656942"/>
      <w:r>
        <w:rPr>
          <w:rFonts w:hint="eastAsia" w:ascii="宋体" w:hAnsi="宋体" w:cs="宋体"/>
          <w:bCs/>
          <w:color w:val="auto"/>
          <w:sz w:val="24"/>
          <w:highlight w:val="none"/>
        </w:rPr>
        <w:t>1.2 供应商资格要求</w:t>
      </w:r>
      <w:bookmarkEnd w:id="44"/>
      <w:bookmarkEnd w:id="45"/>
    </w:p>
    <w:p w14:paraId="207DFACE">
      <w:pPr>
        <w:spacing w:line="360" w:lineRule="auto"/>
        <w:ind w:firstLine="420"/>
        <w:rPr>
          <w:rFonts w:ascii="宋体" w:hAnsi="宋体" w:cs="宋体"/>
          <w:color w:val="auto"/>
          <w:sz w:val="24"/>
          <w:highlight w:val="none"/>
        </w:rPr>
      </w:pPr>
      <w:r>
        <w:rPr>
          <w:rFonts w:hint="eastAsia" w:ascii="宋体" w:hAnsi="宋体" w:cs="宋体"/>
          <w:color w:val="auto"/>
          <w:sz w:val="24"/>
          <w:highlight w:val="none"/>
        </w:rPr>
        <w:t>1.2.1供应商应具备承担本合同包服务的能力和信誉：见第一章 采购公告第3.1款要求。</w:t>
      </w:r>
    </w:p>
    <w:p w14:paraId="584C8125">
      <w:pPr>
        <w:spacing w:line="360" w:lineRule="auto"/>
        <w:ind w:firstLine="420"/>
        <w:rPr>
          <w:rFonts w:ascii="宋体" w:hAnsi="宋体" w:cs="宋体"/>
          <w:color w:val="auto"/>
          <w:sz w:val="24"/>
          <w:highlight w:val="none"/>
        </w:rPr>
      </w:pPr>
      <w:r>
        <w:rPr>
          <w:rFonts w:hint="eastAsia" w:ascii="宋体" w:hAnsi="宋体" w:cs="宋体"/>
          <w:color w:val="auto"/>
          <w:sz w:val="24"/>
          <w:highlight w:val="none"/>
        </w:rPr>
        <w:t>1.2.2 其他要求：/。</w:t>
      </w:r>
    </w:p>
    <w:p w14:paraId="21268E82">
      <w:pPr>
        <w:keepNext/>
        <w:keepLines/>
        <w:spacing w:line="360" w:lineRule="auto"/>
        <w:outlineLvl w:val="2"/>
        <w:rPr>
          <w:rFonts w:ascii="宋体" w:hAnsi="宋体" w:cs="宋体"/>
          <w:bCs/>
          <w:color w:val="auto"/>
          <w:sz w:val="24"/>
          <w:highlight w:val="none"/>
        </w:rPr>
      </w:pPr>
      <w:bookmarkStart w:id="46" w:name="_Toc14201212"/>
      <w:bookmarkStart w:id="47" w:name="_Toc26656943"/>
      <w:r>
        <w:rPr>
          <w:rFonts w:hint="eastAsia" w:ascii="宋体" w:hAnsi="宋体" w:cs="宋体"/>
          <w:bCs/>
          <w:color w:val="auto"/>
          <w:sz w:val="24"/>
          <w:highlight w:val="none"/>
        </w:rPr>
        <w:t>1.3 费用承担</w:t>
      </w:r>
      <w:bookmarkEnd w:id="46"/>
      <w:bookmarkEnd w:id="47"/>
    </w:p>
    <w:p w14:paraId="3DC58CC3">
      <w:pPr>
        <w:spacing w:line="360" w:lineRule="auto"/>
        <w:ind w:firstLine="420"/>
        <w:rPr>
          <w:rFonts w:ascii="宋体" w:hAnsi="宋体" w:cs="宋体"/>
          <w:color w:val="auto"/>
          <w:sz w:val="24"/>
          <w:highlight w:val="none"/>
        </w:rPr>
      </w:pPr>
      <w:r>
        <w:rPr>
          <w:rFonts w:hint="eastAsia" w:ascii="宋体" w:hAnsi="宋体" w:cs="宋体"/>
          <w:color w:val="auto"/>
          <w:sz w:val="24"/>
          <w:highlight w:val="none"/>
        </w:rPr>
        <w:t>供应商准备和参加询比活动发生的费用自理。</w:t>
      </w:r>
    </w:p>
    <w:p w14:paraId="4EBA6B5A">
      <w:pPr>
        <w:keepNext/>
        <w:keepLines/>
        <w:spacing w:line="360" w:lineRule="auto"/>
        <w:outlineLvl w:val="2"/>
        <w:rPr>
          <w:rFonts w:ascii="宋体" w:hAnsi="宋体" w:cs="宋体"/>
          <w:bCs/>
          <w:color w:val="auto"/>
          <w:sz w:val="24"/>
          <w:highlight w:val="none"/>
        </w:rPr>
      </w:pPr>
      <w:bookmarkStart w:id="48" w:name="_Toc26656944"/>
      <w:bookmarkStart w:id="49" w:name="_Toc14201213"/>
      <w:r>
        <w:rPr>
          <w:rFonts w:hint="eastAsia" w:ascii="宋体" w:hAnsi="宋体" w:cs="宋体"/>
          <w:bCs/>
          <w:color w:val="auto"/>
          <w:sz w:val="24"/>
          <w:highlight w:val="none"/>
        </w:rPr>
        <w:t>1.4 保密</w:t>
      </w:r>
      <w:bookmarkEnd w:id="48"/>
      <w:bookmarkEnd w:id="49"/>
    </w:p>
    <w:p w14:paraId="1CD5083A">
      <w:pPr>
        <w:spacing w:line="360" w:lineRule="auto"/>
        <w:ind w:firstLine="420"/>
        <w:rPr>
          <w:rFonts w:ascii="宋体" w:hAnsi="宋体" w:cs="宋体"/>
          <w:color w:val="auto"/>
          <w:sz w:val="24"/>
          <w:highlight w:val="none"/>
        </w:rPr>
      </w:pPr>
      <w:r>
        <w:rPr>
          <w:rFonts w:hint="eastAsia" w:ascii="宋体" w:hAnsi="宋体" w:cs="宋体"/>
          <w:color w:val="auto"/>
          <w:sz w:val="24"/>
          <w:highlight w:val="none"/>
        </w:rPr>
        <w:t>参与询比活动的各方应对询比文件和响应文件中的商业和技术等秘密保密，否则应承担相应的法律责任。</w:t>
      </w:r>
    </w:p>
    <w:p w14:paraId="3A0AF304">
      <w:pPr>
        <w:keepNext/>
        <w:keepLines/>
        <w:spacing w:line="360" w:lineRule="auto"/>
        <w:outlineLvl w:val="2"/>
        <w:rPr>
          <w:rFonts w:ascii="宋体" w:hAnsi="宋体" w:cs="宋体"/>
          <w:bCs/>
          <w:color w:val="auto"/>
          <w:sz w:val="24"/>
          <w:highlight w:val="none"/>
        </w:rPr>
      </w:pPr>
      <w:bookmarkStart w:id="50" w:name="_Toc26656946"/>
      <w:bookmarkStart w:id="51" w:name="_Toc14201215"/>
      <w:r>
        <w:rPr>
          <w:rFonts w:hint="eastAsia" w:ascii="宋体" w:hAnsi="宋体" w:cs="宋体"/>
          <w:bCs/>
          <w:color w:val="auto"/>
          <w:sz w:val="24"/>
          <w:highlight w:val="none"/>
        </w:rPr>
        <w:t>1.5 计量单位</w:t>
      </w:r>
      <w:bookmarkEnd w:id="50"/>
      <w:bookmarkEnd w:id="51"/>
    </w:p>
    <w:p w14:paraId="68C655AF">
      <w:pPr>
        <w:spacing w:line="360" w:lineRule="auto"/>
        <w:ind w:firstLine="420"/>
        <w:rPr>
          <w:rFonts w:ascii="宋体" w:hAnsi="宋体" w:cs="宋体"/>
          <w:color w:val="auto"/>
          <w:sz w:val="24"/>
          <w:highlight w:val="none"/>
        </w:rPr>
      </w:pPr>
      <w:r>
        <w:rPr>
          <w:rFonts w:hint="eastAsia" w:ascii="宋体" w:hAnsi="宋体" w:cs="宋体"/>
          <w:color w:val="auto"/>
          <w:sz w:val="24"/>
          <w:highlight w:val="none"/>
        </w:rPr>
        <w:t>所有计量均采用中华人民共和国法定计量单位。</w:t>
      </w:r>
    </w:p>
    <w:p w14:paraId="0C48E257">
      <w:pPr>
        <w:keepNext/>
        <w:keepLines/>
        <w:spacing w:line="360" w:lineRule="auto"/>
        <w:outlineLvl w:val="2"/>
        <w:rPr>
          <w:rFonts w:ascii="宋体" w:hAnsi="宋体" w:cs="宋体"/>
          <w:bCs/>
          <w:color w:val="auto"/>
          <w:sz w:val="24"/>
          <w:highlight w:val="none"/>
        </w:rPr>
      </w:pPr>
      <w:bookmarkStart w:id="52" w:name="_Toc14201216"/>
      <w:bookmarkStart w:id="53" w:name="_Toc26656947"/>
      <w:r>
        <w:rPr>
          <w:rFonts w:hint="eastAsia" w:ascii="宋体" w:hAnsi="宋体" w:cs="宋体"/>
          <w:bCs/>
          <w:color w:val="auto"/>
          <w:sz w:val="24"/>
          <w:highlight w:val="none"/>
        </w:rPr>
        <w:t>1.6 踏勘现场</w:t>
      </w:r>
      <w:bookmarkEnd w:id="52"/>
      <w:bookmarkEnd w:id="53"/>
    </w:p>
    <w:p w14:paraId="3D74275A">
      <w:pPr>
        <w:spacing w:line="360" w:lineRule="auto"/>
        <w:ind w:firstLine="420"/>
        <w:rPr>
          <w:rFonts w:ascii="宋体" w:hAnsi="宋体" w:cs="宋体"/>
          <w:color w:val="auto"/>
          <w:sz w:val="24"/>
          <w:highlight w:val="none"/>
        </w:rPr>
      </w:pPr>
      <w:r>
        <w:rPr>
          <w:rFonts w:hint="eastAsia" w:ascii="宋体" w:hAnsi="宋体" w:cs="宋体"/>
          <w:color w:val="auto"/>
          <w:sz w:val="24"/>
          <w:highlight w:val="none"/>
        </w:rPr>
        <w:t>供应商自行踏勘现场且费用自理。</w:t>
      </w:r>
    </w:p>
    <w:p w14:paraId="4D7642DE">
      <w:pPr>
        <w:keepNext/>
        <w:keepLines/>
        <w:spacing w:line="360" w:lineRule="auto"/>
        <w:outlineLvl w:val="2"/>
        <w:rPr>
          <w:rFonts w:ascii="宋体" w:hAnsi="宋体" w:cs="宋体"/>
          <w:bCs/>
          <w:color w:val="auto"/>
          <w:sz w:val="24"/>
          <w:highlight w:val="none"/>
        </w:rPr>
      </w:pPr>
      <w:bookmarkStart w:id="54" w:name="_Toc26656949"/>
      <w:bookmarkStart w:id="55" w:name="_Toc14201218"/>
      <w:r>
        <w:rPr>
          <w:rFonts w:hint="eastAsia" w:ascii="宋体" w:hAnsi="宋体" w:cs="宋体"/>
          <w:bCs/>
          <w:color w:val="auto"/>
          <w:sz w:val="24"/>
          <w:highlight w:val="none"/>
        </w:rPr>
        <w:t>1.7 分包</w:t>
      </w:r>
      <w:bookmarkEnd w:id="54"/>
      <w:bookmarkEnd w:id="55"/>
    </w:p>
    <w:p w14:paraId="6A1FEF21">
      <w:pPr>
        <w:spacing w:line="360" w:lineRule="auto"/>
        <w:ind w:firstLine="420"/>
        <w:rPr>
          <w:rFonts w:ascii="宋体" w:hAnsi="宋体" w:cs="宋体"/>
          <w:color w:val="auto"/>
          <w:sz w:val="24"/>
          <w:highlight w:val="none"/>
        </w:rPr>
      </w:pPr>
      <w:r>
        <w:rPr>
          <w:rFonts w:hint="eastAsia" w:ascii="宋体" w:hAnsi="宋体" w:cs="宋体"/>
          <w:color w:val="auto"/>
          <w:sz w:val="24"/>
          <w:highlight w:val="none"/>
        </w:rPr>
        <w:t xml:space="preserve">不允许分包。        </w:t>
      </w:r>
    </w:p>
    <w:p w14:paraId="27B848A1">
      <w:pPr>
        <w:keepNext/>
        <w:keepLines/>
        <w:spacing w:line="360" w:lineRule="auto"/>
        <w:outlineLvl w:val="2"/>
        <w:rPr>
          <w:rFonts w:ascii="宋体" w:hAnsi="宋体" w:cs="宋体"/>
          <w:bCs/>
          <w:color w:val="auto"/>
          <w:sz w:val="24"/>
          <w:highlight w:val="none"/>
        </w:rPr>
      </w:pPr>
      <w:bookmarkStart w:id="56" w:name="_Toc26656950"/>
      <w:bookmarkStart w:id="57" w:name="_Toc14201219"/>
      <w:r>
        <w:rPr>
          <w:rFonts w:hint="eastAsia" w:ascii="宋体" w:hAnsi="宋体" w:cs="宋体"/>
          <w:bCs/>
          <w:color w:val="auto"/>
          <w:sz w:val="24"/>
          <w:highlight w:val="none"/>
        </w:rPr>
        <w:t>1.8 偏</w:t>
      </w:r>
      <w:bookmarkEnd w:id="56"/>
      <w:bookmarkEnd w:id="57"/>
      <w:r>
        <w:rPr>
          <w:rFonts w:hint="eastAsia" w:ascii="宋体" w:hAnsi="宋体" w:cs="宋体"/>
          <w:bCs/>
          <w:color w:val="auto"/>
          <w:sz w:val="24"/>
          <w:highlight w:val="none"/>
        </w:rPr>
        <w:t>差</w:t>
      </w:r>
    </w:p>
    <w:p w14:paraId="48DB5FA5">
      <w:pPr>
        <w:spacing w:line="360" w:lineRule="auto"/>
        <w:ind w:firstLine="420"/>
        <w:rPr>
          <w:rFonts w:ascii="宋体" w:hAnsi="宋体" w:cs="宋体"/>
          <w:color w:val="auto"/>
          <w:sz w:val="24"/>
          <w:highlight w:val="none"/>
        </w:rPr>
      </w:pPr>
      <w:r>
        <w:rPr>
          <w:rFonts w:hint="eastAsia" w:ascii="宋体" w:hAnsi="宋体" w:cs="宋体"/>
          <w:color w:val="auto"/>
          <w:sz w:val="24"/>
          <w:highlight w:val="none"/>
        </w:rPr>
        <w:t>1.8.1 偏差包括重大偏差和细微偏差。</w:t>
      </w:r>
    </w:p>
    <w:p w14:paraId="395899F1">
      <w:pPr>
        <w:spacing w:line="360" w:lineRule="auto"/>
        <w:ind w:firstLine="420"/>
        <w:rPr>
          <w:rFonts w:ascii="宋体" w:hAnsi="宋体" w:cs="宋体"/>
          <w:color w:val="auto"/>
          <w:sz w:val="24"/>
          <w:highlight w:val="none"/>
        </w:rPr>
      </w:pPr>
      <w:r>
        <w:rPr>
          <w:rFonts w:hint="eastAsia" w:ascii="宋体" w:hAnsi="宋体" w:cs="宋体"/>
          <w:color w:val="auto"/>
          <w:sz w:val="24"/>
          <w:highlight w:val="none"/>
        </w:rPr>
        <w:t>1.8.2 响应文件存在第三章“评审办法”中所列任一否决响应文件情形的，均属于存在重大偏差，响应文件将被否决。</w:t>
      </w:r>
    </w:p>
    <w:p w14:paraId="0CBB96E8">
      <w:pPr>
        <w:keepNext/>
        <w:keepLines/>
        <w:spacing w:line="360" w:lineRule="auto"/>
        <w:outlineLvl w:val="1"/>
        <w:rPr>
          <w:rFonts w:ascii="宋体" w:hAnsi="宋体" w:cs="宋体"/>
          <w:bCs/>
          <w:color w:val="auto"/>
          <w:sz w:val="24"/>
          <w:highlight w:val="none"/>
        </w:rPr>
      </w:pPr>
      <w:bookmarkStart w:id="58" w:name="_Toc14201220"/>
      <w:bookmarkStart w:id="59" w:name="_Toc26656951"/>
      <w:bookmarkStart w:id="60" w:name="_Toc9067721"/>
      <w:r>
        <w:rPr>
          <w:rFonts w:hint="eastAsia" w:ascii="宋体" w:hAnsi="宋体" w:cs="宋体"/>
          <w:bCs/>
          <w:color w:val="auto"/>
          <w:sz w:val="24"/>
          <w:highlight w:val="none"/>
        </w:rPr>
        <w:t xml:space="preserve">2. </w:t>
      </w:r>
      <w:bookmarkEnd w:id="58"/>
      <w:bookmarkEnd w:id="59"/>
      <w:bookmarkEnd w:id="60"/>
      <w:r>
        <w:rPr>
          <w:rFonts w:hint="eastAsia" w:ascii="宋体" w:hAnsi="宋体" w:cs="宋体"/>
          <w:bCs/>
          <w:color w:val="auto"/>
          <w:sz w:val="24"/>
          <w:highlight w:val="none"/>
        </w:rPr>
        <w:t>询比文件</w:t>
      </w:r>
    </w:p>
    <w:p w14:paraId="321D4D4B">
      <w:pPr>
        <w:keepNext/>
        <w:keepLines/>
        <w:spacing w:line="360" w:lineRule="auto"/>
        <w:outlineLvl w:val="2"/>
        <w:rPr>
          <w:rFonts w:ascii="宋体" w:hAnsi="宋体" w:cs="宋体"/>
          <w:bCs/>
          <w:color w:val="auto"/>
          <w:sz w:val="24"/>
          <w:highlight w:val="none"/>
        </w:rPr>
      </w:pPr>
      <w:bookmarkStart w:id="61" w:name="_Toc14201221"/>
      <w:bookmarkStart w:id="62" w:name="_Toc26656952"/>
      <w:r>
        <w:rPr>
          <w:rFonts w:hint="eastAsia" w:ascii="宋体" w:hAnsi="宋体" w:cs="宋体"/>
          <w:bCs/>
          <w:color w:val="auto"/>
          <w:sz w:val="24"/>
          <w:highlight w:val="none"/>
        </w:rPr>
        <w:t>2.1 询比文件的组成</w:t>
      </w:r>
      <w:bookmarkEnd w:id="61"/>
      <w:bookmarkEnd w:id="62"/>
    </w:p>
    <w:p w14:paraId="6AE6575E">
      <w:pPr>
        <w:spacing w:line="360" w:lineRule="auto"/>
        <w:ind w:firstLine="420"/>
        <w:rPr>
          <w:rFonts w:ascii="宋体" w:hAnsi="宋体" w:cs="宋体"/>
          <w:color w:val="auto"/>
          <w:sz w:val="24"/>
          <w:highlight w:val="none"/>
        </w:rPr>
      </w:pPr>
      <w:r>
        <w:rPr>
          <w:rFonts w:hint="eastAsia" w:ascii="宋体" w:hAnsi="宋体" w:cs="宋体"/>
          <w:color w:val="auto"/>
          <w:sz w:val="24"/>
          <w:highlight w:val="none"/>
        </w:rPr>
        <w:t>本询比文件包括：</w:t>
      </w:r>
    </w:p>
    <w:p w14:paraId="5B36271A">
      <w:pPr>
        <w:spacing w:line="360" w:lineRule="auto"/>
        <w:ind w:firstLine="420"/>
        <w:rPr>
          <w:rFonts w:ascii="宋体" w:hAnsi="宋体" w:cs="宋体"/>
          <w:color w:val="auto"/>
          <w:sz w:val="24"/>
          <w:highlight w:val="none"/>
        </w:rPr>
      </w:pPr>
      <w:r>
        <w:rPr>
          <w:rFonts w:hint="eastAsia" w:ascii="宋体" w:hAnsi="宋体" w:cs="宋体"/>
          <w:color w:val="auto"/>
          <w:sz w:val="24"/>
          <w:highlight w:val="none"/>
        </w:rPr>
        <w:t>（1）采购公告；</w:t>
      </w:r>
    </w:p>
    <w:p w14:paraId="1867EF5F">
      <w:pPr>
        <w:spacing w:line="360" w:lineRule="auto"/>
        <w:ind w:firstLine="420"/>
        <w:rPr>
          <w:rFonts w:ascii="宋体" w:hAnsi="宋体" w:cs="宋体"/>
          <w:color w:val="auto"/>
          <w:sz w:val="24"/>
          <w:highlight w:val="none"/>
        </w:rPr>
      </w:pPr>
      <w:r>
        <w:rPr>
          <w:rFonts w:hint="eastAsia" w:ascii="宋体" w:hAnsi="宋体" w:cs="宋体"/>
          <w:color w:val="auto"/>
          <w:sz w:val="24"/>
          <w:highlight w:val="none"/>
        </w:rPr>
        <w:t>（2）供应商须知；</w:t>
      </w:r>
    </w:p>
    <w:p w14:paraId="35354C25">
      <w:pPr>
        <w:spacing w:line="360" w:lineRule="auto"/>
        <w:ind w:firstLine="420"/>
        <w:rPr>
          <w:rFonts w:ascii="宋体" w:hAnsi="宋体" w:cs="宋体"/>
          <w:color w:val="auto"/>
          <w:sz w:val="24"/>
          <w:highlight w:val="none"/>
        </w:rPr>
      </w:pPr>
      <w:r>
        <w:rPr>
          <w:rFonts w:hint="eastAsia" w:ascii="宋体" w:hAnsi="宋体" w:cs="宋体"/>
          <w:color w:val="auto"/>
          <w:sz w:val="24"/>
          <w:highlight w:val="none"/>
        </w:rPr>
        <w:t>（3）评审办法；</w:t>
      </w:r>
    </w:p>
    <w:p w14:paraId="29689D43">
      <w:pPr>
        <w:spacing w:line="360" w:lineRule="auto"/>
        <w:ind w:firstLine="420"/>
        <w:rPr>
          <w:rFonts w:ascii="宋体" w:hAnsi="宋体" w:cs="宋体"/>
          <w:color w:val="auto"/>
          <w:sz w:val="24"/>
          <w:highlight w:val="none"/>
        </w:rPr>
      </w:pPr>
      <w:r>
        <w:rPr>
          <w:rFonts w:hint="eastAsia" w:ascii="宋体" w:hAnsi="宋体" w:cs="宋体"/>
          <w:color w:val="auto"/>
          <w:sz w:val="24"/>
          <w:highlight w:val="none"/>
        </w:rPr>
        <w:t>（4）合同条款及格式；</w:t>
      </w:r>
    </w:p>
    <w:p w14:paraId="3202C543">
      <w:pPr>
        <w:spacing w:line="360" w:lineRule="auto"/>
        <w:ind w:firstLine="420"/>
        <w:rPr>
          <w:rFonts w:ascii="宋体" w:hAnsi="宋体" w:cs="宋体"/>
          <w:color w:val="auto"/>
          <w:sz w:val="24"/>
          <w:highlight w:val="none"/>
        </w:rPr>
      </w:pPr>
      <w:r>
        <w:rPr>
          <w:rFonts w:hint="eastAsia" w:ascii="宋体" w:hAnsi="宋体" w:cs="宋体"/>
          <w:color w:val="auto"/>
          <w:sz w:val="24"/>
          <w:highlight w:val="none"/>
        </w:rPr>
        <w:t>（5）响应文件格式。</w:t>
      </w:r>
    </w:p>
    <w:p w14:paraId="11A8643C">
      <w:pPr>
        <w:spacing w:line="360" w:lineRule="auto"/>
        <w:ind w:firstLine="420"/>
        <w:rPr>
          <w:rFonts w:ascii="宋体" w:hAnsi="宋体" w:cs="宋体"/>
          <w:color w:val="auto"/>
          <w:sz w:val="24"/>
          <w:highlight w:val="none"/>
        </w:rPr>
      </w:pPr>
      <w:r>
        <w:rPr>
          <w:rFonts w:hint="eastAsia" w:ascii="宋体" w:hAnsi="宋体" w:cs="宋体"/>
          <w:color w:val="auto"/>
          <w:sz w:val="24"/>
          <w:highlight w:val="none"/>
        </w:rPr>
        <w:t>根据本章第2.2款对询比文件所作的澄清、修改，构成询比文件的组成部分。</w:t>
      </w:r>
    </w:p>
    <w:p w14:paraId="5120791D">
      <w:pPr>
        <w:spacing w:line="360" w:lineRule="auto"/>
        <w:ind w:firstLine="420"/>
        <w:rPr>
          <w:rFonts w:ascii="宋体" w:hAnsi="宋体" w:cs="宋体"/>
          <w:color w:val="auto"/>
          <w:sz w:val="24"/>
          <w:highlight w:val="none"/>
        </w:rPr>
      </w:pPr>
      <w:r>
        <w:rPr>
          <w:rFonts w:hint="eastAsia" w:ascii="宋体" w:hAnsi="宋体" w:cs="宋体"/>
          <w:color w:val="auto"/>
          <w:sz w:val="24"/>
          <w:highlight w:val="none"/>
        </w:rPr>
        <w:t>当询比文件、询比文件的澄清或修改等在同一内容的表述上不一致时，以最后发出的书面文件为准。</w:t>
      </w:r>
    </w:p>
    <w:p w14:paraId="39B195F0">
      <w:pPr>
        <w:keepNext/>
        <w:keepLines/>
        <w:spacing w:line="360" w:lineRule="auto"/>
        <w:outlineLvl w:val="2"/>
        <w:rPr>
          <w:rFonts w:ascii="宋体" w:hAnsi="宋体" w:cs="宋体"/>
          <w:bCs/>
          <w:color w:val="auto"/>
          <w:sz w:val="24"/>
          <w:highlight w:val="none"/>
        </w:rPr>
      </w:pPr>
      <w:bookmarkStart w:id="63" w:name="_Toc14201222"/>
      <w:bookmarkStart w:id="64" w:name="_Toc26656953"/>
      <w:r>
        <w:rPr>
          <w:rFonts w:hint="eastAsia" w:ascii="宋体" w:hAnsi="宋体" w:cs="宋体"/>
          <w:bCs/>
          <w:color w:val="auto"/>
          <w:sz w:val="24"/>
          <w:highlight w:val="none"/>
        </w:rPr>
        <w:t>2.2 询比文件的澄清</w:t>
      </w:r>
      <w:bookmarkEnd w:id="63"/>
      <w:bookmarkEnd w:id="64"/>
      <w:r>
        <w:rPr>
          <w:rFonts w:hint="eastAsia" w:ascii="宋体" w:hAnsi="宋体" w:cs="宋体"/>
          <w:bCs/>
          <w:color w:val="auto"/>
          <w:sz w:val="24"/>
          <w:highlight w:val="none"/>
        </w:rPr>
        <w:t>与修改</w:t>
      </w:r>
    </w:p>
    <w:p w14:paraId="7B778F5C">
      <w:pPr>
        <w:spacing w:line="360" w:lineRule="auto"/>
        <w:ind w:firstLine="420"/>
        <w:rPr>
          <w:rFonts w:ascii="宋体" w:hAnsi="宋体" w:cs="宋体"/>
          <w:color w:val="auto"/>
          <w:sz w:val="24"/>
          <w:highlight w:val="none"/>
        </w:rPr>
      </w:pPr>
      <w:r>
        <w:rPr>
          <w:rFonts w:hint="eastAsia" w:ascii="宋体" w:hAnsi="宋体" w:cs="宋体"/>
          <w:color w:val="auto"/>
          <w:sz w:val="24"/>
          <w:highlight w:val="none"/>
        </w:rPr>
        <w:t>2.2.1供应商如有疑问，应在递交响应文件的截止时间前3日前通过平台要求采购人对询比文件予以澄清或修改。</w:t>
      </w:r>
    </w:p>
    <w:p w14:paraId="33B4F80A">
      <w:pPr>
        <w:spacing w:line="360" w:lineRule="auto"/>
        <w:ind w:firstLine="420"/>
        <w:rPr>
          <w:rFonts w:ascii="宋体" w:hAnsi="宋体" w:cs="宋体"/>
          <w:color w:val="auto"/>
          <w:sz w:val="24"/>
          <w:highlight w:val="none"/>
        </w:rPr>
      </w:pPr>
      <w:r>
        <w:rPr>
          <w:rFonts w:hint="eastAsia" w:ascii="宋体" w:hAnsi="宋体" w:cs="宋体"/>
          <w:color w:val="auto"/>
          <w:sz w:val="24"/>
          <w:highlight w:val="none"/>
        </w:rPr>
        <w:t>2.2.2 除非采购人认为确有必要答复，否则，采购人有权拒绝回复供应商在本章第2.2.1项规定的时间后提出的任何澄清或修改要求。</w:t>
      </w:r>
    </w:p>
    <w:p w14:paraId="6C720831">
      <w:pPr>
        <w:keepNext/>
        <w:keepLines/>
        <w:spacing w:line="360" w:lineRule="auto"/>
        <w:outlineLvl w:val="1"/>
        <w:rPr>
          <w:rFonts w:ascii="宋体" w:hAnsi="宋体" w:cs="宋体"/>
          <w:b/>
          <w:color w:val="auto"/>
          <w:sz w:val="24"/>
          <w:highlight w:val="none"/>
        </w:rPr>
      </w:pPr>
      <w:bookmarkStart w:id="65" w:name="_Toc26656956"/>
      <w:bookmarkStart w:id="66" w:name="_Toc14201225"/>
      <w:bookmarkStart w:id="67" w:name="_Toc9067722"/>
      <w:r>
        <w:rPr>
          <w:rFonts w:hint="eastAsia" w:ascii="宋体" w:hAnsi="宋体" w:cs="宋体"/>
          <w:b/>
          <w:color w:val="auto"/>
          <w:sz w:val="24"/>
          <w:highlight w:val="none"/>
        </w:rPr>
        <w:t xml:space="preserve">3. </w:t>
      </w:r>
      <w:bookmarkEnd w:id="65"/>
      <w:bookmarkEnd w:id="66"/>
      <w:bookmarkEnd w:id="67"/>
      <w:r>
        <w:rPr>
          <w:rFonts w:hint="eastAsia" w:ascii="宋体" w:hAnsi="宋体" w:cs="宋体"/>
          <w:b/>
          <w:color w:val="auto"/>
          <w:sz w:val="24"/>
          <w:highlight w:val="none"/>
        </w:rPr>
        <w:t>响应文件</w:t>
      </w:r>
    </w:p>
    <w:p w14:paraId="0232660B">
      <w:pPr>
        <w:keepNext/>
        <w:keepLines/>
        <w:spacing w:line="360" w:lineRule="auto"/>
        <w:outlineLvl w:val="2"/>
        <w:rPr>
          <w:rFonts w:ascii="宋体" w:hAnsi="宋体" w:cs="宋体"/>
          <w:b/>
          <w:color w:val="auto"/>
          <w:sz w:val="24"/>
          <w:highlight w:val="none"/>
        </w:rPr>
      </w:pPr>
      <w:bookmarkStart w:id="68" w:name="_Toc26656957"/>
      <w:bookmarkStart w:id="69" w:name="_Toc14201226"/>
      <w:r>
        <w:rPr>
          <w:rFonts w:hint="eastAsia" w:ascii="宋体" w:hAnsi="宋体" w:cs="宋体"/>
          <w:b/>
          <w:color w:val="auto"/>
          <w:sz w:val="24"/>
          <w:highlight w:val="none"/>
        </w:rPr>
        <w:t>3.1响应文件的组成</w:t>
      </w:r>
      <w:bookmarkEnd w:id="68"/>
      <w:bookmarkEnd w:id="69"/>
    </w:p>
    <w:p w14:paraId="6E3ABF41">
      <w:pPr>
        <w:spacing w:line="360" w:lineRule="auto"/>
        <w:ind w:firstLine="420"/>
        <w:rPr>
          <w:rFonts w:ascii="宋体" w:hAnsi="宋体" w:cs="宋体"/>
          <w:color w:val="auto"/>
          <w:sz w:val="24"/>
          <w:highlight w:val="none"/>
        </w:rPr>
      </w:pPr>
      <w:r>
        <w:rPr>
          <w:rFonts w:hint="eastAsia" w:ascii="宋体" w:hAnsi="宋体" w:cs="宋体"/>
          <w:color w:val="auto"/>
          <w:sz w:val="24"/>
          <w:highlight w:val="none"/>
        </w:rPr>
        <w:t>响应文件应包括下列内容：</w:t>
      </w:r>
    </w:p>
    <w:p w14:paraId="1B7CBF75">
      <w:pPr>
        <w:spacing w:line="360" w:lineRule="auto"/>
        <w:ind w:firstLine="420"/>
        <w:rPr>
          <w:rFonts w:ascii="宋体" w:hAnsi="宋体" w:cs="宋体"/>
          <w:color w:val="auto"/>
          <w:sz w:val="24"/>
          <w:highlight w:val="none"/>
        </w:rPr>
      </w:pPr>
      <w:r>
        <w:rPr>
          <w:rFonts w:hint="eastAsia" w:ascii="宋体" w:hAnsi="宋体" w:cs="宋体"/>
          <w:color w:val="auto"/>
          <w:sz w:val="24"/>
          <w:highlight w:val="none"/>
        </w:rPr>
        <w:t>（1）报价函；</w:t>
      </w:r>
    </w:p>
    <w:p w14:paraId="5314EB6C">
      <w:pPr>
        <w:spacing w:line="360" w:lineRule="auto"/>
        <w:ind w:firstLine="420"/>
        <w:rPr>
          <w:rFonts w:ascii="宋体" w:hAnsi="宋体" w:cs="宋体"/>
          <w:color w:val="auto"/>
          <w:sz w:val="24"/>
          <w:highlight w:val="none"/>
        </w:rPr>
      </w:pPr>
      <w:r>
        <w:rPr>
          <w:rFonts w:hint="eastAsia" w:ascii="宋体" w:hAnsi="宋体" w:cs="宋体"/>
          <w:color w:val="auto"/>
          <w:sz w:val="24"/>
          <w:highlight w:val="none"/>
        </w:rPr>
        <w:t>（2）法定代表人身份证明及授权委托书；</w:t>
      </w:r>
    </w:p>
    <w:p w14:paraId="37A3792B">
      <w:pPr>
        <w:spacing w:line="360" w:lineRule="auto"/>
        <w:ind w:firstLine="420"/>
        <w:rPr>
          <w:rFonts w:ascii="宋体" w:hAnsi="宋体" w:cs="宋体"/>
          <w:color w:val="auto"/>
          <w:sz w:val="24"/>
          <w:highlight w:val="none"/>
        </w:rPr>
      </w:pPr>
      <w:r>
        <w:rPr>
          <w:rFonts w:hint="eastAsia" w:ascii="宋体" w:hAnsi="宋体" w:cs="宋体"/>
          <w:color w:val="auto"/>
          <w:sz w:val="24"/>
          <w:highlight w:val="none"/>
        </w:rPr>
        <w:t>（3）已标价的报价清单；</w:t>
      </w:r>
    </w:p>
    <w:p w14:paraId="1727E82B">
      <w:pPr>
        <w:spacing w:line="360" w:lineRule="auto"/>
        <w:ind w:firstLine="420"/>
        <w:rPr>
          <w:rFonts w:ascii="宋体" w:hAnsi="宋体" w:cs="宋体"/>
          <w:color w:val="auto"/>
          <w:sz w:val="24"/>
          <w:highlight w:val="none"/>
        </w:rPr>
      </w:pPr>
      <w:r>
        <w:rPr>
          <w:rFonts w:hint="eastAsia" w:ascii="宋体" w:hAnsi="宋体" w:cs="宋体"/>
          <w:color w:val="auto"/>
          <w:sz w:val="24"/>
          <w:highlight w:val="none"/>
        </w:rPr>
        <w:t>（4）供应商基本情况；</w:t>
      </w:r>
    </w:p>
    <w:p w14:paraId="30CE9F7C">
      <w:pPr>
        <w:spacing w:line="360" w:lineRule="auto"/>
        <w:ind w:firstLine="420"/>
        <w:rPr>
          <w:rFonts w:ascii="宋体" w:hAnsi="宋体" w:cs="宋体"/>
          <w:color w:val="auto"/>
          <w:sz w:val="24"/>
          <w:highlight w:val="none"/>
        </w:rPr>
      </w:pPr>
      <w:r>
        <w:rPr>
          <w:rFonts w:hint="eastAsia" w:ascii="宋体" w:hAnsi="宋体" w:cs="宋体"/>
          <w:color w:val="auto"/>
          <w:sz w:val="24"/>
          <w:highlight w:val="none"/>
        </w:rPr>
        <w:t>（5）近年类似业绩情况；</w:t>
      </w:r>
    </w:p>
    <w:p w14:paraId="1C82A917">
      <w:pPr>
        <w:spacing w:line="360" w:lineRule="auto"/>
        <w:ind w:firstLine="420"/>
        <w:rPr>
          <w:rFonts w:ascii="宋体" w:hAnsi="宋体" w:cs="宋体"/>
          <w:color w:val="auto"/>
          <w:sz w:val="24"/>
          <w:highlight w:val="none"/>
        </w:rPr>
      </w:pPr>
      <w:r>
        <w:rPr>
          <w:rFonts w:hint="eastAsia" w:ascii="宋体" w:hAnsi="宋体" w:cs="宋体"/>
          <w:color w:val="auto"/>
          <w:sz w:val="24"/>
          <w:highlight w:val="none"/>
        </w:rPr>
        <w:t>（6）拟委任的主要人员；</w:t>
      </w:r>
    </w:p>
    <w:p w14:paraId="628598A6">
      <w:pPr>
        <w:spacing w:line="360" w:lineRule="auto"/>
        <w:ind w:firstLine="420"/>
        <w:rPr>
          <w:rFonts w:ascii="宋体" w:hAnsi="宋体" w:cs="宋体"/>
          <w:color w:val="auto"/>
          <w:sz w:val="24"/>
          <w:highlight w:val="none"/>
        </w:rPr>
      </w:pPr>
      <w:r>
        <w:rPr>
          <w:rFonts w:hint="eastAsia" w:ascii="宋体" w:hAnsi="宋体" w:cs="宋体"/>
          <w:color w:val="auto"/>
          <w:sz w:val="24"/>
          <w:highlight w:val="none"/>
        </w:rPr>
        <w:t>（7）信誉情况；</w:t>
      </w:r>
    </w:p>
    <w:p w14:paraId="272A4312">
      <w:pPr>
        <w:spacing w:line="360" w:lineRule="auto"/>
        <w:ind w:firstLine="420"/>
        <w:rPr>
          <w:rFonts w:ascii="宋体" w:hAnsi="宋体" w:cs="宋体"/>
          <w:color w:val="auto"/>
          <w:sz w:val="24"/>
          <w:highlight w:val="none"/>
        </w:rPr>
      </w:pPr>
      <w:r>
        <w:rPr>
          <w:rFonts w:hint="eastAsia" w:ascii="宋体" w:hAnsi="宋体" w:cs="宋体"/>
          <w:color w:val="auto"/>
          <w:sz w:val="24"/>
          <w:highlight w:val="none"/>
        </w:rPr>
        <w:t>（8）服务方案；</w:t>
      </w:r>
    </w:p>
    <w:p w14:paraId="0DB99507">
      <w:pPr>
        <w:spacing w:line="360" w:lineRule="auto"/>
        <w:ind w:firstLine="420"/>
        <w:rPr>
          <w:rFonts w:ascii="宋体" w:hAnsi="宋体" w:cs="宋体"/>
          <w:color w:val="auto"/>
          <w:sz w:val="24"/>
          <w:highlight w:val="none"/>
        </w:rPr>
      </w:pPr>
      <w:r>
        <w:rPr>
          <w:rFonts w:hint="eastAsia" w:ascii="宋体" w:hAnsi="宋体" w:cs="宋体"/>
          <w:color w:val="auto"/>
          <w:sz w:val="24"/>
          <w:highlight w:val="none"/>
        </w:rPr>
        <w:t>（9）其他材料。</w:t>
      </w:r>
    </w:p>
    <w:p w14:paraId="6630CFFC">
      <w:pPr>
        <w:keepNext/>
        <w:keepLines/>
        <w:spacing w:line="360" w:lineRule="auto"/>
        <w:outlineLvl w:val="2"/>
        <w:rPr>
          <w:rFonts w:ascii="宋体" w:hAnsi="宋体" w:cs="宋体"/>
          <w:bCs/>
          <w:color w:val="auto"/>
          <w:sz w:val="24"/>
          <w:highlight w:val="none"/>
        </w:rPr>
      </w:pPr>
      <w:bookmarkStart w:id="70" w:name="_Toc14201227"/>
      <w:bookmarkStart w:id="71" w:name="_Toc26656958"/>
      <w:r>
        <w:rPr>
          <w:rFonts w:hint="eastAsia" w:ascii="宋体" w:hAnsi="宋体" w:cs="宋体"/>
          <w:b/>
          <w:color w:val="auto"/>
          <w:sz w:val="24"/>
          <w:highlight w:val="none"/>
        </w:rPr>
        <w:t>3.2 报价</w:t>
      </w:r>
      <w:bookmarkEnd w:id="70"/>
      <w:bookmarkEnd w:id="71"/>
      <w:r>
        <w:rPr>
          <w:rFonts w:hint="eastAsia" w:ascii="宋体" w:hAnsi="宋体" w:cs="宋体"/>
          <w:b/>
          <w:color w:val="auto"/>
          <w:sz w:val="24"/>
          <w:highlight w:val="none"/>
        </w:rPr>
        <w:t>要求</w:t>
      </w:r>
    </w:p>
    <w:p w14:paraId="15764690">
      <w:pPr>
        <w:spacing w:line="360" w:lineRule="auto"/>
        <w:ind w:firstLine="420"/>
        <w:rPr>
          <w:rFonts w:ascii="宋体" w:hAnsi="宋体" w:cs="宋体"/>
          <w:color w:val="auto"/>
          <w:sz w:val="24"/>
          <w:highlight w:val="none"/>
        </w:rPr>
      </w:pPr>
      <w:r>
        <w:rPr>
          <w:rFonts w:hint="eastAsia" w:ascii="宋体" w:hAnsi="宋体" w:cs="宋体"/>
          <w:color w:val="auto"/>
          <w:sz w:val="24"/>
          <w:highlight w:val="none"/>
        </w:rPr>
        <w:t>3.2.1 报价应包括国家规定的增值税税金，供应商应提供增值税（专用）发票。</w:t>
      </w:r>
    </w:p>
    <w:p w14:paraId="70606AE8">
      <w:pPr>
        <w:spacing w:line="360" w:lineRule="auto"/>
        <w:ind w:firstLine="420"/>
        <w:rPr>
          <w:rFonts w:ascii="宋体" w:hAnsi="宋体" w:cs="宋体"/>
          <w:color w:val="auto"/>
          <w:sz w:val="24"/>
          <w:highlight w:val="none"/>
        </w:rPr>
      </w:pPr>
      <w:r>
        <w:rPr>
          <w:rFonts w:hint="eastAsia" w:ascii="宋体" w:hAnsi="宋体" w:cs="宋体"/>
          <w:color w:val="auto"/>
          <w:sz w:val="24"/>
          <w:highlight w:val="none"/>
        </w:rPr>
        <w:t>3.2.2 供应商应按第六章“响应文件格式”的要求在报价函中进行报价并填写报价清单相应表格。</w:t>
      </w:r>
    </w:p>
    <w:p w14:paraId="7D67C4CB">
      <w:pPr>
        <w:spacing w:line="360" w:lineRule="auto"/>
        <w:ind w:firstLine="420"/>
        <w:rPr>
          <w:rFonts w:ascii="宋体" w:hAnsi="宋体" w:cs="宋体"/>
          <w:color w:val="auto"/>
          <w:sz w:val="24"/>
          <w:highlight w:val="none"/>
        </w:rPr>
      </w:pPr>
      <w:r>
        <w:rPr>
          <w:rFonts w:hint="eastAsia" w:ascii="宋体" w:hAnsi="宋体" w:cs="宋体"/>
          <w:color w:val="auto"/>
          <w:sz w:val="24"/>
          <w:highlight w:val="none"/>
        </w:rPr>
        <w:t>3.2.3 采购人设有最高限价的，供应商的报价不得超过最高限价。</w:t>
      </w:r>
    </w:p>
    <w:p w14:paraId="2775FC58">
      <w:pPr>
        <w:spacing w:line="360" w:lineRule="auto"/>
        <w:ind w:firstLine="420"/>
        <w:rPr>
          <w:rFonts w:ascii="宋体" w:hAnsi="宋体" w:cs="宋体"/>
          <w:color w:val="auto"/>
          <w:sz w:val="24"/>
          <w:highlight w:val="none"/>
        </w:rPr>
      </w:pPr>
      <w:r>
        <w:rPr>
          <w:rFonts w:hint="eastAsia" w:ascii="宋体" w:hAnsi="宋体" w:cs="宋体"/>
          <w:color w:val="auto"/>
          <w:sz w:val="24"/>
          <w:highlight w:val="none"/>
        </w:rPr>
        <w:t>3.2.4本项目的报价方式：总价报价。</w:t>
      </w:r>
    </w:p>
    <w:p w14:paraId="1F8C1C38">
      <w:pPr>
        <w:spacing w:line="360" w:lineRule="auto"/>
        <w:ind w:firstLine="420"/>
        <w:rPr>
          <w:rFonts w:ascii="宋体" w:hAnsi="宋体" w:cs="宋体"/>
          <w:color w:val="auto"/>
          <w:sz w:val="24"/>
          <w:highlight w:val="none"/>
        </w:rPr>
      </w:pPr>
      <w:r>
        <w:rPr>
          <w:rFonts w:hint="eastAsia" w:ascii="宋体" w:hAnsi="宋体" w:cs="宋体"/>
          <w:color w:val="auto"/>
          <w:sz w:val="24"/>
          <w:highlight w:val="none"/>
        </w:rPr>
        <w:t>本次报价以采购人提供的工作量情况，根据安徽省物价局、建设厅皖价服〔2007〕86号文件规定和市场行情自主报价。</w:t>
      </w:r>
    </w:p>
    <w:p w14:paraId="1959E3CA">
      <w:pPr>
        <w:spacing w:line="360" w:lineRule="auto"/>
        <w:ind w:firstLine="420"/>
        <w:rPr>
          <w:rFonts w:ascii="宋体" w:hAnsi="宋体" w:cs="宋体"/>
          <w:color w:val="auto"/>
          <w:sz w:val="24"/>
          <w:highlight w:val="none"/>
        </w:rPr>
      </w:pPr>
      <w:r>
        <w:rPr>
          <w:rFonts w:hint="eastAsia" w:ascii="宋体" w:hAnsi="宋体" w:cs="宋体"/>
          <w:color w:val="auto"/>
          <w:sz w:val="24"/>
          <w:highlight w:val="none"/>
        </w:rPr>
        <w:t>3.2.5 报价的其他要求：</w:t>
      </w:r>
    </w:p>
    <w:p w14:paraId="17B0F590">
      <w:pPr>
        <w:spacing w:line="360" w:lineRule="auto"/>
        <w:ind w:firstLine="420"/>
        <w:rPr>
          <w:rFonts w:ascii="宋体" w:hAnsi="宋体" w:cs="宋体"/>
          <w:color w:val="auto"/>
          <w:sz w:val="24"/>
          <w:highlight w:val="none"/>
        </w:rPr>
      </w:pPr>
      <w:r>
        <w:rPr>
          <w:rFonts w:hint="eastAsia" w:ascii="宋体" w:hAnsi="宋体" w:cs="宋体"/>
          <w:color w:val="auto"/>
          <w:sz w:val="24"/>
          <w:highlight w:val="none"/>
        </w:rPr>
        <w:t>1.响应人只允许有一个报价，不接受备选的报价方案或有选择的报价。</w:t>
      </w:r>
    </w:p>
    <w:p w14:paraId="233BA141">
      <w:pPr>
        <w:spacing w:line="360" w:lineRule="auto"/>
        <w:ind w:firstLine="420"/>
        <w:rPr>
          <w:rFonts w:ascii="宋体" w:hAnsi="宋体" w:cs="宋体"/>
          <w:color w:val="auto"/>
          <w:sz w:val="24"/>
          <w:highlight w:val="none"/>
        </w:rPr>
      </w:pPr>
      <w:r>
        <w:rPr>
          <w:rFonts w:hint="eastAsia" w:ascii="宋体" w:hAnsi="宋体" w:cs="宋体"/>
          <w:color w:val="auto"/>
          <w:sz w:val="24"/>
          <w:highlight w:val="none"/>
        </w:rPr>
        <w:t>2.响应人报价时应充分考虑所有可能影响到报价的价格因素，一旦评审结束最终中选，不予调整。如发生漏、缺、少项，都将被认为是中选人的报价让利行为，损失自负。</w:t>
      </w:r>
    </w:p>
    <w:p w14:paraId="2FAB696E">
      <w:pPr>
        <w:spacing w:line="360" w:lineRule="auto"/>
        <w:ind w:firstLine="420"/>
        <w:rPr>
          <w:rFonts w:ascii="宋体" w:hAnsi="宋体" w:cs="宋体"/>
          <w:color w:val="auto"/>
          <w:sz w:val="24"/>
          <w:highlight w:val="none"/>
        </w:rPr>
      </w:pPr>
      <w:r>
        <w:rPr>
          <w:rFonts w:hint="eastAsia" w:ascii="宋体" w:hAnsi="宋体" w:cs="宋体"/>
          <w:color w:val="auto"/>
          <w:sz w:val="24"/>
          <w:highlight w:val="none"/>
        </w:rPr>
        <w:t>3.报价编制要求</w:t>
      </w:r>
    </w:p>
    <w:p w14:paraId="44EEBE18">
      <w:pPr>
        <w:spacing w:line="360" w:lineRule="auto"/>
        <w:ind w:firstLine="480" w:firstLineChars="200"/>
        <w:rPr>
          <w:rFonts w:hint="default" w:ascii="宋体" w:hAnsi="宋体" w:eastAsia="宋体" w:cs="宋体"/>
          <w:color w:val="auto"/>
          <w:sz w:val="24"/>
          <w:highlight w:val="none"/>
          <w:lang w:val="en-US" w:eastAsia="zh-CN"/>
        </w:rPr>
      </w:pPr>
      <w:r>
        <w:rPr>
          <w:rFonts w:hint="eastAsia" w:ascii="宋体" w:hAnsi="宋体" w:cs="宋体"/>
          <w:color w:val="auto"/>
          <w:sz w:val="24"/>
          <w:highlight w:val="none"/>
        </w:rPr>
        <w:t>（1）本项目最高限价：</w:t>
      </w:r>
      <w:r>
        <w:rPr>
          <w:rFonts w:hint="eastAsia" w:ascii="宋体" w:hAnsi="宋体" w:cs="宋体"/>
          <w:color w:val="auto"/>
          <w:sz w:val="24"/>
          <w:highlight w:val="none"/>
          <w:lang w:val="en-US" w:eastAsia="zh-CN"/>
        </w:rPr>
        <w:t>20万元，</w:t>
      </w:r>
      <w:r>
        <w:rPr>
          <w:rFonts w:hint="eastAsia" w:ascii="宋体" w:hAnsi="宋体" w:cs="宋体"/>
          <w:color w:val="auto"/>
          <w:sz w:val="24"/>
          <w:highlight w:val="none"/>
        </w:rPr>
        <w:t>中标后价格不予调整。</w:t>
      </w:r>
    </w:p>
    <w:p w14:paraId="238B9CCC">
      <w:pPr>
        <w:spacing w:line="360" w:lineRule="auto"/>
        <w:ind w:firstLine="420"/>
        <w:rPr>
          <w:rFonts w:ascii="宋体" w:hAnsi="宋体" w:cs="宋体"/>
          <w:color w:val="auto"/>
          <w:sz w:val="24"/>
          <w:highlight w:val="none"/>
        </w:rPr>
      </w:pPr>
      <w:r>
        <w:rPr>
          <w:rFonts w:hint="eastAsia" w:ascii="宋体" w:hAnsi="宋体" w:cs="宋体"/>
          <w:color w:val="auto"/>
          <w:sz w:val="24"/>
          <w:highlight w:val="none"/>
        </w:rPr>
        <w:t>（2）本次报价以响应人提供的工作量情况，根据安徽省物价局、建设厅皖价服 〔2007〕86号文件规定和市场行情自主报价；</w:t>
      </w:r>
    </w:p>
    <w:p w14:paraId="2513F9CD">
      <w:pPr>
        <w:keepNext/>
        <w:keepLines/>
        <w:spacing w:line="360" w:lineRule="auto"/>
        <w:outlineLvl w:val="2"/>
        <w:rPr>
          <w:rFonts w:ascii="宋体" w:hAnsi="宋体" w:cs="宋体"/>
          <w:b/>
          <w:color w:val="auto"/>
          <w:sz w:val="24"/>
          <w:highlight w:val="none"/>
        </w:rPr>
      </w:pPr>
      <w:bookmarkStart w:id="72" w:name="_Toc14201228"/>
      <w:bookmarkStart w:id="73" w:name="_Toc26656959"/>
      <w:r>
        <w:rPr>
          <w:rFonts w:hint="eastAsia" w:ascii="宋体" w:hAnsi="宋体" w:cs="宋体"/>
          <w:b/>
          <w:color w:val="auto"/>
          <w:sz w:val="24"/>
          <w:highlight w:val="none"/>
        </w:rPr>
        <w:t>3.3</w:t>
      </w:r>
      <w:bookmarkEnd w:id="72"/>
      <w:bookmarkEnd w:id="73"/>
      <w:r>
        <w:rPr>
          <w:rFonts w:hint="eastAsia" w:ascii="宋体" w:hAnsi="宋体" w:cs="宋体"/>
          <w:b/>
          <w:color w:val="auto"/>
          <w:sz w:val="24"/>
          <w:highlight w:val="none"/>
        </w:rPr>
        <w:t>响应有效期</w:t>
      </w:r>
    </w:p>
    <w:p w14:paraId="744B1F35">
      <w:pPr>
        <w:spacing w:line="360" w:lineRule="auto"/>
        <w:ind w:firstLine="420"/>
        <w:rPr>
          <w:rFonts w:ascii="宋体" w:hAnsi="宋体" w:cs="宋体"/>
          <w:color w:val="auto"/>
          <w:sz w:val="24"/>
          <w:highlight w:val="none"/>
        </w:rPr>
      </w:pPr>
      <w:r>
        <w:rPr>
          <w:rFonts w:hint="eastAsia" w:ascii="宋体" w:hAnsi="宋体" w:cs="宋体"/>
          <w:color w:val="auto"/>
          <w:sz w:val="24"/>
          <w:highlight w:val="none"/>
        </w:rPr>
        <w:t>3.3.1 响应有效期为自供应商递交响应文件截止之日起计算</w:t>
      </w:r>
      <w:r>
        <w:rPr>
          <w:rFonts w:hint="eastAsia" w:ascii="宋体" w:hAnsi="宋体" w:cs="宋体"/>
          <w:color w:val="auto"/>
          <w:sz w:val="24"/>
          <w:highlight w:val="none"/>
          <w:u w:val="single"/>
        </w:rPr>
        <w:t>90</w:t>
      </w:r>
      <w:r>
        <w:rPr>
          <w:rFonts w:hint="eastAsia" w:ascii="宋体" w:hAnsi="宋体" w:cs="宋体"/>
          <w:color w:val="auto"/>
          <w:sz w:val="24"/>
          <w:highlight w:val="none"/>
        </w:rPr>
        <w:t>日。</w:t>
      </w:r>
    </w:p>
    <w:p w14:paraId="7CCD80B3">
      <w:pPr>
        <w:spacing w:line="360" w:lineRule="auto"/>
        <w:ind w:firstLine="420"/>
        <w:rPr>
          <w:rFonts w:ascii="宋体" w:hAnsi="宋体" w:cs="宋体"/>
          <w:color w:val="auto"/>
          <w:sz w:val="24"/>
          <w:highlight w:val="none"/>
        </w:rPr>
      </w:pPr>
      <w:r>
        <w:rPr>
          <w:rFonts w:hint="eastAsia" w:ascii="宋体" w:hAnsi="宋体" w:cs="宋体"/>
          <w:color w:val="auto"/>
          <w:sz w:val="24"/>
          <w:highlight w:val="none"/>
        </w:rPr>
        <w:t>3.3.2 在响应有效期内，供应商撤销响应文件的，应承担询比文件和法律规定的责任。</w:t>
      </w:r>
    </w:p>
    <w:p w14:paraId="42CFC19A">
      <w:pPr>
        <w:keepNext/>
        <w:keepLines/>
        <w:spacing w:line="360" w:lineRule="auto"/>
        <w:outlineLvl w:val="2"/>
        <w:rPr>
          <w:rFonts w:ascii="宋体" w:hAnsi="宋体" w:cs="宋体"/>
          <w:bCs/>
          <w:color w:val="auto"/>
          <w:sz w:val="24"/>
          <w:highlight w:val="none"/>
        </w:rPr>
      </w:pPr>
      <w:bookmarkStart w:id="74" w:name="_Toc26656960"/>
      <w:bookmarkStart w:id="75" w:name="_Toc14201229"/>
      <w:r>
        <w:rPr>
          <w:rFonts w:hint="eastAsia" w:ascii="宋体" w:hAnsi="宋体" w:cs="宋体"/>
          <w:b/>
          <w:color w:val="auto"/>
          <w:sz w:val="24"/>
          <w:highlight w:val="none"/>
        </w:rPr>
        <w:t>3.4</w:t>
      </w:r>
      <w:bookmarkEnd w:id="74"/>
      <w:bookmarkEnd w:id="75"/>
      <w:r>
        <w:rPr>
          <w:rFonts w:hint="eastAsia" w:ascii="宋体" w:hAnsi="宋体" w:cs="宋体"/>
          <w:b/>
          <w:color w:val="auto"/>
          <w:sz w:val="24"/>
          <w:highlight w:val="none"/>
        </w:rPr>
        <w:t>响应保证金</w:t>
      </w:r>
      <w:r>
        <w:rPr>
          <w:rFonts w:hint="eastAsia" w:ascii="宋体" w:hAnsi="宋体" w:cs="宋体"/>
          <w:bCs/>
          <w:color w:val="auto"/>
          <w:sz w:val="24"/>
          <w:highlight w:val="none"/>
        </w:rPr>
        <w:t>（本项目不适用）</w:t>
      </w:r>
    </w:p>
    <w:p w14:paraId="4D5358B3">
      <w:pPr>
        <w:spacing w:line="360" w:lineRule="auto"/>
        <w:ind w:firstLine="420"/>
        <w:rPr>
          <w:rFonts w:ascii="宋体" w:hAnsi="宋体" w:cs="宋体"/>
          <w:color w:val="auto"/>
          <w:sz w:val="24"/>
          <w:highlight w:val="none"/>
        </w:rPr>
      </w:pPr>
      <w:r>
        <w:rPr>
          <w:rFonts w:hint="eastAsia" w:ascii="宋体" w:hAnsi="宋体" w:cs="宋体"/>
          <w:color w:val="auto"/>
          <w:sz w:val="24"/>
          <w:highlight w:val="none"/>
        </w:rPr>
        <w:t>3.4.1 供应商在递交响应文件的同时，应按第一章“采购公告/采购邀请书”第7条的要求递交响应保证金，并作为其响应文件的组成部分。</w:t>
      </w:r>
    </w:p>
    <w:p w14:paraId="6F68F0C7">
      <w:pPr>
        <w:spacing w:line="360" w:lineRule="auto"/>
        <w:ind w:firstLine="420"/>
        <w:rPr>
          <w:rFonts w:ascii="宋体" w:hAnsi="宋体" w:cs="宋体"/>
          <w:color w:val="auto"/>
          <w:sz w:val="24"/>
          <w:highlight w:val="none"/>
        </w:rPr>
      </w:pPr>
      <w:r>
        <w:rPr>
          <w:rFonts w:hint="eastAsia" w:ascii="宋体" w:hAnsi="宋体" w:cs="宋体"/>
          <w:color w:val="auto"/>
          <w:sz w:val="24"/>
          <w:highlight w:val="none"/>
        </w:rPr>
        <w:t>无论采取何种形式的响应保证金，响应保证金有效期均应与响应有效期一致。</w:t>
      </w:r>
    </w:p>
    <w:p w14:paraId="4D474F14">
      <w:pPr>
        <w:spacing w:line="360" w:lineRule="auto"/>
        <w:ind w:firstLine="420"/>
        <w:rPr>
          <w:rFonts w:ascii="宋体" w:hAnsi="宋体" w:cs="宋体"/>
          <w:color w:val="auto"/>
          <w:sz w:val="24"/>
          <w:highlight w:val="none"/>
        </w:rPr>
      </w:pPr>
      <w:r>
        <w:rPr>
          <w:rFonts w:hint="eastAsia" w:ascii="宋体" w:hAnsi="宋体" w:cs="宋体"/>
          <w:color w:val="auto"/>
          <w:sz w:val="24"/>
          <w:highlight w:val="none"/>
        </w:rPr>
        <w:t>3.4.2 供应商不按本章第3.4.1项要求提交响应保证金的，评审小组将否决其响应文件。</w:t>
      </w:r>
    </w:p>
    <w:p w14:paraId="487AED23">
      <w:pPr>
        <w:spacing w:line="360" w:lineRule="auto"/>
        <w:ind w:firstLine="420"/>
        <w:rPr>
          <w:rFonts w:ascii="宋体" w:hAnsi="宋体" w:cs="宋体"/>
          <w:color w:val="auto"/>
          <w:sz w:val="24"/>
          <w:highlight w:val="none"/>
        </w:rPr>
      </w:pPr>
      <w:r>
        <w:rPr>
          <w:rFonts w:hint="eastAsia" w:ascii="宋体" w:hAnsi="宋体" w:cs="宋体"/>
          <w:color w:val="auto"/>
          <w:sz w:val="24"/>
          <w:highlight w:val="none"/>
        </w:rPr>
        <w:t>3.4.3 采购人在与成交人签订合同后5日内办理退还响应保证金手续。</w:t>
      </w:r>
    </w:p>
    <w:p w14:paraId="44D030E0">
      <w:pPr>
        <w:spacing w:line="360" w:lineRule="auto"/>
        <w:ind w:firstLine="420"/>
        <w:rPr>
          <w:rFonts w:ascii="宋体" w:hAnsi="宋体" w:cs="宋体"/>
          <w:color w:val="auto"/>
          <w:sz w:val="24"/>
          <w:highlight w:val="none"/>
        </w:rPr>
      </w:pPr>
      <w:r>
        <w:rPr>
          <w:rFonts w:hint="eastAsia" w:ascii="宋体" w:hAnsi="宋体" w:cs="宋体"/>
          <w:color w:val="auto"/>
          <w:sz w:val="24"/>
          <w:highlight w:val="none"/>
        </w:rPr>
        <w:t>3.4.4 有下列情形之一的，响应保证金将不予退还：</w:t>
      </w:r>
    </w:p>
    <w:p w14:paraId="545FB7AC">
      <w:pPr>
        <w:spacing w:line="360" w:lineRule="auto"/>
        <w:ind w:firstLine="420"/>
        <w:rPr>
          <w:rFonts w:ascii="宋体" w:hAnsi="宋体" w:cs="宋体"/>
          <w:color w:val="auto"/>
          <w:sz w:val="24"/>
          <w:highlight w:val="none"/>
        </w:rPr>
      </w:pPr>
      <w:r>
        <w:rPr>
          <w:rFonts w:hint="eastAsia" w:ascii="宋体" w:hAnsi="宋体" w:cs="宋体"/>
          <w:color w:val="auto"/>
          <w:sz w:val="24"/>
          <w:highlight w:val="none"/>
        </w:rPr>
        <w:t>（1）供应商在规定的响应有效期内撤销其响应文件；</w:t>
      </w:r>
    </w:p>
    <w:p w14:paraId="1B67DF42">
      <w:pPr>
        <w:spacing w:line="360" w:lineRule="auto"/>
        <w:ind w:firstLine="420"/>
        <w:rPr>
          <w:rFonts w:ascii="宋体" w:hAnsi="宋体" w:cs="宋体"/>
          <w:color w:val="auto"/>
          <w:sz w:val="24"/>
          <w:highlight w:val="none"/>
        </w:rPr>
      </w:pPr>
      <w:r>
        <w:rPr>
          <w:rFonts w:hint="eastAsia" w:ascii="宋体" w:hAnsi="宋体" w:cs="宋体"/>
          <w:color w:val="auto"/>
          <w:sz w:val="24"/>
          <w:highlight w:val="none"/>
        </w:rPr>
        <w:t>（2）成交候选人无正当理由放弃成交资格的；或成交人无正当理由不与采购人签订合同的；或成交人在签订合同时向采购人提出附加条件或者更改合同实质性内容的；或者成交人不提交询比文件所要求的履约保证金的；</w:t>
      </w:r>
      <w:bookmarkStart w:id="76" w:name="_Toc26656961"/>
      <w:bookmarkStart w:id="77" w:name="_Toc14201230"/>
    </w:p>
    <w:p w14:paraId="31EB01FE">
      <w:pPr>
        <w:spacing w:line="360" w:lineRule="auto"/>
        <w:rPr>
          <w:rFonts w:ascii="宋体" w:hAnsi="宋体" w:cs="宋体"/>
          <w:b/>
          <w:color w:val="auto"/>
          <w:sz w:val="24"/>
          <w:highlight w:val="none"/>
        </w:rPr>
      </w:pPr>
      <w:r>
        <w:rPr>
          <w:rFonts w:hint="eastAsia" w:ascii="宋体" w:hAnsi="宋体" w:cs="宋体"/>
          <w:b/>
          <w:color w:val="auto"/>
          <w:sz w:val="24"/>
          <w:highlight w:val="none"/>
        </w:rPr>
        <w:t>3.5资格审查资料</w:t>
      </w:r>
      <w:bookmarkEnd w:id="76"/>
      <w:bookmarkEnd w:id="77"/>
    </w:p>
    <w:p w14:paraId="499C07F2">
      <w:pPr>
        <w:spacing w:line="360" w:lineRule="auto"/>
        <w:ind w:firstLine="420"/>
        <w:rPr>
          <w:rFonts w:ascii="宋体" w:hAnsi="宋体" w:cs="宋体"/>
          <w:color w:val="auto"/>
          <w:sz w:val="24"/>
          <w:highlight w:val="none"/>
        </w:rPr>
      </w:pPr>
      <w:r>
        <w:rPr>
          <w:rFonts w:hint="eastAsia" w:ascii="宋体" w:hAnsi="宋体" w:cs="宋体"/>
          <w:color w:val="auto"/>
          <w:sz w:val="24"/>
          <w:highlight w:val="none"/>
        </w:rPr>
        <w:t>供应商应按第六章“响应文件格式”的规定提供资格审查资料，以证明其满足本章第1.2款规定的资质、业绩、信誉等要求。</w:t>
      </w:r>
    </w:p>
    <w:p w14:paraId="2B51CADD">
      <w:pPr>
        <w:keepNext/>
        <w:keepLines/>
        <w:spacing w:line="360" w:lineRule="auto"/>
        <w:outlineLvl w:val="2"/>
        <w:rPr>
          <w:rFonts w:ascii="宋体" w:hAnsi="宋体" w:cs="宋体"/>
          <w:b/>
          <w:color w:val="auto"/>
          <w:sz w:val="24"/>
          <w:highlight w:val="none"/>
        </w:rPr>
      </w:pPr>
      <w:bookmarkStart w:id="78" w:name="_Toc14201232"/>
      <w:bookmarkStart w:id="79" w:name="_Toc26656963"/>
      <w:r>
        <w:rPr>
          <w:rFonts w:hint="eastAsia" w:ascii="宋体" w:hAnsi="宋体" w:cs="宋体"/>
          <w:b/>
          <w:color w:val="auto"/>
          <w:sz w:val="24"/>
          <w:highlight w:val="none"/>
        </w:rPr>
        <w:t>3.6响应文件的编制</w:t>
      </w:r>
      <w:bookmarkEnd w:id="78"/>
      <w:bookmarkEnd w:id="79"/>
    </w:p>
    <w:p w14:paraId="4AF24629">
      <w:pPr>
        <w:spacing w:line="360" w:lineRule="auto"/>
        <w:ind w:firstLine="420"/>
        <w:rPr>
          <w:rFonts w:ascii="宋体" w:hAnsi="宋体" w:cs="宋体"/>
          <w:color w:val="auto"/>
          <w:sz w:val="24"/>
          <w:highlight w:val="none"/>
        </w:rPr>
      </w:pPr>
      <w:bookmarkStart w:id="80" w:name="_Toc14201233"/>
      <w:bookmarkStart w:id="81" w:name="_Toc26656964"/>
      <w:bookmarkStart w:id="82" w:name="_Toc9067723"/>
      <w:bookmarkStart w:id="83" w:name="_Toc14201241"/>
      <w:bookmarkStart w:id="84" w:name="_Toc9067725"/>
      <w:bookmarkStart w:id="85" w:name="_Toc26656972"/>
      <w:r>
        <w:rPr>
          <w:rFonts w:hint="eastAsia" w:ascii="宋体" w:hAnsi="宋体" w:cs="宋体"/>
          <w:color w:val="auto"/>
          <w:sz w:val="24"/>
          <w:highlight w:val="none"/>
        </w:rPr>
        <w:t>3.6.1 响应文件应按第六章“响应文件格式”进行编写，如有必要，可以增加附页，作为响应文件的组成部分。</w:t>
      </w:r>
    </w:p>
    <w:p w14:paraId="4EF06CA9">
      <w:pPr>
        <w:spacing w:line="360" w:lineRule="auto"/>
        <w:ind w:firstLine="420"/>
        <w:rPr>
          <w:rFonts w:ascii="宋体" w:hAnsi="宋体" w:cs="宋体"/>
          <w:color w:val="auto"/>
          <w:sz w:val="24"/>
          <w:highlight w:val="none"/>
        </w:rPr>
      </w:pPr>
      <w:r>
        <w:rPr>
          <w:rFonts w:hint="eastAsia" w:ascii="宋体" w:hAnsi="宋体" w:cs="宋体"/>
          <w:color w:val="auto"/>
          <w:sz w:val="24"/>
          <w:highlight w:val="none"/>
        </w:rPr>
        <w:t>3.6.2 响应文件应当对询比文件有关服务期、响应有效期、质量要求、安全目标、技术标准和要求、采购范围等实质性内容作出响应。</w:t>
      </w:r>
    </w:p>
    <w:p w14:paraId="75CA2816">
      <w:pPr>
        <w:spacing w:line="360" w:lineRule="auto"/>
        <w:ind w:firstLine="420"/>
        <w:rPr>
          <w:rFonts w:ascii="宋体" w:hAnsi="宋体" w:cs="宋体"/>
          <w:color w:val="auto"/>
          <w:sz w:val="24"/>
          <w:highlight w:val="none"/>
        </w:rPr>
      </w:pPr>
      <w:r>
        <w:rPr>
          <w:rFonts w:hint="eastAsia" w:ascii="宋体" w:hAnsi="宋体" w:cs="宋体"/>
          <w:color w:val="auto"/>
          <w:sz w:val="24"/>
          <w:highlight w:val="none"/>
        </w:rPr>
        <w:t>3.6.3响应文件的制作应按第六章“响应文件格式”的要求进行制作、签名和（或）盖章。</w:t>
      </w:r>
    </w:p>
    <w:p w14:paraId="7BE5F72F">
      <w:pPr>
        <w:spacing w:line="360" w:lineRule="auto"/>
        <w:ind w:firstLine="420"/>
        <w:rPr>
          <w:rFonts w:hint="eastAsia" w:ascii="宋体" w:hAnsi="宋体" w:eastAsia="宋体" w:cs="宋体"/>
          <w:color w:val="auto"/>
          <w:sz w:val="24"/>
          <w:highlight w:val="none"/>
          <w:lang w:eastAsia="zh-CN"/>
        </w:rPr>
      </w:pPr>
      <w:r>
        <w:rPr>
          <w:rFonts w:hint="eastAsia" w:ascii="宋体" w:hAnsi="宋体" w:cs="宋体"/>
          <w:color w:val="auto"/>
          <w:sz w:val="24"/>
          <w:highlight w:val="none"/>
        </w:rPr>
        <w:t>3.6.4响应文件分标段上传</w:t>
      </w:r>
      <w:r>
        <w:rPr>
          <w:rFonts w:hint="eastAsia" w:ascii="宋体" w:hAnsi="宋体" w:cs="宋体"/>
          <w:color w:val="auto"/>
          <w:sz w:val="24"/>
          <w:highlight w:val="none"/>
          <w:lang w:eastAsia="zh-CN"/>
        </w:rPr>
        <w:t>。</w:t>
      </w:r>
    </w:p>
    <w:p w14:paraId="30D31B01">
      <w:pPr>
        <w:keepNext/>
        <w:keepLines/>
        <w:spacing w:line="360" w:lineRule="auto"/>
        <w:outlineLvl w:val="1"/>
        <w:rPr>
          <w:rFonts w:ascii="宋体" w:hAnsi="宋体" w:cs="宋体"/>
          <w:b/>
          <w:color w:val="auto"/>
          <w:sz w:val="24"/>
          <w:highlight w:val="none"/>
        </w:rPr>
      </w:pPr>
      <w:r>
        <w:rPr>
          <w:rFonts w:hint="eastAsia" w:ascii="宋体" w:hAnsi="宋体" w:cs="宋体"/>
          <w:b/>
          <w:color w:val="auto"/>
          <w:sz w:val="24"/>
          <w:highlight w:val="none"/>
        </w:rPr>
        <w:t xml:space="preserve">4. </w:t>
      </w:r>
      <w:bookmarkEnd w:id="80"/>
      <w:bookmarkEnd w:id="81"/>
      <w:bookmarkEnd w:id="82"/>
      <w:r>
        <w:rPr>
          <w:rFonts w:hint="eastAsia" w:ascii="宋体" w:hAnsi="宋体" w:cs="宋体"/>
          <w:b/>
          <w:color w:val="auto"/>
          <w:sz w:val="24"/>
          <w:highlight w:val="none"/>
        </w:rPr>
        <w:t>响应文件的递交</w:t>
      </w:r>
    </w:p>
    <w:p w14:paraId="101BA886">
      <w:pPr>
        <w:spacing w:line="360" w:lineRule="auto"/>
        <w:ind w:firstLine="420"/>
        <w:rPr>
          <w:rFonts w:ascii="宋体" w:hAnsi="宋体" w:cs="宋体"/>
          <w:color w:val="auto"/>
          <w:sz w:val="24"/>
          <w:highlight w:val="none"/>
        </w:rPr>
      </w:pPr>
      <w:bookmarkStart w:id="86" w:name="_Toc14201237"/>
      <w:bookmarkStart w:id="87" w:name="_Toc26656968"/>
      <w:bookmarkStart w:id="88" w:name="_Toc9067724"/>
      <w:r>
        <w:rPr>
          <w:rFonts w:hint="eastAsia" w:ascii="宋体" w:hAnsi="宋体" w:cs="宋体"/>
          <w:color w:val="auto"/>
          <w:sz w:val="24"/>
          <w:highlight w:val="none"/>
        </w:rPr>
        <w:t>4.1供应商应当按照第一章“采购公告”第5条的规定在询比文件递交的截止时间前将响应文件递交至安徽交控建设工程集团有限公司10楼职工书屋（1012室）。</w:t>
      </w:r>
    </w:p>
    <w:p w14:paraId="12417C16">
      <w:pPr>
        <w:spacing w:line="360" w:lineRule="auto"/>
        <w:ind w:firstLine="420"/>
        <w:rPr>
          <w:rFonts w:ascii="宋体" w:hAnsi="宋体" w:cs="宋体"/>
          <w:color w:val="auto"/>
          <w:sz w:val="24"/>
          <w:highlight w:val="none"/>
        </w:rPr>
      </w:pPr>
      <w:r>
        <w:rPr>
          <w:rFonts w:hint="eastAsia" w:ascii="宋体" w:hAnsi="宋体" w:cs="宋体"/>
          <w:color w:val="auto"/>
          <w:sz w:val="24"/>
          <w:highlight w:val="none"/>
        </w:rPr>
        <w:t>4.2 系统递交响应文件的供应商数量不足3家时，采购人将宣布本次采购失败。</w:t>
      </w:r>
    </w:p>
    <w:p w14:paraId="2E20E958">
      <w:pPr>
        <w:keepNext/>
        <w:keepLines/>
        <w:spacing w:line="360" w:lineRule="auto"/>
        <w:outlineLvl w:val="1"/>
        <w:rPr>
          <w:rFonts w:ascii="宋体" w:hAnsi="宋体" w:cs="宋体"/>
          <w:bCs/>
          <w:color w:val="auto"/>
          <w:sz w:val="24"/>
          <w:highlight w:val="none"/>
        </w:rPr>
      </w:pPr>
      <w:r>
        <w:rPr>
          <w:rFonts w:hint="eastAsia" w:ascii="宋体" w:hAnsi="宋体" w:cs="宋体"/>
          <w:bCs/>
          <w:color w:val="auto"/>
          <w:sz w:val="24"/>
          <w:highlight w:val="none"/>
        </w:rPr>
        <w:t xml:space="preserve">5. </w:t>
      </w:r>
      <w:bookmarkEnd w:id="86"/>
      <w:bookmarkEnd w:id="87"/>
      <w:bookmarkEnd w:id="88"/>
      <w:r>
        <w:rPr>
          <w:rFonts w:hint="eastAsia" w:ascii="宋体" w:hAnsi="宋体" w:cs="宋体"/>
          <w:bCs/>
          <w:color w:val="auto"/>
          <w:sz w:val="24"/>
          <w:highlight w:val="none"/>
        </w:rPr>
        <w:t>启封</w:t>
      </w:r>
    </w:p>
    <w:p w14:paraId="65615C13">
      <w:pPr>
        <w:spacing w:line="360" w:lineRule="auto"/>
        <w:ind w:firstLine="420"/>
        <w:rPr>
          <w:rFonts w:ascii="宋体" w:hAnsi="宋体" w:cs="宋体"/>
          <w:color w:val="auto"/>
          <w:sz w:val="24"/>
          <w:highlight w:val="none"/>
        </w:rPr>
      </w:pPr>
      <w:r>
        <w:rPr>
          <w:rFonts w:hint="eastAsia" w:ascii="宋体" w:hAnsi="宋体" w:cs="宋体"/>
          <w:color w:val="auto"/>
          <w:sz w:val="24"/>
          <w:highlight w:val="none"/>
        </w:rPr>
        <w:t>5.1若采购人发现响应文件出现以下任一情况，其报价将不再参加评审基准价的计算：</w:t>
      </w:r>
    </w:p>
    <w:p w14:paraId="2051ED2B">
      <w:pPr>
        <w:spacing w:line="360" w:lineRule="auto"/>
        <w:ind w:firstLine="420"/>
        <w:rPr>
          <w:rFonts w:ascii="宋体" w:hAnsi="宋体" w:cs="宋体"/>
          <w:color w:val="auto"/>
          <w:sz w:val="24"/>
          <w:highlight w:val="none"/>
        </w:rPr>
      </w:pPr>
      <w:r>
        <w:rPr>
          <w:rFonts w:hint="eastAsia" w:ascii="宋体" w:hAnsi="宋体" w:cs="宋体"/>
          <w:color w:val="auto"/>
          <w:sz w:val="24"/>
          <w:highlight w:val="none"/>
        </w:rPr>
        <w:t>（1）报价超出采购人公布的最高限价；</w:t>
      </w:r>
    </w:p>
    <w:p w14:paraId="5039EB2F">
      <w:pPr>
        <w:spacing w:line="360" w:lineRule="auto"/>
        <w:ind w:firstLine="420"/>
        <w:rPr>
          <w:rFonts w:ascii="宋体" w:hAnsi="宋体" w:cs="宋体"/>
          <w:color w:val="auto"/>
          <w:sz w:val="24"/>
          <w:highlight w:val="none"/>
        </w:rPr>
      </w:pPr>
      <w:r>
        <w:rPr>
          <w:rFonts w:hint="eastAsia" w:ascii="宋体" w:hAnsi="宋体" w:cs="宋体"/>
          <w:color w:val="auto"/>
          <w:sz w:val="24"/>
          <w:highlight w:val="none"/>
        </w:rPr>
        <w:t>（2）未在报价函上填写总报价；</w:t>
      </w:r>
    </w:p>
    <w:p w14:paraId="47568B23">
      <w:pPr>
        <w:spacing w:line="360" w:lineRule="auto"/>
        <w:ind w:firstLine="420"/>
        <w:rPr>
          <w:rFonts w:ascii="宋体" w:hAnsi="宋体" w:cs="宋体"/>
          <w:color w:val="auto"/>
          <w:sz w:val="24"/>
          <w:highlight w:val="none"/>
        </w:rPr>
      </w:pPr>
      <w:r>
        <w:rPr>
          <w:rFonts w:hint="eastAsia" w:ascii="宋体" w:hAnsi="宋体" w:cs="宋体"/>
          <w:color w:val="auto"/>
          <w:sz w:val="24"/>
          <w:highlight w:val="none"/>
        </w:rPr>
        <w:t>（3）报价函中的报价与已标价的报价清单总报价不一致（四舍五入除外）。</w:t>
      </w:r>
    </w:p>
    <w:p w14:paraId="11C643D0">
      <w:pPr>
        <w:spacing w:line="360" w:lineRule="auto"/>
        <w:ind w:firstLine="420"/>
        <w:rPr>
          <w:rFonts w:ascii="宋体" w:hAnsi="宋体" w:cs="宋体"/>
          <w:color w:val="auto"/>
          <w:sz w:val="24"/>
          <w:highlight w:val="none"/>
        </w:rPr>
      </w:pPr>
      <w:r>
        <w:rPr>
          <w:rFonts w:hint="eastAsia" w:ascii="宋体" w:hAnsi="宋体" w:cs="宋体"/>
          <w:color w:val="auto"/>
          <w:sz w:val="24"/>
          <w:highlight w:val="none"/>
        </w:rPr>
        <w:t>5.</w:t>
      </w:r>
      <w:r>
        <w:rPr>
          <w:rFonts w:hint="eastAsia" w:ascii="宋体" w:hAnsi="宋体" w:cs="宋体"/>
          <w:color w:val="auto"/>
          <w:sz w:val="24"/>
          <w:highlight w:val="none"/>
          <w:lang w:val="en-US" w:eastAsia="zh-CN"/>
        </w:rPr>
        <w:t>2</w:t>
      </w:r>
      <w:r>
        <w:rPr>
          <w:rFonts w:hint="eastAsia" w:ascii="宋体" w:hAnsi="宋体" w:cs="宋体"/>
          <w:color w:val="auto"/>
          <w:sz w:val="24"/>
          <w:highlight w:val="none"/>
        </w:rPr>
        <w:t>供应商对开标有异议的，应当在开标过程中提出；采购人当场对异议作出答复。</w:t>
      </w:r>
    </w:p>
    <w:p w14:paraId="210277CF">
      <w:pPr>
        <w:keepNext/>
        <w:keepLines/>
        <w:spacing w:line="360" w:lineRule="auto"/>
        <w:outlineLvl w:val="1"/>
        <w:rPr>
          <w:rFonts w:ascii="宋体" w:hAnsi="宋体" w:cs="宋体"/>
          <w:bCs/>
          <w:color w:val="auto"/>
          <w:sz w:val="24"/>
          <w:highlight w:val="none"/>
        </w:rPr>
      </w:pPr>
      <w:r>
        <w:rPr>
          <w:rFonts w:hint="eastAsia" w:ascii="宋体" w:hAnsi="宋体" w:cs="宋体"/>
          <w:bCs/>
          <w:color w:val="auto"/>
          <w:sz w:val="24"/>
          <w:highlight w:val="none"/>
        </w:rPr>
        <w:t>6. 评</w:t>
      </w:r>
      <w:bookmarkEnd w:id="83"/>
      <w:bookmarkEnd w:id="84"/>
      <w:bookmarkEnd w:id="85"/>
      <w:r>
        <w:rPr>
          <w:rFonts w:hint="eastAsia" w:ascii="宋体" w:hAnsi="宋体" w:cs="宋体"/>
          <w:bCs/>
          <w:color w:val="auto"/>
          <w:sz w:val="24"/>
          <w:highlight w:val="none"/>
        </w:rPr>
        <w:t>审</w:t>
      </w:r>
    </w:p>
    <w:p w14:paraId="0F301265">
      <w:pPr>
        <w:keepNext/>
        <w:keepLines/>
        <w:spacing w:line="360" w:lineRule="auto"/>
        <w:outlineLvl w:val="2"/>
        <w:rPr>
          <w:rFonts w:ascii="宋体" w:hAnsi="宋体" w:cs="宋体"/>
          <w:bCs/>
          <w:color w:val="auto"/>
          <w:sz w:val="24"/>
          <w:highlight w:val="none"/>
        </w:rPr>
      </w:pPr>
      <w:bookmarkStart w:id="89" w:name="_Toc14201242"/>
      <w:bookmarkStart w:id="90" w:name="_Toc26656973"/>
      <w:r>
        <w:rPr>
          <w:rFonts w:hint="eastAsia" w:ascii="宋体" w:hAnsi="宋体" w:cs="宋体"/>
          <w:bCs/>
          <w:color w:val="auto"/>
          <w:sz w:val="24"/>
          <w:highlight w:val="none"/>
        </w:rPr>
        <w:t>6.1</w:t>
      </w:r>
      <w:bookmarkEnd w:id="89"/>
      <w:bookmarkEnd w:id="90"/>
      <w:r>
        <w:rPr>
          <w:rFonts w:hint="eastAsia" w:ascii="宋体" w:hAnsi="宋体" w:cs="宋体"/>
          <w:bCs/>
          <w:color w:val="auto"/>
          <w:sz w:val="24"/>
          <w:highlight w:val="none"/>
        </w:rPr>
        <w:t>评审小组</w:t>
      </w:r>
    </w:p>
    <w:p w14:paraId="1E7936E4">
      <w:pPr>
        <w:spacing w:line="360" w:lineRule="auto"/>
        <w:ind w:firstLine="420"/>
        <w:rPr>
          <w:rFonts w:ascii="宋体" w:hAnsi="宋体" w:cs="宋体"/>
          <w:color w:val="auto"/>
          <w:sz w:val="24"/>
          <w:highlight w:val="none"/>
        </w:rPr>
      </w:pPr>
      <w:r>
        <w:rPr>
          <w:rFonts w:hint="eastAsia" w:ascii="宋体" w:hAnsi="宋体" w:cs="宋体"/>
          <w:color w:val="auto"/>
          <w:sz w:val="24"/>
          <w:highlight w:val="none"/>
        </w:rPr>
        <w:t>评审由采购人自行组建的评审小组负责。评审小组人数：3~7人（单数）。</w:t>
      </w:r>
    </w:p>
    <w:p w14:paraId="70715CDC">
      <w:pPr>
        <w:keepNext/>
        <w:keepLines/>
        <w:spacing w:line="360" w:lineRule="auto"/>
        <w:outlineLvl w:val="2"/>
        <w:rPr>
          <w:rFonts w:ascii="宋体" w:hAnsi="宋体" w:cs="宋体"/>
          <w:bCs/>
          <w:color w:val="auto"/>
          <w:sz w:val="24"/>
          <w:highlight w:val="none"/>
        </w:rPr>
      </w:pPr>
      <w:bookmarkStart w:id="91" w:name="_Toc26656975"/>
      <w:bookmarkStart w:id="92" w:name="_Toc14201244"/>
      <w:r>
        <w:rPr>
          <w:rFonts w:hint="eastAsia" w:ascii="宋体" w:hAnsi="宋体" w:cs="宋体"/>
          <w:bCs/>
          <w:color w:val="auto"/>
          <w:sz w:val="24"/>
          <w:highlight w:val="none"/>
        </w:rPr>
        <w:t>6.2评</w:t>
      </w:r>
      <w:bookmarkEnd w:id="91"/>
      <w:bookmarkEnd w:id="92"/>
      <w:r>
        <w:rPr>
          <w:rFonts w:hint="eastAsia" w:ascii="宋体" w:hAnsi="宋体" w:cs="宋体"/>
          <w:bCs/>
          <w:color w:val="auto"/>
          <w:sz w:val="24"/>
          <w:highlight w:val="none"/>
        </w:rPr>
        <w:t>审</w:t>
      </w:r>
    </w:p>
    <w:p w14:paraId="14DB6129">
      <w:pPr>
        <w:spacing w:line="360" w:lineRule="auto"/>
        <w:ind w:firstLine="420"/>
        <w:rPr>
          <w:rFonts w:ascii="宋体" w:hAnsi="宋体" w:cs="宋体"/>
          <w:color w:val="auto"/>
          <w:sz w:val="24"/>
          <w:highlight w:val="none"/>
        </w:rPr>
      </w:pPr>
      <w:r>
        <w:rPr>
          <w:rFonts w:hint="eastAsia" w:ascii="宋体" w:hAnsi="宋体" w:cs="宋体"/>
          <w:color w:val="auto"/>
          <w:sz w:val="24"/>
          <w:highlight w:val="none"/>
        </w:rPr>
        <w:t>6.2.1评审小组按照第三章“评审办法”规定的方法、评审因素、标准和程序对响应文件进行评审。</w:t>
      </w:r>
    </w:p>
    <w:p w14:paraId="39B75637">
      <w:pPr>
        <w:spacing w:line="360" w:lineRule="auto"/>
        <w:ind w:firstLine="420"/>
        <w:rPr>
          <w:rFonts w:ascii="宋体" w:hAnsi="宋体" w:cs="宋体"/>
          <w:color w:val="auto"/>
          <w:sz w:val="24"/>
          <w:highlight w:val="none"/>
        </w:rPr>
      </w:pPr>
      <w:r>
        <w:rPr>
          <w:rFonts w:hint="eastAsia" w:ascii="宋体" w:hAnsi="宋体" w:cs="宋体"/>
          <w:color w:val="auto"/>
          <w:sz w:val="24"/>
          <w:highlight w:val="none"/>
        </w:rPr>
        <w:t>6.2.2评审完成后，评审小组应向采购人提交书面评审报告和成交候选人名单。评审小组推荐成交候选人的人数为：3人（如不足3人，可以按实际数量推荐）。</w:t>
      </w:r>
    </w:p>
    <w:p w14:paraId="5FFC3A54">
      <w:pPr>
        <w:keepNext/>
        <w:keepLines/>
        <w:spacing w:line="360" w:lineRule="auto"/>
        <w:outlineLvl w:val="1"/>
        <w:rPr>
          <w:rFonts w:ascii="宋体" w:hAnsi="宋体" w:cs="宋体"/>
          <w:bCs/>
          <w:color w:val="auto"/>
          <w:sz w:val="24"/>
          <w:highlight w:val="none"/>
        </w:rPr>
      </w:pPr>
      <w:bookmarkStart w:id="93" w:name="_Toc9067726"/>
      <w:bookmarkStart w:id="94" w:name="_Toc14201245"/>
      <w:bookmarkStart w:id="95" w:name="_Toc26656976"/>
      <w:r>
        <w:rPr>
          <w:rFonts w:hint="eastAsia" w:ascii="宋体" w:hAnsi="宋体" w:cs="宋体"/>
          <w:bCs/>
          <w:color w:val="auto"/>
          <w:sz w:val="24"/>
          <w:highlight w:val="none"/>
        </w:rPr>
        <w:t>7. 合同授予</w:t>
      </w:r>
      <w:bookmarkEnd w:id="93"/>
      <w:bookmarkEnd w:id="94"/>
      <w:bookmarkEnd w:id="95"/>
    </w:p>
    <w:p w14:paraId="7BA1C663">
      <w:pPr>
        <w:keepNext/>
        <w:keepLines/>
        <w:spacing w:line="360" w:lineRule="auto"/>
        <w:outlineLvl w:val="2"/>
        <w:rPr>
          <w:rFonts w:ascii="宋体" w:hAnsi="宋体" w:cs="宋体"/>
          <w:bCs/>
          <w:color w:val="auto"/>
          <w:sz w:val="24"/>
          <w:highlight w:val="none"/>
        </w:rPr>
      </w:pPr>
      <w:bookmarkStart w:id="96" w:name="_Toc14201246"/>
      <w:bookmarkStart w:id="97" w:name="_Toc26656977"/>
      <w:r>
        <w:rPr>
          <w:rFonts w:hint="eastAsia" w:ascii="宋体" w:hAnsi="宋体" w:cs="宋体"/>
          <w:bCs/>
          <w:color w:val="auto"/>
          <w:sz w:val="24"/>
          <w:highlight w:val="none"/>
        </w:rPr>
        <w:t>7.1成交候选人公示</w:t>
      </w:r>
      <w:bookmarkEnd w:id="96"/>
      <w:bookmarkEnd w:id="97"/>
    </w:p>
    <w:p w14:paraId="60DD4A4C">
      <w:pPr>
        <w:spacing w:line="360" w:lineRule="auto"/>
        <w:ind w:firstLine="420"/>
        <w:rPr>
          <w:rFonts w:ascii="宋体" w:hAnsi="宋体" w:cs="宋体"/>
          <w:color w:val="auto"/>
          <w:sz w:val="24"/>
          <w:highlight w:val="none"/>
        </w:rPr>
      </w:pPr>
      <w:r>
        <w:rPr>
          <w:rFonts w:hint="eastAsia" w:ascii="宋体" w:hAnsi="宋体" w:cs="宋体"/>
          <w:color w:val="auto"/>
          <w:sz w:val="24"/>
          <w:highlight w:val="none"/>
        </w:rPr>
        <w:t>采用公开询比方式采购的项目，公示期不得少于</w:t>
      </w:r>
      <w:r>
        <w:rPr>
          <w:rFonts w:hint="eastAsia" w:ascii="宋体" w:hAnsi="宋体" w:cs="宋体"/>
          <w:color w:val="auto"/>
          <w:sz w:val="24"/>
          <w:highlight w:val="none"/>
          <w:lang w:val="en-US" w:eastAsia="zh-CN"/>
        </w:rPr>
        <w:t>3</w:t>
      </w:r>
      <w:r>
        <w:rPr>
          <w:rFonts w:hint="eastAsia" w:ascii="宋体" w:hAnsi="宋体" w:cs="宋体"/>
          <w:color w:val="auto"/>
          <w:sz w:val="24"/>
          <w:highlight w:val="none"/>
        </w:rPr>
        <w:t>日。</w:t>
      </w:r>
    </w:p>
    <w:p w14:paraId="481D1B73">
      <w:pPr>
        <w:keepNext/>
        <w:keepLines/>
        <w:spacing w:line="360" w:lineRule="auto"/>
        <w:outlineLvl w:val="2"/>
        <w:rPr>
          <w:rFonts w:ascii="宋体" w:hAnsi="宋体" w:cs="宋体"/>
          <w:bCs/>
          <w:color w:val="auto"/>
          <w:sz w:val="24"/>
          <w:highlight w:val="none"/>
        </w:rPr>
      </w:pPr>
      <w:bookmarkStart w:id="98" w:name="_Toc14201247"/>
      <w:bookmarkStart w:id="99" w:name="_Toc26656978"/>
      <w:r>
        <w:rPr>
          <w:rFonts w:hint="eastAsia" w:ascii="宋体" w:hAnsi="宋体" w:cs="宋体"/>
          <w:bCs/>
          <w:color w:val="auto"/>
          <w:sz w:val="24"/>
          <w:highlight w:val="none"/>
        </w:rPr>
        <w:t>7.2评审结果异议</w:t>
      </w:r>
      <w:bookmarkEnd w:id="98"/>
      <w:bookmarkEnd w:id="99"/>
    </w:p>
    <w:p w14:paraId="4F194D6B">
      <w:pPr>
        <w:spacing w:line="360" w:lineRule="auto"/>
        <w:ind w:firstLine="420"/>
        <w:rPr>
          <w:rFonts w:ascii="宋体" w:hAnsi="宋体" w:cs="宋体"/>
          <w:color w:val="auto"/>
          <w:sz w:val="24"/>
          <w:highlight w:val="none"/>
        </w:rPr>
      </w:pPr>
      <w:r>
        <w:rPr>
          <w:rFonts w:hint="eastAsia" w:ascii="宋体" w:hAnsi="宋体" w:cs="宋体"/>
          <w:color w:val="auto"/>
          <w:sz w:val="24"/>
          <w:highlight w:val="none"/>
        </w:rPr>
        <w:t>供应商或其他利害关系人对评审结果有异议的，应在成交候选人公示期间提出。</w:t>
      </w:r>
    </w:p>
    <w:p w14:paraId="0EB5AB2F">
      <w:pPr>
        <w:keepNext/>
        <w:keepLines/>
        <w:spacing w:line="360" w:lineRule="auto"/>
        <w:outlineLvl w:val="2"/>
        <w:rPr>
          <w:rFonts w:ascii="宋体" w:hAnsi="宋体" w:cs="宋体"/>
          <w:bCs/>
          <w:color w:val="auto"/>
          <w:sz w:val="24"/>
          <w:highlight w:val="none"/>
        </w:rPr>
      </w:pPr>
      <w:bookmarkStart w:id="100" w:name="_Toc26656979"/>
      <w:bookmarkStart w:id="101" w:name="_Toc14201248"/>
      <w:r>
        <w:rPr>
          <w:rFonts w:hint="eastAsia" w:ascii="宋体" w:hAnsi="宋体" w:cs="宋体"/>
          <w:bCs/>
          <w:color w:val="auto"/>
          <w:sz w:val="24"/>
          <w:highlight w:val="none"/>
        </w:rPr>
        <w:t>7.3成交候选人履约能力审查</w:t>
      </w:r>
      <w:bookmarkEnd w:id="100"/>
      <w:bookmarkEnd w:id="101"/>
    </w:p>
    <w:p w14:paraId="0ADBF831">
      <w:pPr>
        <w:spacing w:line="360" w:lineRule="auto"/>
        <w:ind w:firstLine="420"/>
        <w:rPr>
          <w:rFonts w:ascii="宋体" w:hAnsi="宋体" w:cs="宋体"/>
          <w:color w:val="auto"/>
          <w:sz w:val="24"/>
          <w:highlight w:val="none"/>
        </w:rPr>
      </w:pPr>
      <w:r>
        <w:rPr>
          <w:rFonts w:hint="eastAsia" w:ascii="宋体" w:hAnsi="宋体" w:cs="宋体"/>
          <w:color w:val="auto"/>
          <w:sz w:val="24"/>
          <w:highlight w:val="none"/>
        </w:rPr>
        <w:t>成交候选人的经营、财务状况发生较大变化或存在违法行为，采购人认为可能影响其履约能力的，将在发出成交通知书前提请原评审小组按照询比文件规定的标准和方法进行审查确认。</w:t>
      </w:r>
    </w:p>
    <w:p w14:paraId="7B9AAC89">
      <w:pPr>
        <w:keepNext/>
        <w:keepLines/>
        <w:spacing w:line="360" w:lineRule="auto"/>
        <w:outlineLvl w:val="2"/>
        <w:rPr>
          <w:rFonts w:ascii="宋体" w:hAnsi="宋体" w:cs="宋体"/>
          <w:bCs/>
          <w:color w:val="auto"/>
          <w:sz w:val="24"/>
          <w:highlight w:val="none"/>
        </w:rPr>
      </w:pPr>
      <w:bookmarkStart w:id="102" w:name="_Toc14201250"/>
      <w:bookmarkStart w:id="103" w:name="_Toc26656981"/>
      <w:r>
        <w:rPr>
          <w:rFonts w:hint="eastAsia" w:ascii="宋体" w:hAnsi="宋体" w:cs="宋体"/>
          <w:bCs/>
          <w:color w:val="auto"/>
          <w:sz w:val="24"/>
          <w:highlight w:val="none"/>
        </w:rPr>
        <w:t>7.</w:t>
      </w:r>
      <w:bookmarkEnd w:id="102"/>
      <w:bookmarkEnd w:id="103"/>
      <w:bookmarkStart w:id="104" w:name="_Toc26656983"/>
      <w:bookmarkStart w:id="105" w:name="_Toc14201252"/>
      <w:r>
        <w:rPr>
          <w:rFonts w:hint="eastAsia" w:ascii="宋体" w:hAnsi="宋体" w:cs="宋体"/>
          <w:bCs/>
          <w:color w:val="auto"/>
          <w:sz w:val="24"/>
          <w:highlight w:val="none"/>
        </w:rPr>
        <w:t>4履约保证金</w:t>
      </w:r>
      <w:bookmarkEnd w:id="104"/>
      <w:bookmarkEnd w:id="105"/>
      <w:r>
        <w:rPr>
          <w:rFonts w:hint="eastAsia" w:ascii="宋体" w:hAnsi="宋体" w:cs="宋体"/>
          <w:bCs/>
          <w:color w:val="auto"/>
          <w:sz w:val="24"/>
          <w:highlight w:val="none"/>
        </w:rPr>
        <w:t>（本项目不适用）</w:t>
      </w:r>
    </w:p>
    <w:p w14:paraId="1B805592">
      <w:pPr>
        <w:spacing w:line="360" w:lineRule="auto"/>
        <w:ind w:firstLine="420"/>
        <w:rPr>
          <w:rFonts w:ascii="宋体" w:hAnsi="宋体" w:cs="宋体"/>
          <w:color w:val="auto"/>
          <w:sz w:val="24"/>
          <w:highlight w:val="none"/>
        </w:rPr>
      </w:pPr>
      <w:r>
        <w:rPr>
          <w:rFonts w:hint="eastAsia" w:ascii="宋体" w:hAnsi="宋体" w:cs="宋体"/>
          <w:color w:val="auto"/>
          <w:sz w:val="24"/>
          <w:highlight w:val="none"/>
        </w:rPr>
        <w:t>7.4.1在签订合同前</w:t>
      </w:r>
      <w:r>
        <w:rPr>
          <w:rFonts w:hint="eastAsia" w:ascii="宋体" w:hAnsi="宋体" w:cs="宋体"/>
          <w:color w:val="auto"/>
          <w:sz w:val="24"/>
          <w:highlight w:val="none"/>
          <w:u w:val="single"/>
        </w:rPr>
        <w:t>7天内</w:t>
      </w:r>
      <w:r>
        <w:rPr>
          <w:rFonts w:hint="eastAsia" w:ascii="宋体" w:hAnsi="宋体" w:cs="宋体"/>
          <w:color w:val="auto"/>
          <w:sz w:val="24"/>
          <w:highlight w:val="none"/>
        </w:rPr>
        <w:t>，成交人应向采购人提交履约保证金。履约保证金的金额为</w:t>
      </w:r>
      <w:r>
        <w:rPr>
          <w:rFonts w:hint="eastAsia" w:ascii="宋体" w:hAnsi="宋体" w:cs="宋体"/>
          <w:color w:val="auto"/>
          <w:sz w:val="24"/>
          <w:highlight w:val="none"/>
          <w:u w:val="single"/>
        </w:rPr>
        <w:t>/，</w:t>
      </w:r>
      <w:r>
        <w:rPr>
          <w:rFonts w:hint="eastAsia" w:ascii="宋体" w:hAnsi="宋体" w:cs="宋体"/>
          <w:color w:val="auto"/>
          <w:sz w:val="24"/>
          <w:highlight w:val="none"/>
        </w:rPr>
        <w:t>履约保证金的形式为_</w:t>
      </w:r>
      <w:r>
        <w:rPr>
          <w:rFonts w:hint="eastAsia" w:ascii="宋体" w:hAnsi="宋体" w:cs="宋体"/>
          <w:color w:val="auto"/>
          <w:sz w:val="24"/>
          <w:highlight w:val="none"/>
          <w:u w:val="single"/>
        </w:rPr>
        <w:t>转账、电汇至采购人指定账户或保函</w:t>
      </w:r>
      <w:r>
        <w:rPr>
          <w:rFonts w:hint="eastAsia" w:ascii="宋体" w:hAnsi="宋体" w:cs="宋体"/>
          <w:color w:val="auto"/>
          <w:sz w:val="24"/>
          <w:highlight w:val="none"/>
        </w:rPr>
        <w:t>。</w:t>
      </w:r>
    </w:p>
    <w:p w14:paraId="02EEB9C2">
      <w:pPr>
        <w:spacing w:line="360" w:lineRule="auto"/>
        <w:ind w:firstLine="420"/>
        <w:rPr>
          <w:rFonts w:ascii="宋体" w:hAnsi="宋体" w:cs="宋体"/>
          <w:color w:val="auto"/>
          <w:sz w:val="24"/>
          <w:highlight w:val="none"/>
        </w:rPr>
      </w:pPr>
      <w:r>
        <w:rPr>
          <w:rFonts w:hint="eastAsia" w:ascii="宋体" w:hAnsi="宋体" w:cs="宋体"/>
          <w:color w:val="auto"/>
          <w:sz w:val="24"/>
          <w:highlight w:val="none"/>
        </w:rPr>
        <w:t>7.4.2 成交人不能按本章第7.4.1项要求提交履约保证金的，视为放弃成交候选人，其响应保证金不予退还，给采购人造成的损失超过响应保证金数额的，成交人还应当对超过部分予以赔偿。</w:t>
      </w:r>
    </w:p>
    <w:p w14:paraId="0AC0AD98">
      <w:pPr>
        <w:spacing w:line="360" w:lineRule="auto"/>
        <w:ind w:firstLine="420"/>
        <w:rPr>
          <w:rFonts w:ascii="宋体" w:hAnsi="宋体" w:cs="宋体"/>
          <w:color w:val="auto"/>
          <w:sz w:val="24"/>
          <w:highlight w:val="none"/>
        </w:rPr>
      </w:pPr>
      <w:r>
        <w:rPr>
          <w:rFonts w:hint="eastAsia" w:ascii="宋体" w:hAnsi="宋体" w:cs="宋体"/>
          <w:color w:val="auto"/>
          <w:sz w:val="24"/>
          <w:highlight w:val="none"/>
        </w:rPr>
        <w:t>7.4.3履约保证金退还时间：在咨询服务范围内的所有工程合同竣工结算审计定案后60日内一次性无息结算。</w:t>
      </w:r>
    </w:p>
    <w:p w14:paraId="22EF2489">
      <w:pPr>
        <w:spacing w:line="360" w:lineRule="auto"/>
        <w:ind w:firstLine="420"/>
        <w:rPr>
          <w:rFonts w:ascii="宋体" w:hAnsi="宋体" w:cs="宋体"/>
          <w:color w:val="auto"/>
          <w:sz w:val="24"/>
          <w:highlight w:val="none"/>
        </w:rPr>
      </w:pPr>
      <w:r>
        <w:rPr>
          <w:rFonts w:hint="eastAsia" w:ascii="宋体" w:hAnsi="宋体" w:cs="宋体"/>
          <w:color w:val="auto"/>
          <w:sz w:val="24"/>
          <w:highlight w:val="none"/>
        </w:rPr>
        <w:t>7.4.4履约保证金收款银行账户信息：</w:t>
      </w:r>
      <w:bookmarkStart w:id="106" w:name="_Toc14201253"/>
      <w:bookmarkStart w:id="107" w:name="_Toc26656984"/>
      <w:r>
        <w:rPr>
          <w:rFonts w:hint="eastAsia" w:ascii="宋体" w:hAnsi="宋体" w:cs="宋体"/>
          <w:color w:val="auto"/>
          <w:sz w:val="24"/>
          <w:highlight w:val="none"/>
        </w:rPr>
        <w:t>/</w:t>
      </w:r>
    </w:p>
    <w:p w14:paraId="35FDB4EC">
      <w:pPr>
        <w:spacing w:line="360" w:lineRule="auto"/>
        <w:ind w:firstLine="420"/>
        <w:rPr>
          <w:rFonts w:ascii="宋体" w:hAnsi="宋体" w:cs="宋体"/>
          <w:bCs/>
          <w:color w:val="auto"/>
          <w:sz w:val="24"/>
          <w:highlight w:val="none"/>
        </w:rPr>
      </w:pPr>
      <w:r>
        <w:rPr>
          <w:rFonts w:hint="eastAsia" w:ascii="宋体" w:hAnsi="宋体" w:cs="宋体"/>
          <w:bCs/>
          <w:color w:val="auto"/>
          <w:sz w:val="24"/>
          <w:highlight w:val="none"/>
        </w:rPr>
        <w:t>7.5签订合同</w:t>
      </w:r>
      <w:bookmarkEnd w:id="106"/>
      <w:bookmarkEnd w:id="107"/>
    </w:p>
    <w:p w14:paraId="75C996DB">
      <w:pPr>
        <w:spacing w:line="360" w:lineRule="auto"/>
        <w:ind w:firstLine="420"/>
        <w:rPr>
          <w:rFonts w:ascii="宋体" w:hAnsi="宋体" w:cs="宋体"/>
          <w:color w:val="auto"/>
          <w:sz w:val="24"/>
          <w:highlight w:val="none"/>
        </w:rPr>
      </w:pPr>
      <w:r>
        <w:rPr>
          <w:rFonts w:hint="eastAsia" w:ascii="宋体" w:hAnsi="宋体" w:cs="宋体"/>
          <w:color w:val="auto"/>
          <w:sz w:val="24"/>
          <w:highlight w:val="none"/>
        </w:rPr>
        <w:t>采购人和成交人应在响应有效期内以及成交通知书发出之日起30日内，根据询比文件和成交人的响应文件订立书面合同。成交人无正当理由拒签合同，在签订合同时向采购人提出附加条件，或不按照询比文件要求提交履约保证金的，采购人取消其成交资格，其响应保证金不予退还；给采购人造成的损失超过响应保证金数额的，成交人还应对超过部分予以赔偿。</w:t>
      </w:r>
    </w:p>
    <w:p w14:paraId="2B5EC170">
      <w:pPr>
        <w:keepNext/>
        <w:keepLines/>
        <w:spacing w:line="360" w:lineRule="auto"/>
        <w:outlineLvl w:val="1"/>
        <w:rPr>
          <w:rFonts w:ascii="宋体" w:hAnsi="宋体" w:cs="宋体"/>
          <w:bCs/>
          <w:color w:val="auto"/>
          <w:sz w:val="24"/>
          <w:highlight w:val="none"/>
        </w:rPr>
      </w:pPr>
      <w:bookmarkStart w:id="108" w:name="_Toc26656988"/>
      <w:bookmarkStart w:id="109" w:name="_Toc9067727"/>
      <w:bookmarkStart w:id="110" w:name="_Toc14201257"/>
      <w:r>
        <w:rPr>
          <w:rFonts w:hint="eastAsia" w:ascii="宋体" w:hAnsi="宋体" w:cs="宋体"/>
          <w:bCs/>
          <w:color w:val="auto"/>
          <w:sz w:val="24"/>
          <w:highlight w:val="none"/>
        </w:rPr>
        <w:t>8. 纪律和监督</w:t>
      </w:r>
      <w:bookmarkEnd w:id="108"/>
      <w:bookmarkEnd w:id="109"/>
      <w:bookmarkEnd w:id="110"/>
    </w:p>
    <w:p w14:paraId="113E8EE7">
      <w:pPr>
        <w:spacing w:line="360" w:lineRule="auto"/>
        <w:ind w:firstLine="420"/>
        <w:rPr>
          <w:rFonts w:ascii="宋体" w:hAnsi="宋体" w:cs="宋体"/>
          <w:color w:val="auto"/>
          <w:sz w:val="24"/>
          <w:highlight w:val="none"/>
        </w:rPr>
      </w:pPr>
      <w:r>
        <w:rPr>
          <w:rFonts w:hint="eastAsia" w:ascii="宋体" w:hAnsi="宋体" w:cs="宋体"/>
          <w:color w:val="auto"/>
          <w:sz w:val="24"/>
          <w:highlight w:val="none"/>
        </w:rPr>
        <w:t>供应商不得相互串通报价或与采购人串通报价，不得向采购人或评审小组成员行贿谋取成交，不得以他人名义报价或以其他方式弄虚作假骗取成交；供应商不得以任何方式干扰、影响评审工作。</w:t>
      </w:r>
    </w:p>
    <w:p w14:paraId="38A8683F">
      <w:pPr>
        <w:keepNext/>
        <w:keepLines/>
        <w:spacing w:line="360" w:lineRule="auto"/>
        <w:outlineLvl w:val="1"/>
        <w:rPr>
          <w:rFonts w:ascii="宋体" w:hAnsi="宋体" w:cs="宋体"/>
          <w:bCs/>
          <w:color w:val="auto"/>
          <w:sz w:val="24"/>
          <w:highlight w:val="none"/>
        </w:rPr>
      </w:pPr>
      <w:bookmarkStart w:id="111" w:name="_Toc26656993"/>
      <w:bookmarkStart w:id="112" w:name="_Toc14201262"/>
      <w:r>
        <w:rPr>
          <w:rFonts w:hint="eastAsia" w:ascii="宋体" w:hAnsi="宋体" w:cs="宋体"/>
          <w:bCs/>
          <w:color w:val="auto"/>
          <w:sz w:val="24"/>
          <w:highlight w:val="none"/>
        </w:rPr>
        <w:t>9</w:t>
      </w:r>
      <w:r>
        <w:rPr>
          <w:rFonts w:ascii="宋体" w:hAnsi="宋体" w:cs="宋体"/>
          <w:bCs/>
          <w:color w:val="auto"/>
          <w:sz w:val="24"/>
          <w:highlight w:val="none"/>
        </w:rPr>
        <w:t>.</w:t>
      </w:r>
      <w:r>
        <w:rPr>
          <w:rFonts w:hint="eastAsia" w:ascii="宋体" w:hAnsi="宋体" w:cs="宋体"/>
          <w:bCs/>
          <w:color w:val="auto"/>
          <w:sz w:val="24"/>
          <w:highlight w:val="none"/>
        </w:rPr>
        <w:t xml:space="preserve"> 投诉</w:t>
      </w:r>
      <w:bookmarkEnd w:id="111"/>
      <w:bookmarkEnd w:id="112"/>
    </w:p>
    <w:p w14:paraId="2207BCD5">
      <w:pPr>
        <w:spacing w:line="360" w:lineRule="auto"/>
        <w:ind w:firstLine="420"/>
        <w:rPr>
          <w:rFonts w:ascii="宋体" w:hAnsi="宋体" w:cs="宋体"/>
          <w:color w:val="auto"/>
          <w:sz w:val="24"/>
          <w:highlight w:val="none"/>
        </w:rPr>
      </w:pPr>
      <w:r>
        <w:rPr>
          <w:rFonts w:hint="eastAsia" w:ascii="宋体" w:hAnsi="宋体" w:cs="宋体"/>
          <w:color w:val="auto"/>
          <w:sz w:val="24"/>
          <w:highlight w:val="none"/>
        </w:rPr>
        <w:t>9.1 供应商或其他利害关系人认为询比活动不符合法律法规规定的，可以自知道或应当知道之日起10日内向有关监督部门投诉。投诉应有明确的请求和必要的证明材料。</w:t>
      </w:r>
    </w:p>
    <w:p w14:paraId="7D6F5415">
      <w:pPr>
        <w:spacing w:line="360" w:lineRule="auto"/>
        <w:rPr>
          <w:rFonts w:hint="eastAsia" w:ascii="宋体" w:hAnsi="宋体" w:eastAsia="宋体" w:cs="宋体"/>
          <w:bCs/>
          <w:color w:val="auto"/>
          <w:sz w:val="24"/>
          <w:highlight w:val="none"/>
          <w:lang w:eastAsia="zh-CN"/>
        </w:rPr>
      </w:pPr>
      <w:bookmarkStart w:id="113" w:name="_Toc14201263"/>
      <w:bookmarkStart w:id="114" w:name="_Toc9067731"/>
      <w:bookmarkStart w:id="115" w:name="_Toc26656994"/>
      <w:r>
        <w:rPr>
          <w:rFonts w:hint="eastAsia" w:ascii="宋体" w:hAnsi="宋体" w:cs="宋体"/>
          <w:bCs/>
          <w:color w:val="auto"/>
          <w:sz w:val="24"/>
          <w:highlight w:val="none"/>
        </w:rPr>
        <w:t>10</w:t>
      </w:r>
      <w:r>
        <w:rPr>
          <w:rFonts w:ascii="宋体" w:hAnsi="宋体" w:cs="宋体"/>
          <w:bCs/>
          <w:color w:val="auto"/>
          <w:sz w:val="24"/>
          <w:highlight w:val="none"/>
        </w:rPr>
        <w:t>.需要补充的其他内容</w:t>
      </w:r>
      <w:bookmarkEnd w:id="113"/>
      <w:bookmarkEnd w:id="114"/>
      <w:bookmarkEnd w:id="115"/>
      <w:r>
        <w:rPr>
          <w:rFonts w:ascii="宋体" w:hAnsi="宋体" w:cs="宋体"/>
          <w:bCs/>
          <w:color w:val="auto"/>
          <w:sz w:val="24"/>
          <w:highlight w:val="none"/>
        </w:rPr>
        <w:t>：</w:t>
      </w:r>
      <w:r>
        <w:rPr>
          <w:rFonts w:hint="eastAsia" w:ascii="宋体" w:hAnsi="宋体" w:cs="宋体"/>
          <w:bCs/>
          <w:color w:val="auto"/>
          <w:sz w:val="24"/>
          <w:highlight w:val="none"/>
          <w:lang w:val="en-US" w:eastAsia="zh-CN"/>
        </w:rPr>
        <w:t>无</w:t>
      </w:r>
    </w:p>
    <w:p w14:paraId="0798D208">
      <w:pPr>
        <w:widowControl/>
        <w:jc w:val="left"/>
        <w:rPr>
          <w:rFonts w:ascii="Times New Roman" w:hAnsi="Times New Roman" w:cs="Times New Roman"/>
          <w:color w:val="auto"/>
          <w:highlight w:val="none"/>
        </w:rPr>
      </w:pPr>
    </w:p>
    <w:p w14:paraId="5C04067C">
      <w:pPr>
        <w:rPr>
          <w:rFonts w:ascii="Times New Roman" w:hAnsi="Times New Roman" w:cs="Times New Roman"/>
          <w:color w:val="auto"/>
          <w:highlight w:val="none"/>
        </w:rPr>
      </w:pPr>
    </w:p>
    <w:p w14:paraId="74B6E24A">
      <w:pPr>
        <w:pStyle w:val="13"/>
        <w:rPr>
          <w:rFonts w:ascii="Times New Roman" w:hAnsi="Times New Roman" w:cs="Times New Roman"/>
          <w:color w:val="auto"/>
          <w:highlight w:val="none"/>
        </w:rPr>
      </w:pPr>
    </w:p>
    <w:p w14:paraId="37E5A1ED">
      <w:pPr>
        <w:rPr>
          <w:rFonts w:ascii="Times New Roman" w:hAnsi="Times New Roman" w:cs="Times New Roman"/>
          <w:color w:val="auto"/>
          <w:highlight w:val="none"/>
        </w:rPr>
      </w:pPr>
    </w:p>
    <w:p w14:paraId="06FFD5F6">
      <w:pPr>
        <w:pStyle w:val="2"/>
        <w:rPr>
          <w:rFonts w:ascii="Times New Roman" w:hAnsi="Times New Roman" w:cs="Times New Roman"/>
          <w:color w:val="auto"/>
          <w:highlight w:val="none"/>
        </w:rPr>
      </w:pPr>
    </w:p>
    <w:p w14:paraId="0BF32783">
      <w:pPr>
        <w:pStyle w:val="2"/>
        <w:rPr>
          <w:rFonts w:ascii="Times New Roman" w:hAnsi="Times New Roman" w:cs="Times New Roman"/>
          <w:color w:val="auto"/>
          <w:highlight w:val="none"/>
        </w:rPr>
      </w:pPr>
    </w:p>
    <w:p w14:paraId="2709419C">
      <w:pPr>
        <w:pStyle w:val="2"/>
        <w:rPr>
          <w:rFonts w:ascii="Times New Roman" w:hAnsi="Times New Roman" w:cs="Times New Roman"/>
          <w:color w:val="auto"/>
          <w:highlight w:val="none"/>
        </w:rPr>
      </w:pPr>
    </w:p>
    <w:p w14:paraId="05B4F271">
      <w:pPr>
        <w:pStyle w:val="2"/>
        <w:rPr>
          <w:rFonts w:ascii="Times New Roman" w:hAnsi="Times New Roman" w:cs="Times New Roman"/>
          <w:color w:val="auto"/>
          <w:highlight w:val="none"/>
        </w:rPr>
      </w:pPr>
    </w:p>
    <w:p w14:paraId="15A129F9">
      <w:pPr>
        <w:pStyle w:val="2"/>
        <w:rPr>
          <w:rFonts w:ascii="Times New Roman" w:hAnsi="Times New Roman" w:cs="Times New Roman"/>
          <w:color w:val="auto"/>
          <w:highlight w:val="none"/>
        </w:rPr>
      </w:pPr>
    </w:p>
    <w:p w14:paraId="5498966F">
      <w:pPr>
        <w:rPr>
          <w:rFonts w:ascii="Times New Roman" w:hAnsi="Times New Roman" w:cs="Times New Roman"/>
          <w:color w:val="auto"/>
          <w:highlight w:val="none"/>
        </w:rPr>
      </w:pPr>
    </w:p>
    <w:p w14:paraId="24B0866A">
      <w:pPr>
        <w:pStyle w:val="2"/>
        <w:rPr>
          <w:rFonts w:ascii="Times New Roman" w:hAnsi="Times New Roman" w:cs="Times New Roman"/>
          <w:color w:val="auto"/>
          <w:highlight w:val="none"/>
        </w:rPr>
      </w:pPr>
    </w:p>
    <w:p w14:paraId="72375AF2">
      <w:pPr>
        <w:rPr>
          <w:rFonts w:ascii="Times New Roman" w:hAnsi="Times New Roman" w:cs="Times New Roman"/>
          <w:color w:val="auto"/>
          <w:highlight w:val="none"/>
        </w:rPr>
      </w:pPr>
    </w:p>
    <w:p w14:paraId="374C77EA">
      <w:pPr>
        <w:pStyle w:val="2"/>
        <w:rPr>
          <w:rFonts w:ascii="Times New Roman" w:hAnsi="Times New Roman" w:cs="Times New Roman"/>
          <w:color w:val="auto"/>
          <w:highlight w:val="none"/>
        </w:rPr>
      </w:pPr>
    </w:p>
    <w:p w14:paraId="22B556E3">
      <w:pPr>
        <w:rPr>
          <w:rFonts w:ascii="Times New Roman" w:hAnsi="Times New Roman" w:cs="Times New Roman"/>
          <w:color w:val="auto"/>
          <w:highlight w:val="none"/>
        </w:rPr>
      </w:pPr>
    </w:p>
    <w:p w14:paraId="7CDF74E5">
      <w:pPr>
        <w:pStyle w:val="2"/>
        <w:rPr>
          <w:rFonts w:ascii="Times New Roman" w:hAnsi="Times New Roman" w:cs="Times New Roman"/>
          <w:color w:val="auto"/>
          <w:highlight w:val="none"/>
        </w:rPr>
      </w:pPr>
    </w:p>
    <w:p w14:paraId="0799D898">
      <w:pPr>
        <w:rPr>
          <w:rFonts w:ascii="Times New Roman" w:hAnsi="Times New Roman" w:cs="Times New Roman"/>
          <w:color w:val="auto"/>
          <w:highlight w:val="none"/>
        </w:rPr>
      </w:pPr>
    </w:p>
    <w:p w14:paraId="1A5FFC15">
      <w:pPr>
        <w:pStyle w:val="2"/>
        <w:rPr>
          <w:rFonts w:ascii="Times New Roman" w:hAnsi="Times New Roman" w:cs="Times New Roman"/>
          <w:color w:val="auto"/>
          <w:highlight w:val="none"/>
        </w:rPr>
      </w:pPr>
    </w:p>
    <w:p w14:paraId="7B4D78EE">
      <w:pPr>
        <w:rPr>
          <w:rFonts w:ascii="Times New Roman" w:hAnsi="Times New Roman" w:cs="Times New Roman"/>
          <w:color w:val="auto"/>
          <w:highlight w:val="none"/>
        </w:rPr>
      </w:pPr>
    </w:p>
    <w:p w14:paraId="43FB4E14">
      <w:pPr>
        <w:pStyle w:val="2"/>
        <w:rPr>
          <w:rFonts w:ascii="Times New Roman" w:hAnsi="Times New Roman" w:cs="Times New Roman"/>
          <w:color w:val="auto"/>
          <w:highlight w:val="none"/>
        </w:rPr>
      </w:pPr>
    </w:p>
    <w:p w14:paraId="237646AB">
      <w:pPr>
        <w:rPr>
          <w:rFonts w:ascii="Times New Roman" w:hAnsi="Times New Roman" w:cs="Times New Roman"/>
          <w:color w:val="auto"/>
          <w:highlight w:val="none"/>
        </w:rPr>
      </w:pPr>
    </w:p>
    <w:p w14:paraId="09861AC8">
      <w:pPr>
        <w:pStyle w:val="2"/>
        <w:rPr>
          <w:rFonts w:ascii="Times New Roman" w:hAnsi="Times New Roman" w:cs="Times New Roman"/>
          <w:color w:val="auto"/>
          <w:highlight w:val="none"/>
        </w:rPr>
      </w:pPr>
    </w:p>
    <w:p w14:paraId="1FDB4206">
      <w:pPr>
        <w:rPr>
          <w:rFonts w:ascii="Times New Roman" w:hAnsi="Times New Roman" w:cs="Times New Roman"/>
          <w:color w:val="auto"/>
          <w:highlight w:val="none"/>
        </w:rPr>
      </w:pPr>
    </w:p>
    <w:p w14:paraId="48F7D7E0">
      <w:pPr>
        <w:pStyle w:val="2"/>
        <w:rPr>
          <w:rFonts w:ascii="Times New Roman" w:hAnsi="Times New Roman" w:cs="Times New Roman"/>
          <w:color w:val="auto"/>
          <w:highlight w:val="none"/>
        </w:rPr>
      </w:pPr>
    </w:p>
    <w:p w14:paraId="5051484F">
      <w:pPr>
        <w:rPr>
          <w:rFonts w:ascii="Times New Roman" w:hAnsi="Times New Roman" w:cs="Times New Roman"/>
          <w:color w:val="auto"/>
          <w:highlight w:val="none"/>
        </w:rPr>
      </w:pPr>
    </w:p>
    <w:p w14:paraId="6DF5E7E8">
      <w:pPr>
        <w:pStyle w:val="2"/>
        <w:rPr>
          <w:rFonts w:ascii="Times New Roman" w:hAnsi="Times New Roman" w:cs="Times New Roman"/>
          <w:color w:val="auto"/>
          <w:highlight w:val="none"/>
        </w:rPr>
      </w:pPr>
    </w:p>
    <w:p w14:paraId="1846F8A4">
      <w:pPr>
        <w:rPr>
          <w:rFonts w:ascii="Times New Roman" w:hAnsi="Times New Roman" w:cs="Times New Roman"/>
          <w:color w:val="auto"/>
          <w:highlight w:val="none"/>
        </w:rPr>
      </w:pPr>
    </w:p>
    <w:p w14:paraId="44A81D32">
      <w:pPr>
        <w:pStyle w:val="2"/>
        <w:rPr>
          <w:rFonts w:ascii="Times New Roman" w:hAnsi="Times New Roman" w:cs="Times New Roman"/>
          <w:color w:val="auto"/>
          <w:highlight w:val="none"/>
        </w:rPr>
      </w:pPr>
    </w:p>
    <w:p w14:paraId="14F6CBE8">
      <w:pPr>
        <w:rPr>
          <w:rFonts w:ascii="Times New Roman" w:hAnsi="Times New Roman" w:cs="Times New Roman"/>
          <w:color w:val="auto"/>
          <w:highlight w:val="none"/>
        </w:rPr>
      </w:pPr>
    </w:p>
    <w:p w14:paraId="26820E58">
      <w:pPr>
        <w:pStyle w:val="2"/>
      </w:pPr>
    </w:p>
    <w:p w14:paraId="1B117551">
      <w:pPr>
        <w:pStyle w:val="6"/>
        <w:numPr>
          <w:ilvl w:val="0"/>
          <w:numId w:val="0"/>
        </w:numPr>
        <w:spacing w:before="312" w:after="312"/>
        <w:rPr>
          <w:rFonts w:ascii="Times New Roman" w:hAnsi="Times New Roman" w:eastAsia="宋体" w:cs="Times New Roman"/>
          <w:color w:val="auto"/>
          <w:highlight w:val="none"/>
        </w:rPr>
      </w:pPr>
      <w:bookmarkStart w:id="116" w:name="_Toc667"/>
      <w:r>
        <w:rPr>
          <w:rFonts w:hint="eastAsia" w:ascii="Times New Roman" w:hAnsi="Times New Roman" w:eastAsia="宋体" w:cs="Times New Roman"/>
          <w:color w:val="auto"/>
          <w:highlight w:val="none"/>
        </w:rPr>
        <w:t xml:space="preserve">第三章 </w:t>
      </w:r>
      <w:r>
        <w:rPr>
          <w:rFonts w:ascii="Times New Roman" w:hAnsi="Times New Roman" w:eastAsia="宋体" w:cs="Times New Roman"/>
          <w:color w:val="auto"/>
          <w:highlight w:val="none"/>
        </w:rPr>
        <w:t>评审办法</w:t>
      </w:r>
      <w:bookmarkEnd w:id="116"/>
    </w:p>
    <w:p w14:paraId="50696C84">
      <w:pPr>
        <w:spacing w:afterLines="100" w:line="420" w:lineRule="exact"/>
        <w:jc w:val="center"/>
        <w:rPr>
          <w:rFonts w:ascii="Times New Roman" w:hAnsi="Times New Roman" w:eastAsia="黑体" w:cs="Times New Roman"/>
          <w:color w:val="auto"/>
          <w:sz w:val="28"/>
          <w:szCs w:val="28"/>
          <w:highlight w:val="none"/>
        </w:rPr>
      </w:pPr>
      <w:r>
        <w:rPr>
          <w:rFonts w:ascii="Times New Roman" w:hAnsi="Times New Roman" w:eastAsia="黑体" w:cs="Times New Roman"/>
          <w:color w:val="auto"/>
          <w:sz w:val="28"/>
          <w:szCs w:val="28"/>
          <w:highlight w:val="none"/>
        </w:rPr>
        <w:t>评审办法附表</w:t>
      </w:r>
      <w:r>
        <w:rPr>
          <w:rFonts w:hint="eastAsia" w:ascii="Times New Roman" w:hAnsi="Times New Roman" w:eastAsia="黑体" w:cs="Times New Roman"/>
          <w:color w:val="auto"/>
          <w:sz w:val="28"/>
          <w:szCs w:val="28"/>
          <w:highlight w:val="none"/>
        </w:rPr>
        <w:t>（综合评分法）</w:t>
      </w:r>
    </w:p>
    <w:tbl>
      <w:tblPr>
        <w:tblStyle w:val="25"/>
        <w:tblW w:w="9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78"/>
        <w:gridCol w:w="1046"/>
        <w:gridCol w:w="1751"/>
        <w:gridCol w:w="5605"/>
      </w:tblGrid>
      <w:tr w14:paraId="4FC493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1724" w:type="dxa"/>
            <w:gridSpan w:val="2"/>
            <w:vAlign w:val="center"/>
          </w:tcPr>
          <w:p w14:paraId="74F251A2">
            <w:pPr>
              <w:widowControl/>
              <w:jc w:val="center"/>
              <w:rPr>
                <w:rFonts w:ascii="Times New Roman" w:hAnsi="Times New Roman" w:cs="Times New Roman"/>
                <w:color w:val="auto"/>
                <w:kern w:val="0"/>
                <w:sz w:val="24"/>
                <w:highlight w:val="none"/>
              </w:rPr>
            </w:pPr>
            <w:r>
              <w:rPr>
                <w:rFonts w:ascii="Times New Roman" w:hAnsi="Times New Roman" w:cs="Times New Roman"/>
                <w:b/>
                <w:bCs/>
                <w:color w:val="auto"/>
                <w:kern w:val="0"/>
                <w:sz w:val="24"/>
                <w:highlight w:val="none"/>
              </w:rPr>
              <w:t>条款号</w:t>
            </w:r>
          </w:p>
        </w:tc>
        <w:tc>
          <w:tcPr>
            <w:tcW w:w="1751" w:type="dxa"/>
            <w:vAlign w:val="center"/>
          </w:tcPr>
          <w:p w14:paraId="665DC474">
            <w:pPr>
              <w:widowControl/>
              <w:ind w:firstLine="120" w:firstLineChars="50"/>
              <w:jc w:val="center"/>
              <w:rPr>
                <w:rFonts w:ascii="Times New Roman" w:hAnsi="Times New Roman" w:cs="Times New Roman"/>
                <w:color w:val="auto"/>
                <w:kern w:val="0"/>
                <w:sz w:val="24"/>
                <w:highlight w:val="none"/>
              </w:rPr>
            </w:pPr>
            <w:r>
              <w:rPr>
                <w:rFonts w:ascii="Times New Roman" w:hAnsi="Times New Roman" w:cs="Times New Roman"/>
                <w:b/>
                <w:bCs/>
                <w:color w:val="auto"/>
                <w:kern w:val="0"/>
                <w:sz w:val="24"/>
                <w:highlight w:val="none"/>
              </w:rPr>
              <w:t>评审因素</w:t>
            </w:r>
          </w:p>
        </w:tc>
        <w:tc>
          <w:tcPr>
            <w:tcW w:w="5605" w:type="dxa"/>
            <w:vAlign w:val="center"/>
          </w:tcPr>
          <w:p w14:paraId="3B18A575">
            <w:pPr>
              <w:widowControl/>
              <w:ind w:firstLine="120" w:firstLineChars="50"/>
              <w:jc w:val="center"/>
              <w:rPr>
                <w:rFonts w:ascii="Times New Roman" w:hAnsi="Times New Roman" w:cs="Times New Roman"/>
                <w:color w:val="auto"/>
                <w:kern w:val="0"/>
                <w:sz w:val="24"/>
                <w:highlight w:val="none"/>
              </w:rPr>
            </w:pPr>
            <w:r>
              <w:rPr>
                <w:rFonts w:ascii="Times New Roman" w:hAnsi="Times New Roman" w:cs="Times New Roman"/>
                <w:b/>
                <w:bCs/>
                <w:color w:val="auto"/>
                <w:kern w:val="0"/>
                <w:sz w:val="24"/>
                <w:highlight w:val="none"/>
              </w:rPr>
              <w:t>评审标准</w:t>
            </w:r>
          </w:p>
        </w:tc>
      </w:tr>
      <w:tr w14:paraId="6A2248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78" w:type="dxa"/>
            <w:vAlign w:val="center"/>
          </w:tcPr>
          <w:p w14:paraId="116337B7">
            <w:pPr>
              <w:widowControl/>
              <w:jc w:val="center"/>
              <w:rPr>
                <w:rFonts w:ascii="Times New Roman" w:hAnsi="Times New Roman" w:cs="Times New Roman"/>
                <w:bCs/>
                <w:color w:val="auto"/>
                <w:kern w:val="0"/>
                <w:sz w:val="24"/>
                <w:highlight w:val="none"/>
              </w:rPr>
            </w:pPr>
            <w:r>
              <w:rPr>
                <w:rFonts w:ascii="Times New Roman" w:hAnsi="Times New Roman" w:cs="Times New Roman"/>
                <w:bCs/>
                <w:color w:val="auto"/>
                <w:kern w:val="0"/>
                <w:sz w:val="24"/>
                <w:highlight w:val="none"/>
              </w:rPr>
              <w:t>1</w:t>
            </w:r>
          </w:p>
        </w:tc>
        <w:tc>
          <w:tcPr>
            <w:tcW w:w="1046" w:type="dxa"/>
            <w:vAlign w:val="center"/>
          </w:tcPr>
          <w:p w14:paraId="3063203D">
            <w:pPr>
              <w:widowControl/>
              <w:jc w:val="center"/>
              <w:rPr>
                <w:rFonts w:ascii="Times New Roman" w:hAnsi="Times New Roman" w:cs="Times New Roman"/>
                <w:bCs/>
                <w:color w:val="auto"/>
                <w:kern w:val="0"/>
                <w:sz w:val="24"/>
                <w:highlight w:val="none"/>
              </w:rPr>
            </w:pPr>
            <w:r>
              <w:rPr>
                <w:rFonts w:ascii="Times New Roman" w:hAnsi="Times New Roman" w:cs="Times New Roman"/>
                <w:bCs/>
                <w:color w:val="auto"/>
                <w:kern w:val="0"/>
                <w:sz w:val="24"/>
                <w:highlight w:val="none"/>
              </w:rPr>
              <w:t>评审</w:t>
            </w:r>
            <w:r>
              <w:rPr>
                <w:rFonts w:hint="eastAsia" w:ascii="Times New Roman" w:hAnsi="Times New Roman" w:cs="Times New Roman"/>
                <w:bCs/>
                <w:color w:val="auto"/>
                <w:kern w:val="0"/>
                <w:sz w:val="24"/>
                <w:highlight w:val="none"/>
              </w:rPr>
              <w:t>方</w:t>
            </w:r>
            <w:r>
              <w:rPr>
                <w:rFonts w:ascii="Times New Roman" w:hAnsi="Times New Roman" w:cs="Times New Roman"/>
                <w:bCs/>
                <w:color w:val="auto"/>
                <w:kern w:val="0"/>
                <w:sz w:val="24"/>
                <w:highlight w:val="none"/>
              </w:rPr>
              <w:t>法</w:t>
            </w:r>
          </w:p>
        </w:tc>
        <w:tc>
          <w:tcPr>
            <w:tcW w:w="1751" w:type="dxa"/>
            <w:tcMar>
              <w:left w:w="75" w:type="dxa"/>
            </w:tcMar>
            <w:vAlign w:val="center"/>
          </w:tcPr>
          <w:p w14:paraId="75E8AF21">
            <w:pPr>
              <w:widowControl/>
              <w:adjustRightInd w:val="0"/>
              <w:snapToGrid w:val="0"/>
              <w:jc w:val="center"/>
              <w:rPr>
                <w:rFonts w:ascii="Times New Roman" w:hAnsi="Times New Roman" w:cs="Times New Roman"/>
                <w:color w:val="auto"/>
                <w:kern w:val="0"/>
                <w:sz w:val="24"/>
                <w:highlight w:val="none"/>
              </w:rPr>
            </w:pPr>
            <w:r>
              <w:rPr>
                <w:rFonts w:ascii="Times New Roman" w:hAnsi="Times New Roman" w:cs="Times New Roman"/>
                <w:color w:val="auto"/>
                <w:kern w:val="0"/>
                <w:sz w:val="24"/>
                <w:highlight w:val="none"/>
              </w:rPr>
              <w:t>成交候选人</w:t>
            </w:r>
          </w:p>
          <w:p w14:paraId="09671BDF">
            <w:pPr>
              <w:widowControl/>
              <w:adjustRightInd w:val="0"/>
              <w:snapToGrid w:val="0"/>
              <w:jc w:val="center"/>
              <w:rPr>
                <w:rFonts w:ascii="Times New Roman" w:hAnsi="Times New Roman" w:cs="Times New Roman"/>
                <w:color w:val="auto"/>
                <w:kern w:val="0"/>
                <w:sz w:val="24"/>
                <w:highlight w:val="none"/>
              </w:rPr>
            </w:pPr>
            <w:r>
              <w:rPr>
                <w:rFonts w:ascii="Times New Roman" w:hAnsi="Times New Roman" w:cs="Times New Roman"/>
                <w:color w:val="auto"/>
                <w:kern w:val="0"/>
                <w:sz w:val="24"/>
                <w:highlight w:val="none"/>
              </w:rPr>
              <w:t>排序方法</w:t>
            </w:r>
          </w:p>
        </w:tc>
        <w:tc>
          <w:tcPr>
            <w:tcW w:w="5605" w:type="dxa"/>
            <w:tcMar>
              <w:left w:w="75" w:type="dxa"/>
            </w:tcMar>
            <w:vAlign w:val="center"/>
          </w:tcPr>
          <w:p w14:paraId="418D71E6">
            <w:pPr>
              <w:pStyle w:val="13"/>
              <w:widowControl/>
              <w:adjustRightInd w:val="0"/>
              <w:snapToGrid w:val="0"/>
              <w:jc w:val="left"/>
              <w:rPr>
                <w:color w:val="auto"/>
                <w:sz w:val="24"/>
                <w:highlight w:val="none"/>
              </w:rPr>
            </w:pPr>
            <w:r>
              <w:rPr>
                <w:rFonts w:hint="eastAsia"/>
                <w:color w:val="auto"/>
                <w:sz w:val="24"/>
                <w:highlight w:val="none"/>
              </w:rPr>
              <w:t>按综合得分由高到低的顺序依次推荐成交候选人：</w:t>
            </w:r>
          </w:p>
          <w:p w14:paraId="58267855">
            <w:pPr>
              <w:pStyle w:val="13"/>
              <w:adjustRightInd w:val="0"/>
              <w:snapToGrid w:val="0"/>
              <w:rPr>
                <w:color w:val="auto"/>
                <w:sz w:val="24"/>
                <w:highlight w:val="none"/>
              </w:rPr>
            </w:pPr>
            <w:r>
              <w:rPr>
                <w:rFonts w:hint="eastAsia"/>
                <w:color w:val="auto"/>
                <w:sz w:val="24"/>
                <w:highlight w:val="none"/>
              </w:rPr>
              <w:t>当综合得分相等时，以评审价得分高的优先；评审价得分也相等的，以评审价低的优先；评审价也相等的，以递交响应文件在前的优先。</w:t>
            </w:r>
          </w:p>
        </w:tc>
      </w:tr>
    </w:tbl>
    <w:p w14:paraId="3AD44B46">
      <w:pPr>
        <w:adjustRightInd w:val="0"/>
        <w:snapToGrid w:val="0"/>
        <w:spacing w:line="360" w:lineRule="auto"/>
        <w:ind w:firstLine="420"/>
        <w:textAlignment w:val="baseline"/>
        <w:rPr>
          <w:rFonts w:ascii="Times New Roman" w:hAnsi="Times New Roman" w:cs="Times New Roman"/>
          <w:color w:val="auto"/>
          <w:szCs w:val="21"/>
          <w:highlight w:val="none"/>
        </w:rPr>
      </w:pPr>
    </w:p>
    <w:tbl>
      <w:tblPr>
        <w:tblStyle w:val="25"/>
        <w:tblW w:w="91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69"/>
        <w:gridCol w:w="1093"/>
        <w:gridCol w:w="1745"/>
        <w:gridCol w:w="5615"/>
      </w:tblGrid>
      <w:tr w14:paraId="2ECB73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1762" w:type="dxa"/>
            <w:gridSpan w:val="2"/>
            <w:vAlign w:val="center"/>
          </w:tcPr>
          <w:p w14:paraId="0E245D1B">
            <w:pPr>
              <w:widowControl/>
              <w:spacing w:line="360" w:lineRule="atLeast"/>
              <w:jc w:val="center"/>
              <w:rPr>
                <w:rFonts w:ascii="Times New Roman" w:hAnsi="Times New Roman" w:cs="Times New Roman"/>
                <w:color w:val="auto"/>
                <w:kern w:val="0"/>
                <w:sz w:val="24"/>
                <w:highlight w:val="none"/>
              </w:rPr>
            </w:pPr>
            <w:r>
              <w:rPr>
                <w:rFonts w:ascii="Times New Roman" w:hAnsi="Times New Roman" w:cs="Times New Roman"/>
                <w:b/>
                <w:bCs/>
                <w:color w:val="auto"/>
                <w:kern w:val="0"/>
                <w:sz w:val="24"/>
                <w:highlight w:val="none"/>
              </w:rPr>
              <w:t>条款号</w:t>
            </w:r>
          </w:p>
        </w:tc>
        <w:tc>
          <w:tcPr>
            <w:tcW w:w="1745" w:type="dxa"/>
            <w:vAlign w:val="center"/>
          </w:tcPr>
          <w:p w14:paraId="3655D4A9">
            <w:pPr>
              <w:widowControl/>
              <w:spacing w:line="360" w:lineRule="atLeast"/>
              <w:jc w:val="center"/>
              <w:rPr>
                <w:rFonts w:ascii="Times New Roman" w:hAnsi="Times New Roman" w:cs="Times New Roman"/>
                <w:color w:val="auto"/>
                <w:kern w:val="0"/>
                <w:sz w:val="24"/>
                <w:highlight w:val="none"/>
              </w:rPr>
            </w:pPr>
            <w:r>
              <w:rPr>
                <w:rFonts w:ascii="Times New Roman" w:hAnsi="Times New Roman" w:cs="Times New Roman"/>
                <w:b/>
                <w:bCs/>
                <w:color w:val="auto"/>
                <w:kern w:val="0"/>
                <w:sz w:val="24"/>
                <w:highlight w:val="none"/>
              </w:rPr>
              <w:t>评审因素</w:t>
            </w:r>
          </w:p>
        </w:tc>
        <w:tc>
          <w:tcPr>
            <w:tcW w:w="5615" w:type="dxa"/>
            <w:vAlign w:val="center"/>
          </w:tcPr>
          <w:p w14:paraId="0100331E">
            <w:pPr>
              <w:widowControl/>
              <w:spacing w:line="360" w:lineRule="atLeast"/>
              <w:jc w:val="center"/>
              <w:rPr>
                <w:rFonts w:ascii="Times New Roman" w:hAnsi="Times New Roman" w:cs="Times New Roman"/>
                <w:color w:val="auto"/>
                <w:kern w:val="0"/>
                <w:sz w:val="24"/>
                <w:highlight w:val="none"/>
              </w:rPr>
            </w:pPr>
            <w:r>
              <w:rPr>
                <w:rFonts w:ascii="Times New Roman" w:hAnsi="Times New Roman" w:cs="Times New Roman"/>
                <w:b/>
                <w:bCs/>
                <w:color w:val="auto"/>
                <w:kern w:val="0"/>
                <w:sz w:val="24"/>
                <w:highlight w:val="none"/>
              </w:rPr>
              <w:t>评审标准</w:t>
            </w:r>
          </w:p>
        </w:tc>
      </w:tr>
      <w:tr w14:paraId="394D70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669" w:type="dxa"/>
            <w:vMerge w:val="restart"/>
            <w:vAlign w:val="center"/>
          </w:tcPr>
          <w:p w14:paraId="4A33E264">
            <w:pPr>
              <w:widowControl/>
              <w:adjustRightInd w:val="0"/>
              <w:snapToGrid w:val="0"/>
              <w:spacing w:line="360" w:lineRule="atLeast"/>
              <w:jc w:val="center"/>
              <w:rPr>
                <w:rFonts w:ascii="Times New Roman" w:hAnsi="Times New Roman" w:cs="Times New Roman"/>
                <w:color w:val="auto"/>
                <w:kern w:val="0"/>
                <w:sz w:val="24"/>
                <w:highlight w:val="none"/>
              </w:rPr>
            </w:pPr>
            <w:r>
              <w:rPr>
                <w:rFonts w:ascii="Times New Roman" w:hAnsi="Times New Roman" w:cs="Times New Roman"/>
                <w:color w:val="auto"/>
                <w:kern w:val="0"/>
                <w:sz w:val="24"/>
                <w:highlight w:val="none"/>
              </w:rPr>
              <w:t>2.1.1</w:t>
            </w:r>
          </w:p>
        </w:tc>
        <w:tc>
          <w:tcPr>
            <w:tcW w:w="1093" w:type="dxa"/>
            <w:vMerge w:val="restart"/>
            <w:vAlign w:val="center"/>
          </w:tcPr>
          <w:p w14:paraId="298911B2">
            <w:pPr>
              <w:widowControl/>
              <w:adjustRightInd w:val="0"/>
              <w:snapToGrid w:val="0"/>
              <w:spacing w:line="360" w:lineRule="atLeast"/>
              <w:jc w:val="center"/>
              <w:rPr>
                <w:rFonts w:ascii="Times New Roman" w:hAnsi="Times New Roman" w:cs="Times New Roman"/>
                <w:color w:val="auto"/>
                <w:kern w:val="0"/>
                <w:sz w:val="24"/>
                <w:highlight w:val="none"/>
              </w:rPr>
            </w:pPr>
            <w:r>
              <w:rPr>
                <w:rFonts w:ascii="Times New Roman" w:hAnsi="Times New Roman" w:cs="Times New Roman"/>
                <w:color w:val="auto"/>
                <w:kern w:val="0"/>
                <w:sz w:val="24"/>
                <w:highlight w:val="none"/>
              </w:rPr>
              <w:t>形式评审标准</w:t>
            </w:r>
          </w:p>
        </w:tc>
        <w:tc>
          <w:tcPr>
            <w:tcW w:w="1745" w:type="dxa"/>
            <w:tcMar>
              <w:left w:w="75" w:type="dxa"/>
            </w:tcMar>
            <w:vAlign w:val="center"/>
          </w:tcPr>
          <w:p w14:paraId="421B4D0C">
            <w:pPr>
              <w:widowControl/>
              <w:adjustRightInd w:val="0"/>
              <w:snapToGrid w:val="0"/>
              <w:spacing w:line="360" w:lineRule="atLeast"/>
              <w:jc w:val="left"/>
              <w:rPr>
                <w:rFonts w:ascii="Times New Roman" w:hAnsi="Times New Roman" w:cs="Times New Roman"/>
                <w:color w:val="auto"/>
                <w:kern w:val="0"/>
                <w:sz w:val="24"/>
                <w:highlight w:val="none"/>
              </w:rPr>
            </w:pPr>
            <w:r>
              <w:rPr>
                <w:rFonts w:ascii="Times New Roman" w:hAnsi="Times New Roman" w:cs="Times New Roman"/>
                <w:color w:val="auto"/>
                <w:kern w:val="0"/>
                <w:sz w:val="24"/>
                <w:highlight w:val="none"/>
              </w:rPr>
              <w:t>供应商名称</w:t>
            </w:r>
          </w:p>
        </w:tc>
        <w:tc>
          <w:tcPr>
            <w:tcW w:w="5615" w:type="dxa"/>
            <w:tcMar>
              <w:left w:w="75" w:type="dxa"/>
            </w:tcMar>
            <w:vAlign w:val="center"/>
          </w:tcPr>
          <w:p w14:paraId="73F5F228">
            <w:pPr>
              <w:widowControl/>
              <w:adjustRightInd w:val="0"/>
              <w:snapToGrid w:val="0"/>
              <w:spacing w:line="360" w:lineRule="atLeast"/>
              <w:jc w:val="left"/>
              <w:rPr>
                <w:rFonts w:ascii="Times New Roman" w:hAnsi="Times New Roman" w:cs="Times New Roman"/>
                <w:color w:val="auto"/>
                <w:kern w:val="0"/>
                <w:sz w:val="24"/>
                <w:highlight w:val="none"/>
              </w:rPr>
            </w:pPr>
            <w:r>
              <w:rPr>
                <w:rFonts w:ascii="Times New Roman" w:hAnsi="Times New Roman" w:cs="Times New Roman"/>
                <w:color w:val="auto"/>
                <w:kern w:val="0"/>
                <w:sz w:val="24"/>
                <w:highlight w:val="none"/>
              </w:rPr>
              <w:t>与营业执照一致</w:t>
            </w:r>
          </w:p>
        </w:tc>
      </w:tr>
      <w:tr w14:paraId="630C80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69" w:type="dxa"/>
            <w:vMerge w:val="continue"/>
            <w:vAlign w:val="center"/>
          </w:tcPr>
          <w:p w14:paraId="76916A6D">
            <w:pPr>
              <w:widowControl/>
              <w:adjustRightInd w:val="0"/>
              <w:snapToGrid w:val="0"/>
              <w:spacing w:line="360" w:lineRule="atLeast"/>
              <w:jc w:val="center"/>
              <w:rPr>
                <w:rFonts w:ascii="Times New Roman" w:hAnsi="Times New Roman" w:cs="Times New Roman"/>
                <w:color w:val="auto"/>
                <w:kern w:val="0"/>
                <w:sz w:val="24"/>
                <w:highlight w:val="none"/>
              </w:rPr>
            </w:pPr>
          </w:p>
        </w:tc>
        <w:tc>
          <w:tcPr>
            <w:tcW w:w="1093" w:type="dxa"/>
            <w:vMerge w:val="continue"/>
            <w:vAlign w:val="center"/>
          </w:tcPr>
          <w:p w14:paraId="3A270D7B">
            <w:pPr>
              <w:widowControl/>
              <w:adjustRightInd w:val="0"/>
              <w:snapToGrid w:val="0"/>
              <w:spacing w:line="360" w:lineRule="atLeast"/>
              <w:jc w:val="center"/>
              <w:rPr>
                <w:rFonts w:ascii="Times New Roman" w:hAnsi="Times New Roman" w:cs="Times New Roman"/>
                <w:color w:val="auto"/>
                <w:kern w:val="0"/>
                <w:sz w:val="24"/>
                <w:highlight w:val="none"/>
              </w:rPr>
            </w:pPr>
          </w:p>
        </w:tc>
        <w:tc>
          <w:tcPr>
            <w:tcW w:w="1745" w:type="dxa"/>
            <w:tcMar>
              <w:left w:w="75" w:type="dxa"/>
            </w:tcMar>
            <w:vAlign w:val="center"/>
          </w:tcPr>
          <w:p w14:paraId="58DA5388">
            <w:pPr>
              <w:widowControl/>
              <w:adjustRightInd w:val="0"/>
              <w:snapToGrid w:val="0"/>
              <w:spacing w:line="360" w:lineRule="atLeast"/>
              <w:jc w:val="left"/>
              <w:rPr>
                <w:rFonts w:ascii="Times New Roman" w:hAnsi="Times New Roman" w:cs="Times New Roman"/>
                <w:color w:val="auto"/>
                <w:kern w:val="0"/>
                <w:sz w:val="24"/>
                <w:highlight w:val="none"/>
              </w:rPr>
            </w:pPr>
            <w:r>
              <w:rPr>
                <w:rFonts w:ascii="Times New Roman" w:hAnsi="Times New Roman" w:cs="Times New Roman"/>
                <w:color w:val="auto"/>
                <w:kern w:val="0"/>
                <w:sz w:val="24"/>
                <w:highlight w:val="none"/>
              </w:rPr>
              <w:t>响应文件格式</w:t>
            </w:r>
          </w:p>
        </w:tc>
        <w:tc>
          <w:tcPr>
            <w:tcW w:w="5615" w:type="dxa"/>
            <w:tcMar>
              <w:left w:w="75" w:type="dxa"/>
            </w:tcMar>
            <w:vAlign w:val="center"/>
          </w:tcPr>
          <w:p w14:paraId="1344DD4B">
            <w:pPr>
              <w:widowControl/>
              <w:adjustRightInd w:val="0"/>
              <w:snapToGrid w:val="0"/>
              <w:spacing w:line="360" w:lineRule="atLeast"/>
              <w:jc w:val="left"/>
              <w:rPr>
                <w:rFonts w:ascii="Times New Roman" w:hAnsi="Times New Roman" w:cs="Times New Roman"/>
                <w:color w:val="auto"/>
                <w:kern w:val="0"/>
                <w:sz w:val="24"/>
                <w:highlight w:val="none"/>
              </w:rPr>
            </w:pPr>
            <w:r>
              <w:rPr>
                <w:rFonts w:ascii="Times New Roman" w:hAnsi="Times New Roman" w:cs="Times New Roman"/>
                <w:color w:val="auto"/>
                <w:kern w:val="0"/>
                <w:sz w:val="24"/>
                <w:highlight w:val="none"/>
              </w:rPr>
              <w:t>符合第六章</w:t>
            </w:r>
            <w:r>
              <w:rPr>
                <w:rFonts w:hint="eastAsia" w:ascii="Times New Roman" w:hAnsi="Times New Roman" w:cs="Times New Roman"/>
                <w:color w:val="auto"/>
                <w:kern w:val="0"/>
                <w:sz w:val="24"/>
                <w:highlight w:val="none"/>
              </w:rPr>
              <w:t>“</w:t>
            </w:r>
            <w:r>
              <w:rPr>
                <w:rFonts w:ascii="Times New Roman" w:hAnsi="Times New Roman" w:cs="Times New Roman"/>
                <w:color w:val="auto"/>
                <w:kern w:val="0"/>
                <w:sz w:val="24"/>
                <w:highlight w:val="none"/>
              </w:rPr>
              <w:t>响应文件格式</w:t>
            </w:r>
            <w:r>
              <w:rPr>
                <w:rFonts w:hint="eastAsia" w:ascii="Times New Roman" w:hAnsi="Times New Roman" w:cs="Times New Roman"/>
                <w:color w:val="auto"/>
                <w:kern w:val="0"/>
                <w:sz w:val="24"/>
                <w:highlight w:val="none"/>
              </w:rPr>
              <w:t>”</w:t>
            </w:r>
            <w:r>
              <w:rPr>
                <w:rFonts w:ascii="Times New Roman" w:hAnsi="Times New Roman" w:cs="Times New Roman"/>
                <w:color w:val="auto"/>
                <w:kern w:val="0"/>
                <w:sz w:val="24"/>
                <w:highlight w:val="none"/>
              </w:rPr>
              <w:t>的规定，关键字迹清晰可辨</w:t>
            </w:r>
          </w:p>
        </w:tc>
      </w:tr>
      <w:tr w14:paraId="254B1C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69" w:type="dxa"/>
            <w:vMerge w:val="continue"/>
            <w:vAlign w:val="center"/>
          </w:tcPr>
          <w:p w14:paraId="18C414CA">
            <w:pPr>
              <w:widowControl/>
              <w:adjustRightInd w:val="0"/>
              <w:snapToGrid w:val="0"/>
              <w:spacing w:line="360" w:lineRule="atLeast"/>
              <w:jc w:val="center"/>
              <w:rPr>
                <w:rFonts w:ascii="Times New Roman" w:hAnsi="Times New Roman" w:cs="Times New Roman"/>
                <w:color w:val="auto"/>
                <w:kern w:val="0"/>
                <w:sz w:val="24"/>
                <w:highlight w:val="none"/>
              </w:rPr>
            </w:pPr>
          </w:p>
        </w:tc>
        <w:tc>
          <w:tcPr>
            <w:tcW w:w="1093" w:type="dxa"/>
            <w:vMerge w:val="continue"/>
            <w:vAlign w:val="center"/>
          </w:tcPr>
          <w:p w14:paraId="56ED09F4">
            <w:pPr>
              <w:widowControl/>
              <w:adjustRightInd w:val="0"/>
              <w:snapToGrid w:val="0"/>
              <w:spacing w:line="360" w:lineRule="atLeast"/>
              <w:jc w:val="center"/>
              <w:rPr>
                <w:rFonts w:ascii="Times New Roman" w:hAnsi="Times New Roman" w:cs="Times New Roman"/>
                <w:color w:val="auto"/>
                <w:kern w:val="0"/>
                <w:sz w:val="24"/>
                <w:highlight w:val="none"/>
              </w:rPr>
            </w:pPr>
          </w:p>
        </w:tc>
        <w:tc>
          <w:tcPr>
            <w:tcW w:w="1745" w:type="dxa"/>
            <w:tcMar>
              <w:left w:w="75" w:type="dxa"/>
            </w:tcMar>
            <w:vAlign w:val="center"/>
          </w:tcPr>
          <w:p w14:paraId="5311D7F8">
            <w:pPr>
              <w:widowControl/>
              <w:adjustRightInd w:val="0"/>
              <w:snapToGrid w:val="0"/>
              <w:spacing w:line="360" w:lineRule="atLeast"/>
              <w:jc w:val="left"/>
              <w:rPr>
                <w:rFonts w:ascii="Times New Roman" w:hAnsi="Times New Roman" w:cs="Times New Roman"/>
                <w:color w:val="auto"/>
                <w:kern w:val="0"/>
                <w:sz w:val="24"/>
                <w:highlight w:val="none"/>
              </w:rPr>
            </w:pPr>
            <w:r>
              <w:rPr>
                <w:rFonts w:hint="eastAsia" w:ascii="Times New Roman" w:hAnsi="Times New Roman" w:cs="Times New Roman"/>
                <w:color w:val="auto"/>
                <w:kern w:val="0"/>
                <w:sz w:val="24"/>
                <w:highlight w:val="none"/>
              </w:rPr>
              <w:t>签名</w:t>
            </w:r>
            <w:r>
              <w:rPr>
                <w:rFonts w:ascii="Times New Roman" w:hAnsi="Times New Roman" w:cs="Times New Roman"/>
                <w:color w:val="auto"/>
                <w:kern w:val="0"/>
                <w:sz w:val="24"/>
                <w:highlight w:val="none"/>
              </w:rPr>
              <w:t>盖章</w:t>
            </w:r>
          </w:p>
        </w:tc>
        <w:tc>
          <w:tcPr>
            <w:tcW w:w="5615" w:type="dxa"/>
            <w:tcMar>
              <w:left w:w="75" w:type="dxa"/>
            </w:tcMar>
            <w:vAlign w:val="center"/>
          </w:tcPr>
          <w:p w14:paraId="2060C6EF">
            <w:pPr>
              <w:widowControl/>
              <w:adjustRightInd w:val="0"/>
              <w:snapToGrid w:val="0"/>
              <w:spacing w:line="360" w:lineRule="atLeast"/>
              <w:jc w:val="left"/>
              <w:rPr>
                <w:rFonts w:ascii="Times New Roman" w:hAnsi="Times New Roman" w:cs="Times New Roman"/>
                <w:color w:val="auto"/>
                <w:kern w:val="0"/>
                <w:sz w:val="24"/>
                <w:highlight w:val="none"/>
              </w:rPr>
            </w:pPr>
            <w:r>
              <w:rPr>
                <w:rFonts w:ascii="Times New Roman" w:hAnsi="Times New Roman" w:cs="Times New Roman"/>
                <w:bCs/>
                <w:color w:val="auto"/>
                <w:kern w:val="0"/>
                <w:sz w:val="24"/>
                <w:highlight w:val="none"/>
              </w:rPr>
              <w:t>符合第二章</w:t>
            </w:r>
            <w:r>
              <w:rPr>
                <w:rFonts w:hint="eastAsia" w:ascii="Times New Roman" w:hAnsi="Times New Roman" w:cs="Times New Roman"/>
                <w:bCs/>
                <w:color w:val="auto"/>
                <w:kern w:val="0"/>
                <w:sz w:val="24"/>
                <w:highlight w:val="none"/>
              </w:rPr>
              <w:t>“</w:t>
            </w:r>
            <w:r>
              <w:rPr>
                <w:rFonts w:ascii="Times New Roman" w:hAnsi="Times New Roman" w:cs="Times New Roman"/>
                <w:bCs/>
                <w:color w:val="auto"/>
                <w:kern w:val="0"/>
                <w:sz w:val="24"/>
                <w:highlight w:val="none"/>
              </w:rPr>
              <w:t>供应商须知</w:t>
            </w:r>
            <w:r>
              <w:rPr>
                <w:rFonts w:hint="eastAsia" w:ascii="Times New Roman" w:hAnsi="Times New Roman" w:cs="Times New Roman"/>
                <w:bCs/>
                <w:color w:val="auto"/>
                <w:kern w:val="0"/>
                <w:sz w:val="24"/>
                <w:highlight w:val="none"/>
              </w:rPr>
              <w:t>”</w:t>
            </w:r>
            <w:r>
              <w:rPr>
                <w:rFonts w:ascii="Times New Roman" w:hAnsi="Times New Roman" w:cs="Times New Roman"/>
                <w:bCs/>
                <w:color w:val="auto"/>
                <w:kern w:val="0"/>
                <w:sz w:val="24"/>
                <w:highlight w:val="none"/>
              </w:rPr>
              <w:t>第3.</w:t>
            </w:r>
            <w:r>
              <w:rPr>
                <w:rFonts w:hint="eastAsia" w:ascii="Times New Roman" w:hAnsi="Times New Roman" w:cs="Times New Roman"/>
                <w:bCs/>
                <w:color w:val="auto"/>
                <w:kern w:val="0"/>
                <w:sz w:val="24"/>
                <w:highlight w:val="none"/>
              </w:rPr>
              <w:t>6</w:t>
            </w:r>
            <w:r>
              <w:rPr>
                <w:rFonts w:ascii="Times New Roman" w:hAnsi="Times New Roman" w:cs="Times New Roman"/>
                <w:bCs/>
                <w:color w:val="auto"/>
                <w:kern w:val="0"/>
                <w:sz w:val="24"/>
                <w:highlight w:val="none"/>
              </w:rPr>
              <w:t>.3项的规定</w:t>
            </w:r>
          </w:p>
        </w:tc>
      </w:tr>
      <w:tr w14:paraId="02BD08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69" w:type="dxa"/>
            <w:vAlign w:val="center"/>
          </w:tcPr>
          <w:p w14:paraId="5D9B362D">
            <w:pPr>
              <w:widowControl/>
              <w:adjustRightInd w:val="0"/>
              <w:snapToGrid w:val="0"/>
              <w:spacing w:line="360" w:lineRule="atLeast"/>
              <w:jc w:val="center"/>
              <w:rPr>
                <w:rFonts w:ascii="Times New Roman" w:hAnsi="Times New Roman" w:cs="Times New Roman"/>
                <w:color w:val="auto"/>
                <w:kern w:val="0"/>
                <w:sz w:val="24"/>
                <w:highlight w:val="none"/>
              </w:rPr>
            </w:pPr>
            <w:r>
              <w:rPr>
                <w:rFonts w:ascii="Times New Roman" w:hAnsi="Times New Roman" w:cs="Times New Roman"/>
                <w:color w:val="auto"/>
                <w:kern w:val="0"/>
                <w:sz w:val="24"/>
                <w:highlight w:val="none"/>
              </w:rPr>
              <w:t>2.1.2</w:t>
            </w:r>
          </w:p>
        </w:tc>
        <w:tc>
          <w:tcPr>
            <w:tcW w:w="1093" w:type="dxa"/>
            <w:vAlign w:val="center"/>
          </w:tcPr>
          <w:p w14:paraId="7BE146F0">
            <w:pPr>
              <w:widowControl/>
              <w:adjustRightInd w:val="0"/>
              <w:snapToGrid w:val="0"/>
              <w:spacing w:line="360" w:lineRule="atLeast"/>
              <w:jc w:val="center"/>
              <w:rPr>
                <w:rFonts w:ascii="Times New Roman" w:hAnsi="Times New Roman" w:cs="Times New Roman"/>
                <w:color w:val="auto"/>
                <w:kern w:val="0"/>
                <w:sz w:val="24"/>
                <w:highlight w:val="none"/>
              </w:rPr>
            </w:pPr>
            <w:r>
              <w:rPr>
                <w:rFonts w:ascii="Times New Roman" w:hAnsi="Times New Roman" w:cs="Times New Roman"/>
                <w:color w:val="auto"/>
                <w:kern w:val="0"/>
                <w:sz w:val="24"/>
                <w:highlight w:val="none"/>
              </w:rPr>
              <w:t>资格评审标准</w:t>
            </w:r>
          </w:p>
        </w:tc>
        <w:tc>
          <w:tcPr>
            <w:tcW w:w="1745" w:type="dxa"/>
            <w:tcMar>
              <w:left w:w="75" w:type="dxa"/>
            </w:tcMar>
            <w:vAlign w:val="center"/>
          </w:tcPr>
          <w:p w14:paraId="460806F6">
            <w:pPr>
              <w:widowControl/>
              <w:adjustRightInd w:val="0"/>
              <w:snapToGrid w:val="0"/>
              <w:spacing w:line="360" w:lineRule="atLeast"/>
              <w:jc w:val="left"/>
              <w:rPr>
                <w:rFonts w:ascii="Times New Roman" w:hAnsi="Times New Roman" w:cs="Times New Roman"/>
                <w:color w:val="auto"/>
                <w:kern w:val="0"/>
                <w:sz w:val="24"/>
                <w:highlight w:val="none"/>
              </w:rPr>
            </w:pPr>
            <w:r>
              <w:rPr>
                <w:rFonts w:hint="eastAsia" w:ascii="Times New Roman" w:hAnsi="Times New Roman" w:cs="Times New Roman"/>
                <w:color w:val="auto"/>
                <w:kern w:val="0"/>
                <w:sz w:val="24"/>
                <w:highlight w:val="none"/>
              </w:rPr>
              <w:t>能力、信誉</w:t>
            </w:r>
          </w:p>
        </w:tc>
        <w:tc>
          <w:tcPr>
            <w:tcW w:w="5615" w:type="dxa"/>
            <w:tcMar>
              <w:left w:w="75" w:type="dxa"/>
            </w:tcMar>
            <w:vAlign w:val="center"/>
          </w:tcPr>
          <w:p w14:paraId="49649E0C">
            <w:pPr>
              <w:adjustRightInd w:val="0"/>
              <w:snapToGrid w:val="0"/>
              <w:spacing w:line="360" w:lineRule="atLeast"/>
              <w:jc w:val="left"/>
              <w:rPr>
                <w:rFonts w:ascii="Times New Roman" w:hAnsi="Times New Roman" w:cs="Times New Roman"/>
                <w:color w:val="auto"/>
                <w:kern w:val="0"/>
                <w:sz w:val="24"/>
                <w:highlight w:val="none"/>
              </w:rPr>
            </w:pPr>
            <w:r>
              <w:rPr>
                <w:rFonts w:ascii="Times New Roman" w:hAnsi="Times New Roman" w:cs="Times New Roman"/>
                <w:color w:val="auto"/>
                <w:kern w:val="0"/>
                <w:sz w:val="24"/>
                <w:highlight w:val="none"/>
              </w:rPr>
              <w:t>符合第二章</w:t>
            </w:r>
            <w:r>
              <w:rPr>
                <w:rFonts w:hint="eastAsia" w:ascii="Times New Roman" w:hAnsi="Times New Roman" w:cs="Times New Roman"/>
                <w:color w:val="auto"/>
                <w:kern w:val="0"/>
                <w:sz w:val="24"/>
                <w:highlight w:val="none"/>
              </w:rPr>
              <w:t>“</w:t>
            </w:r>
            <w:r>
              <w:rPr>
                <w:rFonts w:ascii="Times New Roman" w:hAnsi="Times New Roman" w:cs="Times New Roman"/>
                <w:color w:val="auto"/>
                <w:kern w:val="0"/>
                <w:sz w:val="24"/>
                <w:highlight w:val="none"/>
              </w:rPr>
              <w:t>供应商须知</w:t>
            </w:r>
            <w:r>
              <w:rPr>
                <w:rFonts w:hint="eastAsia" w:ascii="Times New Roman" w:hAnsi="Times New Roman" w:cs="Times New Roman"/>
                <w:color w:val="auto"/>
                <w:kern w:val="0"/>
                <w:sz w:val="24"/>
                <w:highlight w:val="none"/>
              </w:rPr>
              <w:t>”</w:t>
            </w:r>
            <w:r>
              <w:rPr>
                <w:rFonts w:ascii="Times New Roman" w:hAnsi="Times New Roman" w:cs="Times New Roman"/>
                <w:color w:val="auto"/>
                <w:kern w:val="0"/>
                <w:sz w:val="24"/>
                <w:highlight w:val="none"/>
              </w:rPr>
              <w:t>第1.</w:t>
            </w:r>
            <w:r>
              <w:rPr>
                <w:rFonts w:hint="eastAsia" w:ascii="Times New Roman" w:hAnsi="Times New Roman" w:cs="Times New Roman"/>
                <w:color w:val="auto"/>
                <w:kern w:val="0"/>
                <w:sz w:val="24"/>
                <w:highlight w:val="none"/>
              </w:rPr>
              <w:t>2</w:t>
            </w:r>
            <w:r>
              <w:rPr>
                <w:rFonts w:ascii="Times New Roman" w:hAnsi="Times New Roman" w:cs="Times New Roman"/>
                <w:color w:val="auto"/>
                <w:kern w:val="0"/>
                <w:sz w:val="24"/>
                <w:highlight w:val="none"/>
              </w:rPr>
              <w:t>.1项规定</w:t>
            </w:r>
          </w:p>
        </w:tc>
      </w:tr>
      <w:tr w14:paraId="66954F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69" w:type="dxa"/>
            <w:vMerge w:val="restart"/>
            <w:vAlign w:val="center"/>
          </w:tcPr>
          <w:p w14:paraId="02751B7F">
            <w:pPr>
              <w:widowControl/>
              <w:adjustRightInd w:val="0"/>
              <w:snapToGrid w:val="0"/>
              <w:spacing w:line="360" w:lineRule="atLeast"/>
              <w:jc w:val="center"/>
              <w:rPr>
                <w:rFonts w:ascii="Times New Roman" w:hAnsi="Times New Roman" w:cs="Times New Roman"/>
                <w:color w:val="auto"/>
                <w:kern w:val="0"/>
                <w:sz w:val="24"/>
                <w:highlight w:val="none"/>
              </w:rPr>
            </w:pPr>
            <w:r>
              <w:rPr>
                <w:rFonts w:ascii="Times New Roman" w:hAnsi="Times New Roman" w:cs="Times New Roman"/>
                <w:color w:val="auto"/>
                <w:kern w:val="0"/>
                <w:sz w:val="24"/>
                <w:highlight w:val="none"/>
              </w:rPr>
              <w:t>2.1.3</w:t>
            </w:r>
          </w:p>
        </w:tc>
        <w:tc>
          <w:tcPr>
            <w:tcW w:w="1093" w:type="dxa"/>
            <w:vMerge w:val="restart"/>
            <w:vAlign w:val="center"/>
          </w:tcPr>
          <w:p w14:paraId="631512A7">
            <w:pPr>
              <w:widowControl/>
              <w:adjustRightInd w:val="0"/>
              <w:snapToGrid w:val="0"/>
              <w:spacing w:line="360" w:lineRule="atLeast"/>
              <w:jc w:val="center"/>
              <w:rPr>
                <w:rFonts w:ascii="Times New Roman" w:hAnsi="Times New Roman" w:cs="Times New Roman"/>
                <w:color w:val="auto"/>
                <w:kern w:val="0"/>
                <w:sz w:val="24"/>
                <w:highlight w:val="none"/>
              </w:rPr>
            </w:pPr>
            <w:r>
              <w:rPr>
                <w:rFonts w:ascii="Times New Roman" w:hAnsi="Times New Roman" w:cs="Times New Roman"/>
                <w:color w:val="auto"/>
                <w:kern w:val="0"/>
                <w:sz w:val="24"/>
                <w:highlight w:val="none"/>
              </w:rPr>
              <w:t>响应性评审标准</w:t>
            </w:r>
          </w:p>
        </w:tc>
        <w:tc>
          <w:tcPr>
            <w:tcW w:w="1745" w:type="dxa"/>
            <w:tcMar>
              <w:left w:w="75" w:type="dxa"/>
            </w:tcMar>
            <w:vAlign w:val="center"/>
          </w:tcPr>
          <w:p w14:paraId="2C384145">
            <w:pPr>
              <w:widowControl/>
              <w:adjustRightInd w:val="0"/>
              <w:snapToGrid w:val="0"/>
              <w:spacing w:line="360" w:lineRule="atLeast"/>
              <w:jc w:val="left"/>
              <w:rPr>
                <w:rFonts w:ascii="Times New Roman" w:hAnsi="Times New Roman" w:cs="Times New Roman"/>
                <w:color w:val="auto"/>
                <w:kern w:val="0"/>
                <w:sz w:val="24"/>
                <w:highlight w:val="none"/>
              </w:rPr>
            </w:pPr>
            <w:r>
              <w:rPr>
                <w:rFonts w:ascii="Times New Roman" w:hAnsi="Times New Roman" w:cs="Times New Roman"/>
                <w:color w:val="auto"/>
                <w:kern w:val="0"/>
                <w:sz w:val="24"/>
                <w:highlight w:val="none"/>
              </w:rPr>
              <w:t>报价内容</w:t>
            </w:r>
          </w:p>
        </w:tc>
        <w:tc>
          <w:tcPr>
            <w:tcW w:w="5615" w:type="dxa"/>
            <w:tcMar>
              <w:left w:w="75" w:type="dxa"/>
            </w:tcMar>
            <w:vAlign w:val="center"/>
          </w:tcPr>
          <w:p w14:paraId="2C693A3D">
            <w:pPr>
              <w:widowControl/>
              <w:adjustRightInd w:val="0"/>
              <w:snapToGrid w:val="0"/>
              <w:spacing w:line="360" w:lineRule="atLeast"/>
              <w:jc w:val="left"/>
              <w:rPr>
                <w:rFonts w:ascii="Times New Roman" w:hAnsi="Times New Roman" w:cs="Times New Roman"/>
                <w:color w:val="auto"/>
                <w:kern w:val="0"/>
                <w:sz w:val="24"/>
                <w:highlight w:val="none"/>
              </w:rPr>
            </w:pPr>
            <w:r>
              <w:rPr>
                <w:rFonts w:hint="eastAsia" w:ascii="Times New Roman" w:hAnsi="Times New Roman" w:cs="Times New Roman"/>
                <w:color w:val="auto"/>
                <w:sz w:val="24"/>
                <w:highlight w:val="none"/>
              </w:rPr>
              <w:t>符合</w:t>
            </w:r>
            <w:r>
              <w:rPr>
                <w:rFonts w:ascii="Times New Roman" w:hAnsi="Times New Roman" w:cs="Times New Roman"/>
                <w:color w:val="auto"/>
                <w:sz w:val="24"/>
                <w:highlight w:val="none"/>
              </w:rPr>
              <w:t>第一章</w:t>
            </w:r>
            <w:r>
              <w:rPr>
                <w:rFonts w:hint="eastAsia" w:ascii="Times New Roman" w:hAnsi="Times New Roman" w:cs="Times New Roman"/>
                <w:color w:val="auto"/>
                <w:sz w:val="24"/>
                <w:highlight w:val="none"/>
              </w:rPr>
              <w:t>“采购公告”</w:t>
            </w:r>
            <w:r>
              <w:rPr>
                <w:rFonts w:ascii="Times New Roman" w:hAnsi="Times New Roman" w:cs="Times New Roman"/>
                <w:color w:val="auto"/>
                <w:sz w:val="24"/>
                <w:highlight w:val="none"/>
              </w:rPr>
              <w:t>规定</w:t>
            </w:r>
          </w:p>
        </w:tc>
      </w:tr>
      <w:tr w14:paraId="0D2DED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1" w:hRule="atLeast"/>
        </w:trPr>
        <w:tc>
          <w:tcPr>
            <w:tcW w:w="669" w:type="dxa"/>
            <w:vMerge w:val="continue"/>
            <w:vAlign w:val="center"/>
          </w:tcPr>
          <w:p w14:paraId="4F00A110">
            <w:pPr>
              <w:widowControl/>
              <w:adjustRightInd w:val="0"/>
              <w:snapToGrid w:val="0"/>
              <w:spacing w:line="360" w:lineRule="atLeast"/>
              <w:jc w:val="center"/>
              <w:rPr>
                <w:rFonts w:ascii="Times New Roman" w:hAnsi="Times New Roman" w:cs="Times New Roman"/>
                <w:color w:val="auto"/>
                <w:kern w:val="0"/>
                <w:sz w:val="24"/>
                <w:highlight w:val="none"/>
              </w:rPr>
            </w:pPr>
          </w:p>
        </w:tc>
        <w:tc>
          <w:tcPr>
            <w:tcW w:w="1093" w:type="dxa"/>
            <w:vMerge w:val="continue"/>
            <w:vAlign w:val="center"/>
          </w:tcPr>
          <w:p w14:paraId="60C97384">
            <w:pPr>
              <w:widowControl/>
              <w:adjustRightInd w:val="0"/>
              <w:snapToGrid w:val="0"/>
              <w:spacing w:line="360" w:lineRule="atLeast"/>
              <w:jc w:val="center"/>
              <w:rPr>
                <w:rFonts w:ascii="Times New Roman" w:hAnsi="Times New Roman" w:cs="Times New Roman"/>
                <w:color w:val="auto"/>
                <w:kern w:val="0"/>
                <w:sz w:val="24"/>
                <w:highlight w:val="none"/>
              </w:rPr>
            </w:pPr>
          </w:p>
        </w:tc>
        <w:tc>
          <w:tcPr>
            <w:tcW w:w="1745" w:type="dxa"/>
            <w:tcMar>
              <w:left w:w="75" w:type="dxa"/>
            </w:tcMar>
            <w:vAlign w:val="center"/>
          </w:tcPr>
          <w:p w14:paraId="732DB4C9">
            <w:pPr>
              <w:widowControl/>
              <w:adjustRightInd w:val="0"/>
              <w:snapToGrid w:val="0"/>
              <w:spacing w:line="360" w:lineRule="atLeast"/>
              <w:jc w:val="left"/>
              <w:rPr>
                <w:rFonts w:ascii="Times New Roman" w:hAnsi="Times New Roman" w:cs="Times New Roman"/>
                <w:color w:val="auto"/>
                <w:kern w:val="0"/>
                <w:sz w:val="24"/>
                <w:highlight w:val="none"/>
              </w:rPr>
            </w:pPr>
            <w:r>
              <w:rPr>
                <w:rFonts w:hint="eastAsia" w:ascii="Times New Roman" w:hAnsi="Times New Roman" w:cs="Times New Roman"/>
                <w:color w:val="auto"/>
                <w:kern w:val="0"/>
                <w:sz w:val="24"/>
                <w:highlight w:val="none"/>
              </w:rPr>
              <w:t>服务期</w:t>
            </w:r>
          </w:p>
        </w:tc>
        <w:tc>
          <w:tcPr>
            <w:tcW w:w="5615" w:type="dxa"/>
            <w:tcMar>
              <w:left w:w="75" w:type="dxa"/>
            </w:tcMar>
            <w:vAlign w:val="center"/>
          </w:tcPr>
          <w:p w14:paraId="0C2CC755">
            <w:pPr>
              <w:widowControl/>
              <w:adjustRightInd w:val="0"/>
              <w:snapToGrid w:val="0"/>
              <w:spacing w:line="360" w:lineRule="atLeast"/>
              <w:jc w:val="left"/>
              <w:rPr>
                <w:rFonts w:ascii="Times New Roman" w:hAnsi="Times New Roman" w:cs="Times New Roman"/>
                <w:color w:val="auto"/>
                <w:kern w:val="0"/>
                <w:sz w:val="24"/>
                <w:highlight w:val="none"/>
              </w:rPr>
            </w:pPr>
            <w:r>
              <w:rPr>
                <w:rFonts w:hint="eastAsia" w:ascii="Times New Roman" w:hAnsi="Times New Roman" w:cs="Times New Roman"/>
                <w:color w:val="auto"/>
                <w:sz w:val="24"/>
                <w:highlight w:val="none"/>
              </w:rPr>
              <w:t>符合</w:t>
            </w:r>
            <w:r>
              <w:rPr>
                <w:rFonts w:ascii="Times New Roman" w:hAnsi="Times New Roman" w:cs="Times New Roman"/>
                <w:color w:val="auto"/>
                <w:sz w:val="24"/>
                <w:highlight w:val="none"/>
              </w:rPr>
              <w:t>第一章</w:t>
            </w:r>
            <w:r>
              <w:rPr>
                <w:rFonts w:hint="eastAsia" w:ascii="Times New Roman" w:hAnsi="Times New Roman" w:cs="Times New Roman"/>
                <w:color w:val="auto"/>
                <w:sz w:val="24"/>
                <w:highlight w:val="none"/>
              </w:rPr>
              <w:t>“采购公告”</w:t>
            </w:r>
            <w:r>
              <w:rPr>
                <w:rFonts w:ascii="Times New Roman" w:hAnsi="Times New Roman" w:cs="Times New Roman"/>
                <w:color w:val="auto"/>
                <w:sz w:val="24"/>
                <w:highlight w:val="none"/>
              </w:rPr>
              <w:t>规定</w:t>
            </w:r>
          </w:p>
        </w:tc>
      </w:tr>
      <w:tr w14:paraId="0136F8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2" w:hRule="atLeast"/>
        </w:trPr>
        <w:tc>
          <w:tcPr>
            <w:tcW w:w="669" w:type="dxa"/>
            <w:vMerge w:val="continue"/>
            <w:vAlign w:val="center"/>
          </w:tcPr>
          <w:p w14:paraId="2AA1D376">
            <w:pPr>
              <w:widowControl/>
              <w:adjustRightInd w:val="0"/>
              <w:snapToGrid w:val="0"/>
              <w:spacing w:line="360" w:lineRule="atLeast"/>
              <w:jc w:val="center"/>
              <w:rPr>
                <w:rFonts w:ascii="Times New Roman" w:hAnsi="Times New Roman" w:cs="Times New Roman"/>
                <w:color w:val="auto"/>
                <w:kern w:val="0"/>
                <w:sz w:val="24"/>
                <w:highlight w:val="none"/>
              </w:rPr>
            </w:pPr>
          </w:p>
        </w:tc>
        <w:tc>
          <w:tcPr>
            <w:tcW w:w="1093" w:type="dxa"/>
            <w:vMerge w:val="continue"/>
            <w:vAlign w:val="center"/>
          </w:tcPr>
          <w:p w14:paraId="525C1CE0">
            <w:pPr>
              <w:widowControl/>
              <w:adjustRightInd w:val="0"/>
              <w:snapToGrid w:val="0"/>
              <w:spacing w:line="360" w:lineRule="atLeast"/>
              <w:jc w:val="center"/>
              <w:rPr>
                <w:rFonts w:ascii="Times New Roman" w:hAnsi="Times New Roman" w:cs="Times New Roman"/>
                <w:color w:val="auto"/>
                <w:kern w:val="0"/>
                <w:sz w:val="24"/>
                <w:highlight w:val="none"/>
              </w:rPr>
            </w:pPr>
          </w:p>
        </w:tc>
        <w:tc>
          <w:tcPr>
            <w:tcW w:w="1745" w:type="dxa"/>
            <w:tcMar>
              <w:left w:w="75" w:type="dxa"/>
            </w:tcMar>
            <w:vAlign w:val="center"/>
          </w:tcPr>
          <w:p w14:paraId="0EEFB62E">
            <w:pPr>
              <w:widowControl/>
              <w:adjustRightInd w:val="0"/>
              <w:snapToGrid w:val="0"/>
              <w:spacing w:line="360" w:lineRule="atLeast"/>
              <w:jc w:val="left"/>
              <w:rPr>
                <w:rFonts w:ascii="Times New Roman" w:hAnsi="Times New Roman" w:cs="Times New Roman"/>
                <w:color w:val="auto"/>
                <w:kern w:val="0"/>
                <w:sz w:val="24"/>
                <w:highlight w:val="none"/>
              </w:rPr>
            </w:pPr>
            <w:r>
              <w:rPr>
                <w:rFonts w:ascii="Times New Roman" w:hAnsi="Times New Roman" w:cs="Times New Roman"/>
                <w:color w:val="auto"/>
                <w:kern w:val="0"/>
                <w:sz w:val="24"/>
                <w:highlight w:val="none"/>
              </w:rPr>
              <w:t>响应有效期</w:t>
            </w:r>
          </w:p>
        </w:tc>
        <w:tc>
          <w:tcPr>
            <w:tcW w:w="5615" w:type="dxa"/>
            <w:tcMar>
              <w:left w:w="75" w:type="dxa"/>
            </w:tcMar>
            <w:vAlign w:val="center"/>
          </w:tcPr>
          <w:p w14:paraId="7172BC0C">
            <w:pPr>
              <w:adjustRightInd w:val="0"/>
              <w:snapToGrid w:val="0"/>
              <w:spacing w:line="360" w:lineRule="atLeast"/>
              <w:jc w:val="left"/>
              <w:rPr>
                <w:rFonts w:ascii="Times New Roman" w:hAnsi="Times New Roman" w:cs="Times New Roman"/>
                <w:color w:val="auto"/>
                <w:kern w:val="0"/>
                <w:sz w:val="24"/>
                <w:highlight w:val="none"/>
              </w:rPr>
            </w:pPr>
            <w:r>
              <w:rPr>
                <w:rFonts w:ascii="Times New Roman" w:hAnsi="Times New Roman" w:cs="Times New Roman"/>
                <w:color w:val="auto"/>
                <w:kern w:val="0"/>
                <w:sz w:val="24"/>
                <w:highlight w:val="none"/>
              </w:rPr>
              <w:t>符合第二章</w:t>
            </w:r>
            <w:r>
              <w:rPr>
                <w:rFonts w:hint="eastAsia" w:ascii="Times New Roman" w:hAnsi="Times New Roman" w:cs="Times New Roman"/>
                <w:color w:val="auto"/>
                <w:kern w:val="0"/>
                <w:sz w:val="24"/>
                <w:highlight w:val="none"/>
              </w:rPr>
              <w:t>“</w:t>
            </w:r>
            <w:r>
              <w:rPr>
                <w:rFonts w:ascii="Times New Roman" w:hAnsi="Times New Roman" w:cs="Times New Roman"/>
                <w:color w:val="auto"/>
                <w:kern w:val="0"/>
                <w:sz w:val="24"/>
                <w:highlight w:val="none"/>
              </w:rPr>
              <w:t>供应商须知</w:t>
            </w:r>
            <w:r>
              <w:rPr>
                <w:rFonts w:hint="eastAsia" w:ascii="Times New Roman" w:hAnsi="Times New Roman" w:cs="Times New Roman"/>
                <w:color w:val="auto"/>
                <w:kern w:val="0"/>
                <w:sz w:val="24"/>
                <w:highlight w:val="none"/>
              </w:rPr>
              <w:t>”</w:t>
            </w:r>
            <w:r>
              <w:rPr>
                <w:rFonts w:ascii="Times New Roman" w:hAnsi="Times New Roman" w:cs="Times New Roman"/>
                <w:color w:val="auto"/>
                <w:kern w:val="0"/>
                <w:sz w:val="24"/>
                <w:highlight w:val="none"/>
              </w:rPr>
              <w:t>第3.3.1项规定</w:t>
            </w:r>
          </w:p>
        </w:tc>
      </w:tr>
      <w:tr w14:paraId="446DCB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4" w:hRule="atLeast"/>
        </w:trPr>
        <w:tc>
          <w:tcPr>
            <w:tcW w:w="669" w:type="dxa"/>
            <w:vMerge w:val="continue"/>
            <w:vAlign w:val="center"/>
          </w:tcPr>
          <w:p w14:paraId="0DF6FE9E">
            <w:pPr>
              <w:widowControl/>
              <w:adjustRightInd w:val="0"/>
              <w:snapToGrid w:val="0"/>
              <w:spacing w:line="360" w:lineRule="atLeast"/>
              <w:jc w:val="center"/>
              <w:rPr>
                <w:rFonts w:ascii="Times New Roman" w:hAnsi="Times New Roman" w:cs="Times New Roman"/>
                <w:color w:val="auto"/>
                <w:kern w:val="0"/>
                <w:sz w:val="24"/>
                <w:highlight w:val="none"/>
              </w:rPr>
            </w:pPr>
          </w:p>
        </w:tc>
        <w:tc>
          <w:tcPr>
            <w:tcW w:w="1093" w:type="dxa"/>
            <w:vMerge w:val="continue"/>
            <w:vAlign w:val="center"/>
          </w:tcPr>
          <w:p w14:paraId="6B233985">
            <w:pPr>
              <w:widowControl/>
              <w:adjustRightInd w:val="0"/>
              <w:snapToGrid w:val="0"/>
              <w:spacing w:line="360" w:lineRule="atLeast"/>
              <w:jc w:val="center"/>
              <w:rPr>
                <w:rFonts w:ascii="Times New Roman" w:hAnsi="Times New Roman" w:cs="Times New Roman"/>
                <w:color w:val="auto"/>
                <w:kern w:val="0"/>
                <w:sz w:val="24"/>
                <w:highlight w:val="none"/>
              </w:rPr>
            </w:pPr>
          </w:p>
        </w:tc>
        <w:tc>
          <w:tcPr>
            <w:tcW w:w="1745" w:type="dxa"/>
            <w:tcMar>
              <w:left w:w="75" w:type="dxa"/>
            </w:tcMar>
            <w:vAlign w:val="center"/>
          </w:tcPr>
          <w:p w14:paraId="0266A154">
            <w:pPr>
              <w:widowControl/>
              <w:adjustRightInd w:val="0"/>
              <w:snapToGrid w:val="0"/>
              <w:spacing w:line="360" w:lineRule="atLeast"/>
              <w:jc w:val="left"/>
              <w:rPr>
                <w:rFonts w:ascii="Times New Roman" w:hAnsi="Times New Roman" w:cs="Times New Roman"/>
                <w:color w:val="auto"/>
                <w:kern w:val="0"/>
                <w:sz w:val="24"/>
                <w:highlight w:val="none"/>
              </w:rPr>
            </w:pPr>
            <w:r>
              <w:rPr>
                <w:rFonts w:ascii="Times New Roman" w:hAnsi="Times New Roman" w:cs="Times New Roman"/>
                <w:color w:val="auto"/>
                <w:kern w:val="0"/>
                <w:sz w:val="24"/>
                <w:highlight w:val="none"/>
              </w:rPr>
              <w:t>权利义务</w:t>
            </w:r>
          </w:p>
        </w:tc>
        <w:tc>
          <w:tcPr>
            <w:tcW w:w="5615" w:type="dxa"/>
            <w:tcMar>
              <w:left w:w="75" w:type="dxa"/>
            </w:tcMar>
            <w:vAlign w:val="center"/>
          </w:tcPr>
          <w:p w14:paraId="5FB4989E">
            <w:pPr>
              <w:widowControl/>
              <w:adjustRightInd w:val="0"/>
              <w:snapToGrid w:val="0"/>
              <w:spacing w:line="360" w:lineRule="atLeast"/>
              <w:jc w:val="left"/>
              <w:rPr>
                <w:rFonts w:ascii="Times New Roman" w:hAnsi="Times New Roman" w:cs="Times New Roman"/>
                <w:color w:val="auto"/>
                <w:kern w:val="0"/>
                <w:sz w:val="24"/>
                <w:highlight w:val="none"/>
              </w:rPr>
            </w:pPr>
            <w:r>
              <w:rPr>
                <w:rFonts w:ascii="Times New Roman" w:hAnsi="Times New Roman" w:cs="Times New Roman"/>
                <w:bCs/>
                <w:color w:val="auto"/>
                <w:kern w:val="0"/>
                <w:sz w:val="24"/>
                <w:highlight w:val="none"/>
              </w:rPr>
              <w:t>符合询比文件规定</w:t>
            </w:r>
          </w:p>
        </w:tc>
      </w:tr>
      <w:tr w14:paraId="3860DF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69" w:type="dxa"/>
            <w:vMerge w:val="continue"/>
            <w:vAlign w:val="center"/>
          </w:tcPr>
          <w:p w14:paraId="2D570F13">
            <w:pPr>
              <w:widowControl/>
              <w:adjustRightInd w:val="0"/>
              <w:snapToGrid w:val="0"/>
              <w:spacing w:line="360" w:lineRule="atLeast"/>
              <w:jc w:val="center"/>
              <w:rPr>
                <w:rFonts w:ascii="Times New Roman" w:hAnsi="Times New Roman" w:cs="Times New Roman"/>
                <w:color w:val="auto"/>
                <w:kern w:val="0"/>
                <w:sz w:val="24"/>
                <w:highlight w:val="none"/>
              </w:rPr>
            </w:pPr>
          </w:p>
        </w:tc>
        <w:tc>
          <w:tcPr>
            <w:tcW w:w="1093" w:type="dxa"/>
            <w:vMerge w:val="continue"/>
            <w:vAlign w:val="center"/>
          </w:tcPr>
          <w:p w14:paraId="3BDB5EFE">
            <w:pPr>
              <w:widowControl/>
              <w:adjustRightInd w:val="0"/>
              <w:snapToGrid w:val="0"/>
              <w:spacing w:line="360" w:lineRule="atLeast"/>
              <w:jc w:val="center"/>
              <w:rPr>
                <w:rFonts w:ascii="Times New Roman" w:hAnsi="Times New Roman" w:cs="Times New Roman"/>
                <w:color w:val="auto"/>
                <w:kern w:val="0"/>
                <w:sz w:val="24"/>
                <w:highlight w:val="none"/>
              </w:rPr>
            </w:pPr>
          </w:p>
        </w:tc>
        <w:tc>
          <w:tcPr>
            <w:tcW w:w="1745" w:type="dxa"/>
            <w:tcMar>
              <w:left w:w="75" w:type="dxa"/>
            </w:tcMar>
            <w:vAlign w:val="center"/>
          </w:tcPr>
          <w:p w14:paraId="1ECADC57">
            <w:pPr>
              <w:widowControl/>
              <w:adjustRightInd w:val="0"/>
              <w:snapToGrid w:val="0"/>
              <w:spacing w:line="360" w:lineRule="atLeast"/>
              <w:jc w:val="left"/>
              <w:rPr>
                <w:rFonts w:ascii="Times New Roman" w:hAnsi="Times New Roman" w:cs="Times New Roman"/>
                <w:bCs/>
                <w:color w:val="auto"/>
                <w:kern w:val="0"/>
                <w:sz w:val="24"/>
                <w:highlight w:val="none"/>
              </w:rPr>
            </w:pPr>
            <w:r>
              <w:rPr>
                <w:rFonts w:ascii="Times New Roman" w:hAnsi="Times New Roman" w:cs="Times New Roman"/>
                <w:bCs/>
                <w:color w:val="auto"/>
                <w:kern w:val="0"/>
                <w:sz w:val="24"/>
                <w:highlight w:val="none"/>
              </w:rPr>
              <w:t>询比文件的获取</w:t>
            </w:r>
          </w:p>
        </w:tc>
        <w:tc>
          <w:tcPr>
            <w:tcW w:w="5615" w:type="dxa"/>
            <w:tcMar>
              <w:left w:w="75" w:type="dxa"/>
            </w:tcMar>
            <w:vAlign w:val="center"/>
          </w:tcPr>
          <w:p w14:paraId="4B28FF83">
            <w:pPr>
              <w:widowControl/>
              <w:adjustRightInd w:val="0"/>
              <w:snapToGrid w:val="0"/>
              <w:spacing w:line="360" w:lineRule="atLeast"/>
              <w:jc w:val="left"/>
              <w:rPr>
                <w:rFonts w:ascii="Times New Roman" w:hAnsi="Times New Roman" w:cs="Times New Roman"/>
                <w:bCs/>
                <w:color w:val="auto"/>
                <w:kern w:val="0"/>
                <w:sz w:val="24"/>
                <w:highlight w:val="none"/>
              </w:rPr>
            </w:pPr>
            <w:r>
              <w:rPr>
                <w:rFonts w:ascii="Times New Roman" w:hAnsi="Times New Roman" w:cs="Times New Roman"/>
                <w:bCs/>
                <w:color w:val="auto"/>
                <w:kern w:val="0"/>
                <w:sz w:val="24"/>
                <w:highlight w:val="none"/>
              </w:rPr>
              <w:t>符合</w:t>
            </w:r>
            <w:r>
              <w:rPr>
                <w:rFonts w:ascii="Times New Roman" w:hAnsi="Times New Roman" w:cs="Times New Roman"/>
                <w:color w:val="auto"/>
                <w:sz w:val="24"/>
                <w:highlight w:val="none"/>
              </w:rPr>
              <w:t>第一章</w:t>
            </w:r>
            <w:r>
              <w:rPr>
                <w:rFonts w:hint="eastAsia" w:ascii="Times New Roman" w:hAnsi="Times New Roman" w:cs="Times New Roman"/>
                <w:color w:val="auto"/>
                <w:sz w:val="24"/>
                <w:highlight w:val="none"/>
              </w:rPr>
              <w:t>“采购公告”</w:t>
            </w:r>
            <w:r>
              <w:rPr>
                <w:rFonts w:hint="eastAsia" w:ascii="Times New Roman" w:hAnsi="Times New Roman" w:cs="Times New Roman"/>
                <w:bCs/>
                <w:color w:val="auto"/>
                <w:kern w:val="0"/>
                <w:sz w:val="24"/>
                <w:highlight w:val="none"/>
              </w:rPr>
              <w:t>规定</w:t>
            </w:r>
          </w:p>
        </w:tc>
      </w:tr>
      <w:tr w14:paraId="584745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69" w:type="dxa"/>
            <w:vMerge w:val="continue"/>
            <w:vAlign w:val="center"/>
          </w:tcPr>
          <w:p w14:paraId="2663B7C7">
            <w:pPr>
              <w:widowControl/>
              <w:adjustRightInd w:val="0"/>
              <w:snapToGrid w:val="0"/>
              <w:spacing w:line="360" w:lineRule="atLeast"/>
              <w:jc w:val="center"/>
              <w:rPr>
                <w:rFonts w:ascii="Times New Roman" w:hAnsi="Times New Roman" w:cs="Times New Roman"/>
                <w:color w:val="auto"/>
                <w:kern w:val="0"/>
                <w:sz w:val="24"/>
                <w:highlight w:val="none"/>
              </w:rPr>
            </w:pPr>
          </w:p>
        </w:tc>
        <w:tc>
          <w:tcPr>
            <w:tcW w:w="1093" w:type="dxa"/>
            <w:vMerge w:val="continue"/>
            <w:vAlign w:val="center"/>
          </w:tcPr>
          <w:p w14:paraId="2FBEC578">
            <w:pPr>
              <w:widowControl/>
              <w:adjustRightInd w:val="0"/>
              <w:snapToGrid w:val="0"/>
              <w:spacing w:line="360" w:lineRule="atLeast"/>
              <w:jc w:val="center"/>
              <w:rPr>
                <w:rFonts w:ascii="Times New Roman" w:hAnsi="Times New Roman" w:cs="Times New Roman"/>
                <w:color w:val="auto"/>
                <w:kern w:val="0"/>
                <w:sz w:val="24"/>
                <w:highlight w:val="none"/>
              </w:rPr>
            </w:pPr>
          </w:p>
        </w:tc>
        <w:tc>
          <w:tcPr>
            <w:tcW w:w="1745" w:type="dxa"/>
            <w:tcBorders>
              <w:top w:val="single" w:color="auto" w:sz="4" w:space="0"/>
              <w:left w:val="single" w:color="auto" w:sz="4" w:space="0"/>
              <w:right w:val="single" w:color="auto" w:sz="4" w:space="0"/>
            </w:tcBorders>
            <w:tcMar>
              <w:left w:w="75" w:type="dxa"/>
            </w:tcMar>
            <w:vAlign w:val="center"/>
          </w:tcPr>
          <w:p w14:paraId="6879FA58">
            <w:pPr>
              <w:widowControl/>
              <w:adjustRightInd w:val="0"/>
              <w:snapToGrid w:val="0"/>
              <w:spacing w:line="360" w:lineRule="atLeast"/>
              <w:jc w:val="left"/>
              <w:rPr>
                <w:rFonts w:ascii="Times New Roman" w:hAnsi="Times New Roman" w:cs="Times New Roman"/>
                <w:bCs/>
                <w:color w:val="auto"/>
                <w:kern w:val="0"/>
                <w:sz w:val="24"/>
                <w:highlight w:val="none"/>
              </w:rPr>
            </w:pPr>
            <w:r>
              <w:rPr>
                <w:rFonts w:hint="eastAsia" w:ascii="Times New Roman" w:hAnsi="Times New Roman" w:cs="Times New Roman"/>
                <w:bCs/>
                <w:color w:val="auto"/>
                <w:kern w:val="0"/>
                <w:sz w:val="24"/>
                <w:highlight w:val="none"/>
              </w:rPr>
              <w:t>联合体</w:t>
            </w:r>
          </w:p>
        </w:tc>
        <w:tc>
          <w:tcPr>
            <w:tcW w:w="5615" w:type="dxa"/>
            <w:tcBorders>
              <w:top w:val="outset" w:color="auto" w:sz="6" w:space="0"/>
              <w:left w:val="single" w:color="auto" w:sz="4" w:space="0"/>
              <w:right w:val="outset" w:color="auto" w:sz="6" w:space="0"/>
            </w:tcBorders>
            <w:tcMar>
              <w:left w:w="75" w:type="dxa"/>
            </w:tcMar>
            <w:vAlign w:val="center"/>
          </w:tcPr>
          <w:p w14:paraId="253FDC5B">
            <w:pPr>
              <w:widowControl/>
              <w:adjustRightInd w:val="0"/>
              <w:snapToGrid w:val="0"/>
              <w:spacing w:line="360" w:lineRule="atLeast"/>
              <w:jc w:val="left"/>
              <w:rPr>
                <w:rFonts w:ascii="Times New Roman" w:hAnsi="Times New Roman" w:cs="Times New Roman"/>
                <w:color w:val="auto"/>
                <w:kern w:val="0"/>
                <w:sz w:val="24"/>
                <w:highlight w:val="none"/>
              </w:rPr>
            </w:pPr>
            <w:r>
              <w:rPr>
                <w:rFonts w:hint="eastAsia" w:ascii="Times New Roman" w:hAnsi="Times New Roman" w:cs="Times New Roman"/>
                <w:color w:val="auto"/>
                <w:kern w:val="0"/>
                <w:sz w:val="24"/>
                <w:highlight w:val="none"/>
              </w:rPr>
              <w:t>未以联合体形式报价</w:t>
            </w:r>
          </w:p>
        </w:tc>
      </w:tr>
      <w:tr w14:paraId="78AC4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69" w:type="dxa"/>
            <w:vMerge w:val="continue"/>
            <w:vAlign w:val="center"/>
          </w:tcPr>
          <w:p w14:paraId="708EE764">
            <w:pPr>
              <w:widowControl/>
              <w:adjustRightInd w:val="0"/>
              <w:snapToGrid w:val="0"/>
              <w:spacing w:line="360" w:lineRule="atLeast"/>
              <w:jc w:val="center"/>
              <w:rPr>
                <w:rFonts w:ascii="Times New Roman" w:hAnsi="Times New Roman" w:cs="Times New Roman"/>
                <w:color w:val="auto"/>
                <w:kern w:val="0"/>
                <w:sz w:val="24"/>
                <w:highlight w:val="none"/>
              </w:rPr>
            </w:pPr>
          </w:p>
        </w:tc>
        <w:tc>
          <w:tcPr>
            <w:tcW w:w="1093" w:type="dxa"/>
            <w:vMerge w:val="continue"/>
            <w:vAlign w:val="center"/>
          </w:tcPr>
          <w:p w14:paraId="2FBF7C12">
            <w:pPr>
              <w:widowControl/>
              <w:adjustRightInd w:val="0"/>
              <w:snapToGrid w:val="0"/>
              <w:spacing w:line="360" w:lineRule="atLeast"/>
              <w:jc w:val="center"/>
              <w:rPr>
                <w:rFonts w:ascii="Times New Roman" w:hAnsi="Times New Roman" w:cs="Times New Roman"/>
                <w:color w:val="auto"/>
                <w:kern w:val="0"/>
                <w:sz w:val="24"/>
                <w:highlight w:val="none"/>
              </w:rPr>
            </w:pPr>
          </w:p>
        </w:tc>
        <w:tc>
          <w:tcPr>
            <w:tcW w:w="1745" w:type="dxa"/>
            <w:tcBorders>
              <w:top w:val="single" w:color="auto" w:sz="4" w:space="0"/>
              <w:left w:val="single" w:color="auto" w:sz="4" w:space="0"/>
              <w:right w:val="single" w:color="auto" w:sz="4" w:space="0"/>
            </w:tcBorders>
            <w:tcMar>
              <w:left w:w="75" w:type="dxa"/>
            </w:tcMar>
            <w:vAlign w:val="center"/>
          </w:tcPr>
          <w:p w14:paraId="398572DB">
            <w:pPr>
              <w:widowControl/>
              <w:adjustRightInd w:val="0"/>
              <w:snapToGrid w:val="0"/>
              <w:spacing w:line="360" w:lineRule="atLeast"/>
              <w:jc w:val="left"/>
              <w:rPr>
                <w:rFonts w:ascii="Times New Roman" w:hAnsi="Times New Roman" w:cs="Times New Roman"/>
                <w:color w:val="auto"/>
                <w:kern w:val="0"/>
                <w:sz w:val="24"/>
                <w:highlight w:val="none"/>
              </w:rPr>
            </w:pPr>
            <w:r>
              <w:rPr>
                <w:rFonts w:ascii="Times New Roman" w:hAnsi="Times New Roman" w:cs="Times New Roman"/>
                <w:bCs/>
                <w:color w:val="auto"/>
                <w:kern w:val="0"/>
                <w:sz w:val="24"/>
                <w:highlight w:val="none"/>
              </w:rPr>
              <w:t>分包</w:t>
            </w:r>
          </w:p>
        </w:tc>
        <w:tc>
          <w:tcPr>
            <w:tcW w:w="5615" w:type="dxa"/>
            <w:tcBorders>
              <w:top w:val="outset" w:color="auto" w:sz="6" w:space="0"/>
              <w:left w:val="single" w:color="auto" w:sz="4" w:space="0"/>
              <w:right w:val="outset" w:color="auto" w:sz="6" w:space="0"/>
            </w:tcBorders>
            <w:tcMar>
              <w:left w:w="75" w:type="dxa"/>
            </w:tcMar>
            <w:vAlign w:val="center"/>
          </w:tcPr>
          <w:p w14:paraId="58221846">
            <w:pPr>
              <w:widowControl/>
              <w:adjustRightInd w:val="0"/>
              <w:snapToGrid w:val="0"/>
              <w:spacing w:line="360" w:lineRule="atLeast"/>
              <w:jc w:val="left"/>
              <w:rPr>
                <w:rFonts w:ascii="Times New Roman" w:hAnsi="Times New Roman" w:cs="Times New Roman"/>
                <w:color w:val="auto"/>
                <w:kern w:val="0"/>
                <w:sz w:val="24"/>
                <w:highlight w:val="none"/>
              </w:rPr>
            </w:pPr>
            <w:r>
              <w:rPr>
                <w:rFonts w:hint="eastAsia" w:ascii="Times New Roman" w:hAnsi="Times New Roman" w:cs="Times New Roman"/>
                <w:color w:val="auto"/>
                <w:kern w:val="0"/>
                <w:sz w:val="24"/>
                <w:highlight w:val="none"/>
              </w:rPr>
              <w:t>没有分包</w:t>
            </w:r>
          </w:p>
        </w:tc>
      </w:tr>
      <w:tr w14:paraId="2B2FD5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69" w:type="dxa"/>
            <w:vMerge w:val="continue"/>
            <w:vAlign w:val="center"/>
          </w:tcPr>
          <w:p w14:paraId="62FA861D">
            <w:pPr>
              <w:widowControl/>
              <w:adjustRightInd w:val="0"/>
              <w:snapToGrid w:val="0"/>
              <w:spacing w:line="360" w:lineRule="atLeast"/>
              <w:jc w:val="center"/>
              <w:rPr>
                <w:rFonts w:ascii="Times New Roman" w:hAnsi="Times New Roman" w:cs="Times New Roman"/>
                <w:color w:val="auto"/>
                <w:kern w:val="0"/>
                <w:sz w:val="24"/>
                <w:highlight w:val="none"/>
              </w:rPr>
            </w:pPr>
          </w:p>
        </w:tc>
        <w:tc>
          <w:tcPr>
            <w:tcW w:w="1093" w:type="dxa"/>
            <w:vMerge w:val="continue"/>
            <w:vAlign w:val="center"/>
          </w:tcPr>
          <w:p w14:paraId="65929D82">
            <w:pPr>
              <w:widowControl/>
              <w:adjustRightInd w:val="0"/>
              <w:snapToGrid w:val="0"/>
              <w:spacing w:line="360" w:lineRule="atLeast"/>
              <w:jc w:val="center"/>
              <w:rPr>
                <w:rFonts w:ascii="Times New Roman" w:hAnsi="Times New Roman" w:cs="Times New Roman"/>
                <w:color w:val="auto"/>
                <w:kern w:val="0"/>
                <w:sz w:val="24"/>
                <w:highlight w:val="none"/>
              </w:rPr>
            </w:pPr>
          </w:p>
        </w:tc>
        <w:tc>
          <w:tcPr>
            <w:tcW w:w="1745" w:type="dxa"/>
            <w:tcBorders>
              <w:top w:val="single" w:color="auto" w:sz="4" w:space="0"/>
              <w:left w:val="single" w:color="auto" w:sz="4" w:space="0"/>
              <w:right w:val="single" w:color="auto" w:sz="4" w:space="0"/>
            </w:tcBorders>
            <w:tcMar>
              <w:left w:w="75" w:type="dxa"/>
            </w:tcMar>
            <w:vAlign w:val="center"/>
          </w:tcPr>
          <w:p w14:paraId="000CC9D8">
            <w:pPr>
              <w:widowControl/>
              <w:adjustRightInd w:val="0"/>
              <w:snapToGrid w:val="0"/>
              <w:spacing w:line="360" w:lineRule="atLeast"/>
              <w:jc w:val="left"/>
              <w:rPr>
                <w:rFonts w:ascii="Times New Roman" w:hAnsi="Times New Roman" w:cs="Times New Roman"/>
                <w:bCs/>
                <w:color w:val="auto"/>
                <w:kern w:val="0"/>
                <w:sz w:val="24"/>
                <w:highlight w:val="none"/>
              </w:rPr>
            </w:pPr>
            <w:r>
              <w:rPr>
                <w:rFonts w:ascii="Times New Roman" w:hAnsi="Times New Roman" w:cs="Times New Roman"/>
                <w:color w:val="auto"/>
                <w:kern w:val="0"/>
                <w:sz w:val="24"/>
                <w:highlight w:val="none"/>
              </w:rPr>
              <w:t>报价</w:t>
            </w:r>
          </w:p>
        </w:tc>
        <w:tc>
          <w:tcPr>
            <w:tcW w:w="5615" w:type="dxa"/>
            <w:tcBorders>
              <w:top w:val="outset" w:color="auto" w:sz="6" w:space="0"/>
              <w:left w:val="single" w:color="auto" w:sz="4" w:space="0"/>
              <w:right w:val="outset" w:color="auto" w:sz="6" w:space="0"/>
            </w:tcBorders>
            <w:tcMar>
              <w:left w:w="75" w:type="dxa"/>
            </w:tcMar>
            <w:vAlign w:val="center"/>
          </w:tcPr>
          <w:p w14:paraId="3915F37C">
            <w:pPr>
              <w:widowControl/>
              <w:adjustRightInd w:val="0"/>
              <w:snapToGrid w:val="0"/>
              <w:spacing w:line="360" w:lineRule="atLeast"/>
              <w:jc w:val="left"/>
              <w:rPr>
                <w:rFonts w:ascii="Times New Roman" w:hAnsi="Times New Roman" w:cs="Times New Roman"/>
                <w:color w:val="auto"/>
                <w:sz w:val="24"/>
                <w:highlight w:val="none"/>
              </w:rPr>
            </w:pPr>
            <w:r>
              <w:rPr>
                <w:rFonts w:ascii="Times New Roman" w:hAnsi="Times New Roman" w:cs="Times New Roman"/>
                <w:color w:val="auto"/>
                <w:sz w:val="24"/>
                <w:highlight w:val="none"/>
              </w:rPr>
              <w:t>（1）</w:t>
            </w:r>
            <w:r>
              <w:rPr>
                <w:rFonts w:hint="eastAsia" w:ascii="Times New Roman" w:hAnsi="Times New Roman" w:cs="Times New Roman"/>
                <w:color w:val="auto"/>
                <w:sz w:val="24"/>
                <w:highlight w:val="none"/>
              </w:rPr>
              <w:t>各标段</w:t>
            </w:r>
            <w:r>
              <w:rPr>
                <w:rFonts w:ascii="Times New Roman" w:hAnsi="Times New Roman" w:cs="Times New Roman"/>
                <w:color w:val="auto"/>
                <w:sz w:val="24"/>
                <w:highlight w:val="none"/>
              </w:rPr>
              <w:t>报价未超过询比文件设定的</w:t>
            </w:r>
            <w:r>
              <w:rPr>
                <w:rFonts w:hint="eastAsia" w:ascii="Times New Roman" w:hAnsi="Times New Roman" w:cs="Times New Roman"/>
                <w:color w:val="auto"/>
                <w:sz w:val="24"/>
                <w:highlight w:val="none"/>
              </w:rPr>
              <w:t>对应</w:t>
            </w:r>
            <w:r>
              <w:rPr>
                <w:rFonts w:ascii="Times New Roman" w:hAnsi="Times New Roman" w:cs="Times New Roman"/>
                <w:color w:val="auto"/>
                <w:sz w:val="24"/>
                <w:highlight w:val="none"/>
              </w:rPr>
              <w:t>最高限价。</w:t>
            </w:r>
          </w:p>
          <w:p w14:paraId="3A07C4BD">
            <w:pPr>
              <w:widowControl/>
              <w:adjustRightInd w:val="0"/>
              <w:snapToGrid w:val="0"/>
              <w:spacing w:line="360" w:lineRule="atLeast"/>
              <w:jc w:val="left"/>
              <w:rPr>
                <w:rFonts w:ascii="Times New Roman" w:hAnsi="Times New Roman"/>
                <w:color w:val="auto"/>
                <w:sz w:val="24"/>
                <w:highlight w:val="none"/>
              </w:rPr>
            </w:pPr>
            <w:r>
              <w:rPr>
                <w:rFonts w:hint="eastAsia" w:ascii="Times New Roman" w:hAnsi="Times New Roman" w:cs="Times New Roman"/>
                <w:color w:val="auto"/>
                <w:sz w:val="24"/>
                <w:highlight w:val="none"/>
              </w:rPr>
              <w:t>（2）已标价的报价清单总报价和报价函的报价一致（四舍五入除外）。</w:t>
            </w:r>
          </w:p>
          <w:p w14:paraId="2C2A4E26">
            <w:pPr>
              <w:widowControl/>
              <w:adjustRightInd w:val="0"/>
              <w:snapToGrid w:val="0"/>
              <w:spacing w:line="360" w:lineRule="atLeast"/>
              <w:jc w:val="left"/>
              <w:rPr>
                <w:rFonts w:ascii="Times New Roman" w:hAnsi="Times New Roman" w:cs="Times New Roman"/>
                <w:color w:val="auto"/>
                <w:sz w:val="24"/>
                <w:highlight w:val="none"/>
              </w:rPr>
            </w:pPr>
            <w:r>
              <w:rPr>
                <w:rFonts w:ascii="Times New Roman" w:hAnsi="Times New Roman" w:cs="Times New Roman"/>
                <w:color w:val="auto"/>
                <w:sz w:val="24"/>
                <w:highlight w:val="none"/>
              </w:rPr>
              <w:t>（</w:t>
            </w:r>
            <w:r>
              <w:rPr>
                <w:rFonts w:hint="eastAsia" w:ascii="Times New Roman" w:hAnsi="Times New Roman" w:cs="Times New Roman"/>
                <w:color w:val="auto"/>
                <w:sz w:val="24"/>
                <w:highlight w:val="none"/>
              </w:rPr>
              <w:t>3</w:t>
            </w:r>
            <w:r>
              <w:rPr>
                <w:rFonts w:ascii="Times New Roman" w:hAnsi="Times New Roman" w:cs="Times New Roman"/>
                <w:color w:val="auto"/>
                <w:sz w:val="24"/>
                <w:highlight w:val="none"/>
              </w:rPr>
              <w:t>）报价的大写数值能确定具体数值，未出现数量级错误、报价金额单位错误。</w:t>
            </w:r>
          </w:p>
          <w:p w14:paraId="5352CC53">
            <w:pPr>
              <w:widowControl/>
              <w:adjustRightInd w:val="0"/>
              <w:snapToGrid w:val="0"/>
              <w:spacing w:line="360" w:lineRule="atLeast"/>
              <w:jc w:val="left"/>
              <w:rPr>
                <w:rFonts w:ascii="Times New Roman" w:hAnsi="Times New Roman" w:cs="Times New Roman"/>
                <w:color w:val="auto"/>
                <w:sz w:val="24"/>
                <w:highlight w:val="none"/>
              </w:rPr>
            </w:pPr>
            <w:r>
              <w:rPr>
                <w:rFonts w:ascii="Times New Roman" w:hAnsi="Times New Roman" w:cs="Times New Roman"/>
                <w:color w:val="auto"/>
                <w:sz w:val="24"/>
                <w:highlight w:val="none"/>
              </w:rPr>
              <w:t>（</w:t>
            </w:r>
            <w:r>
              <w:rPr>
                <w:rFonts w:hint="eastAsia" w:ascii="Times New Roman" w:hAnsi="Times New Roman" w:cs="Times New Roman"/>
                <w:color w:val="auto"/>
                <w:sz w:val="24"/>
                <w:highlight w:val="none"/>
              </w:rPr>
              <w:t>4</w:t>
            </w:r>
            <w:r>
              <w:rPr>
                <w:rFonts w:ascii="Times New Roman" w:hAnsi="Times New Roman" w:cs="Times New Roman"/>
                <w:color w:val="auto"/>
                <w:sz w:val="24"/>
                <w:highlight w:val="none"/>
              </w:rPr>
              <w:t>）同一供应商未递交两个以上不同的报价。</w:t>
            </w:r>
          </w:p>
          <w:p w14:paraId="2CD15238">
            <w:pPr>
              <w:widowControl/>
              <w:adjustRightInd w:val="0"/>
              <w:snapToGrid w:val="0"/>
              <w:spacing w:line="360" w:lineRule="atLeast"/>
              <w:jc w:val="left"/>
              <w:rPr>
                <w:rFonts w:ascii="Times New Roman" w:hAnsi="Times New Roman"/>
                <w:color w:val="auto"/>
                <w:sz w:val="24"/>
                <w:highlight w:val="none"/>
              </w:rPr>
            </w:pPr>
            <w:r>
              <w:rPr>
                <w:rFonts w:ascii="Times New Roman" w:hAnsi="Times New Roman" w:cs="Times New Roman"/>
                <w:color w:val="auto"/>
                <w:sz w:val="24"/>
                <w:highlight w:val="none"/>
              </w:rPr>
              <w:t>（</w:t>
            </w:r>
            <w:r>
              <w:rPr>
                <w:rFonts w:hint="eastAsia" w:ascii="Times New Roman" w:hAnsi="Times New Roman" w:cs="Times New Roman"/>
                <w:color w:val="auto"/>
                <w:sz w:val="24"/>
                <w:highlight w:val="none"/>
              </w:rPr>
              <w:t>5</w:t>
            </w:r>
            <w:r>
              <w:rPr>
                <w:rFonts w:ascii="Times New Roman" w:hAnsi="Times New Roman" w:cs="Times New Roman"/>
                <w:color w:val="auto"/>
                <w:sz w:val="24"/>
                <w:highlight w:val="none"/>
              </w:rPr>
              <w:t>）供应商</w:t>
            </w:r>
            <w:r>
              <w:rPr>
                <w:rFonts w:hint="eastAsia" w:ascii="Times New Roman" w:hAnsi="Times New Roman" w:cs="Times New Roman"/>
                <w:color w:val="auto"/>
                <w:sz w:val="24"/>
                <w:highlight w:val="none"/>
              </w:rPr>
              <w:t>按</w:t>
            </w:r>
            <w:r>
              <w:rPr>
                <w:rFonts w:ascii="Times New Roman" w:hAnsi="Times New Roman" w:cs="Times New Roman"/>
                <w:color w:val="auto"/>
                <w:sz w:val="24"/>
                <w:highlight w:val="none"/>
              </w:rPr>
              <w:t>采购人提供的书面</w:t>
            </w:r>
            <w:r>
              <w:rPr>
                <w:rFonts w:hint="eastAsia" w:ascii="Times New Roman" w:hAnsi="Times New Roman" w:cs="Times New Roman"/>
                <w:color w:val="auto"/>
                <w:sz w:val="24"/>
                <w:highlight w:val="none"/>
              </w:rPr>
              <w:t>报价清单填写了报价，且未修改报价清单说明、数量等实质性内容</w:t>
            </w:r>
            <w:r>
              <w:rPr>
                <w:rFonts w:ascii="Times New Roman" w:hAnsi="Times New Roman" w:cs="Times New Roman"/>
                <w:color w:val="auto"/>
                <w:sz w:val="24"/>
                <w:highlight w:val="none"/>
              </w:rPr>
              <w:t>。</w:t>
            </w:r>
          </w:p>
          <w:p w14:paraId="07769F82">
            <w:pPr>
              <w:widowControl/>
              <w:adjustRightInd w:val="0"/>
              <w:snapToGrid w:val="0"/>
              <w:spacing w:line="360" w:lineRule="atLeast"/>
              <w:jc w:val="left"/>
              <w:rPr>
                <w:rFonts w:ascii="Times New Roman" w:hAnsi="Times New Roman" w:cs="Times New Roman"/>
                <w:color w:val="auto"/>
                <w:sz w:val="24"/>
                <w:highlight w:val="none"/>
              </w:rPr>
            </w:pPr>
            <w:r>
              <w:rPr>
                <w:rFonts w:ascii="Times New Roman" w:hAnsi="Times New Roman" w:cs="Times New Roman"/>
                <w:color w:val="auto"/>
                <w:sz w:val="24"/>
                <w:highlight w:val="none"/>
              </w:rPr>
              <w:t>（</w:t>
            </w:r>
            <w:r>
              <w:rPr>
                <w:rFonts w:hint="eastAsia" w:ascii="Times New Roman" w:hAnsi="Times New Roman" w:cs="Times New Roman"/>
                <w:color w:val="auto"/>
                <w:sz w:val="24"/>
                <w:highlight w:val="none"/>
              </w:rPr>
              <w:t>6</w:t>
            </w:r>
            <w:r>
              <w:rPr>
                <w:rFonts w:ascii="Times New Roman" w:hAnsi="Times New Roman" w:cs="Times New Roman"/>
                <w:color w:val="auto"/>
                <w:sz w:val="24"/>
                <w:highlight w:val="none"/>
              </w:rPr>
              <w:t>）已标价</w:t>
            </w:r>
            <w:r>
              <w:rPr>
                <w:rFonts w:hint="eastAsia" w:ascii="Times New Roman" w:hAnsi="Times New Roman" w:cs="Times New Roman"/>
                <w:color w:val="auto"/>
                <w:kern w:val="0"/>
                <w:sz w:val="24"/>
                <w:highlight w:val="none"/>
              </w:rPr>
              <w:t>报价清单</w:t>
            </w:r>
            <w:r>
              <w:rPr>
                <w:rFonts w:ascii="Times New Roman" w:hAnsi="Times New Roman" w:cs="Times New Roman"/>
                <w:color w:val="auto"/>
                <w:kern w:val="0"/>
                <w:sz w:val="24"/>
                <w:highlight w:val="none"/>
              </w:rPr>
              <w:t>中未更改询比文件确定的暂列金额。</w:t>
            </w:r>
          </w:p>
        </w:tc>
      </w:tr>
      <w:tr w14:paraId="37DE9C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69" w:type="dxa"/>
            <w:vMerge w:val="continue"/>
            <w:vAlign w:val="center"/>
          </w:tcPr>
          <w:p w14:paraId="603B0066">
            <w:pPr>
              <w:widowControl/>
              <w:adjustRightInd w:val="0"/>
              <w:snapToGrid w:val="0"/>
              <w:spacing w:line="360" w:lineRule="atLeast"/>
              <w:jc w:val="center"/>
              <w:rPr>
                <w:rFonts w:ascii="Times New Roman" w:hAnsi="Times New Roman" w:cs="Times New Roman"/>
                <w:color w:val="auto"/>
                <w:kern w:val="0"/>
                <w:sz w:val="24"/>
                <w:highlight w:val="none"/>
              </w:rPr>
            </w:pPr>
          </w:p>
        </w:tc>
        <w:tc>
          <w:tcPr>
            <w:tcW w:w="1093" w:type="dxa"/>
            <w:vMerge w:val="continue"/>
            <w:vAlign w:val="center"/>
          </w:tcPr>
          <w:p w14:paraId="19183571">
            <w:pPr>
              <w:widowControl/>
              <w:adjustRightInd w:val="0"/>
              <w:snapToGrid w:val="0"/>
              <w:spacing w:line="360" w:lineRule="atLeast"/>
              <w:jc w:val="center"/>
              <w:rPr>
                <w:rFonts w:ascii="Times New Roman" w:hAnsi="Times New Roman" w:cs="Times New Roman"/>
                <w:color w:val="auto"/>
                <w:kern w:val="0"/>
                <w:sz w:val="24"/>
                <w:highlight w:val="none"/>
              </w:rPr>
            </w:pPr>
          </w:p>
        </w:tc>
        <w:tc>
          <w:tcPr>
            <w:tcW w:w="1745" w:type="dxa"/>
            <w:tcMar>
              <w:left w:w="75" w:type="dxa"/>
            </w:tcMar>
            <w:vAlign w:val="center"/>
          </w:tcPr>
          <w:p w14:paraId="63F07784">
            <w:pPr>
              <w:widowControl/>
              <w:adjustRightInd w:val="0"/>
              <w:snapToGrid w:val="0"/>
              <w:spacing w:line="360" w:lineRule="atLeast"/>
              <w:jc w:val="left"/>
              <w:rPr>
                <w:rFonts w:ascii="Times New Roman" w:hAnsi="Times New Roman" w:cs="Times New Roman"/>
                <w:color w:val="auto"/>
                <w:kern w:val="0"/>
                <w:sz w:val="24"/>
                <w:highlight w:val="none"/>
              </w:rPr>
            </w:pPr>
            <w:r>
              <w:rPr>
                <w:rFonts w:ascii="Times New Roman" w:hAnsi="Times New Roman" w:cs="Times New Roman"/>
                <w:color w:val="auto"/>
                <w:kern w:val="0"/>
                <w:sz w:val="24"/>
                <w:highlight w:val="none"/>
              </w:rPr>
              <w:t>其他实质性要求</w:t>
            </w:r>
          </w:p>
        </w:tc>
        <w:tc>
          <w:tcPr>
            <w:tcW w:w="5615" w:type="dxa"/>
            <w:tcMar>
              <w:left w:w="75" w:type="dxa"/>
            </w:tcMar>
            <w:vAlign w:val="center"/>
          </w:tcPr>
          <w:p w14:paraId="48A60B68">
            <w:pPr>
              <w:widowControl/>
              <w:adjustRightInd w:val="0"/>
              <w:snapToGrid w:val="0"/>
              <w:spacing w:line="360" w:lineRule="atLeast"/>
              <w:jc w:val="left"/>
              <w:rPr>
                <w:rFonts w:ascii="Times New Roman" w:hAnsi="Times New Roman" w:cs="Times New Roman"/>
                <w:color w:val="auto"/>
                <w:kern w:val="0"/>
                <w:sz w:val="24"/>
                <w:highlight w:val="none"/>
              </w:rPr>
            </w:pPr>
            <w:r>
              <w:rPr>
                <w:rFonts w:ascii="Times New Roman" w:hAnsi="Times New Roman" w:cs="Times New Roman"/>
                <w:color w:val="auto"/>
                <w:kern w:val="0"/>
                <w:sz w:val="24"/>
                <w:highlight w:val="none"/>
              </w:rPr>
              <w:t>符合询比文件的其他实质性要求和条件</w:t>
            </w:r>
          </w:p>
        </w:tc>
      </w:tr>
    </w:tbl>
    <w:p w14:paraId="74D37989">
      <w:pPr>
        <w:widowControl/>
        <w:spacing w:line="360" w:lineRule="atLeast"/>
        <w:jc w:val="center"/>
        <w:rPr>
          <w:rFonts w:ascii="Times New Roman" w:hAnsi="Times New Roman" w:cs="Times New Roman"/>
          <w:color w:val="auto"/>
          <w:highlight w:val="none"/>
        </w:rPr>
      </w:pPr>
    </w:p>
    <w:tbl>
      <w:tblPr>
        <w:tblStyle w:val="25"/>
        <w:tblW w:w="920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696"/>
        <w:gridCol w:w="1276"/>
        <w:gridCol w:w="6232"/>
      </w:tblGrid>
      <w:tr w14:paraId="39E64D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4" w:hRule="atLeast"/>
        </w:trPr>
        <w:tc>
          <w:tcPr>
            <w:tcW w:w="1696" w:type="dxa"/>
            <w:vAlign w:val="center"/>
          </w:tcPr>
          <w:p w14:paraId="3E8E2A88">
            <w:pPr>
              <w:snapToGrid w:val="0"/>
              <w:jc w:val="center"/>
              <w:rPr>
                <w:rFonts w:ascii="Times New Roman" w:hAnsi="Times New Roman" w:cs="Times New Roman"/>
                <w:b/>
                <w:bCs/>
                <w:color w:val="auto"/>
                <w:kern w:val="0"/>
                <w:sz w:val="24"/>
                <w:highlight w:val="none"/>
              </w:rPr>
            </w:pPr>
            <w:r>
              <w:rPr>
                <w:rFonts w:ascii="Times New Roman" w:hAnsi="Times New Roman" w:cs="Times New Roman"/>
                <w:b/>
                <w:bCs/>
                <w:color w:val="auto"/>
                <w:kern w:val="0"/>
                <w:sz w:val="24"/>
                <w:highlight w:val="none"/>
              </w:rPr>
              <w:t>条款号</w:t>
            </w:r>
          </w:p>
        </w:tc>
        <w:tc>
          <w:tcPr>
            <w:tcW w:w="1276" w:type="dxa"/>
            <w:tcMar>
              <w:left w:w="75" w:type="dxa"/>
            </w:tcMar>
            <w:vAlign w:val="center"/>
          </w:tcPr>
          <w:p w14:paraId="47D0F5EC">
            <w:pPr>
              <w:snapToGrid w:val="0"/>
              <w:jc w:val="center"/>
              <w:rPr>
                <w:rFonts w:ascii="Times New Roman" w:hAnsi="Times New Roman" w:cs="Times New Roman"/>
                <w:b/>
                <w:bCs/>
                <w:color w:val="auto"/>
                <w:kern w:val="0"/>
                <w:sz w:val="24"/>
                <w:highlight w:val="none"/>
              </w:rPr>
            </w:pPr>
            <w:r>
              <w:rPr>
                <w:rFonts w:ascii="Times New Roman" w:hAnsi="Times New Roman" w:cs="Times New Roman"/>
                <w:b/>
                <w:bCs/>
                <w:color w:val="auto"/>
                <w:kern w:val="0"/>
                <w:sz w:val="24"/>
                <w:highlight w:val="none"/>
              </w:rPr>
              <w:t>条款内容</w:t>
            </w:r>
          </w:p>
        </w:tc>
        <w:tc>
          <w:tcPr>
            <w:tcW w:w="6232" w:type="dxa"/>
            <w:vAlign w:val="center"/>
          </w:tcPr>
          <w:p w14:paraId="4589B9F1">
            <w:pPr>
              <w:widowControl/>
              <w:snapToGrid w:val="0"/>
              <w:jc w:val="center"/>
              <w:rPr>
                <w:rFonts w:ascii="Times New Roman" w:hAnsi="Times New Roman" w:cs="Times New Roman"/>
                <w:b/>
                <w:bCs/>
                <w:color w:val="auto"/>
                <w:kern w:val="0"/>
                <w:sz w:val="24"/>
                <w:highlight w:val="none"/>
              </w:rPr>
            </w:pPr>
            <w:r>
              <w:rPr>
                <w:rFonts w:ascii="Times New Roman" w:hAnsi="Times New Roman" w:cs="Times New Roman"/>
                <w:b/>
                <w:bCs/>
                <w:color w:val="auto"/>
                <w:kern w:val="0"/>
                <w:sz w:val="24"/>
                <w:highlight w:val="none"/>
              </w:rPr>
              <w:t>编列内容</w:t>
            </w:r>
          </w:p>
        </w:tc>
      </w:tr>
      <w:tr w14:paraId="07B2D6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4" w:hRule="atLeast"/>
        </w:trPr>
        <w:tc>
          <w:tcPr>
            <w:tcW w:w="1696" w:type="dxa"/>
            <w:vAlign w:val="center"/>
          </w:tcPr>
          <w:p w14:paraId="41ADE5B7">
            <w:pPr>
              <w:snapToGrid w:val="0"/>
              <w:jc w:val="center"/>
              <w:rPr>
                <w:rFonts w:ascii="Times New Roman" w:hAnsi="Times New Roman" w:cs="Times New Roman"/>
                <w:bCs/>
                <w:color w:val="auto"/>
                <w:kern w:val="0"/>
                <w:sz w:val="24"/>
                <w:highlight w:val="none"/>
              </w:rPr>
            </w:pPr>
            <w:r>
              <w:rPr>
                <w:rFonts w:ascii="Times New Roman" w:hAnsi="Times New Roman" w:cs="Times New Roman"/>
                <w:bCs/>
                <w:color w:val="auto"/>
                <w:kern w:val="0"/>
                <w:sz w:val="24"/>
                <w:highlight w:val="none"/>
              </w:rPr>
              <w:t>2.2.1</w:t>
            </w:r>
          </w:p>
        </w:tc>
        <w:tc>
          <w:tcPr>
            <w:tcW w:w="1276" w:type="dxa"/>
            <w:tcMar>
              <w:left w:w="75" w:type="dxa"/>
            </w:tcMar>
            <w:vAlign w:val="center"/>
          </w:tcPr>
          <w:p w14:paraId="50254D96">
            <w:pPr>
              <w:snapToGrid w:val="0"/>
              <w:jc w:val="left"/>
              <w:rPr>
                <w:rFonts w:ascii="Times New Roman" w:hAnsi="Times New Roman" w:cs="Times New Roman"/>
                <w:bCs/>
                <w:color w:val="auto"/>
                <w:kern w:val="0"/>
                <w:sz w:val="24"/>
                <w:highlight w:val="none"/>
              </w:rPr>
            </w:pPr>
            <w:r>
              <w:rPr>
                <w:rFonts w:ascii="Times New Roman" w:hAnsi="Times New Roman" w:cs="Times New Roman"/>
                <w:color w:val="auto"/>
                <w:sz w:val="24"/>
                <w:highlight w:val="none"/>
              </w:rPr>
              <w:t>分值构成（100分）</w:t>
            </w:r>
          </w:p>
        </w:tc>
        <w:tc>
          <w:tcPr>
            <w:tcW w:w="6232" w:type="dxa"/>
            <w:vAlign w:val="center"/>
          </w:tcPr>
          <w:p w14:paraId="6405DA4B">
            <w:pPr>
              <w:spacing w:line="360" w:lineRule="atLeast"/>
              <w:rPr>
                <w:rFonts w:ascii="Times New Roman" w:hAnsi="Times New Roman" w:cs="Times New Roman"/>
                <w:color w:val="auto"/>
                <w:kern w:val="0"/>
                <w:sz w:val="24"/>
                <w:highlight w:val="none"/>
              </w:rPr>
            </w:pPr>
            <w:r>
              <w:rPr>
                <w:rFonts w:hint="eastAsia" w:ascii="Times New Roman" w:hAnsi="Times New Roman" w:cs="Times New Roman"/>
                <w:color w:val="auto"/>
                <w:kern w:val="0"/>
                <w:sz w:val="24"/>
                <w:highlight w:val="none"/>
              </w:rPr>
              <w:t>配备的项目团队实力</w:t>
            </w:r>
            <w:r>
              <w:rPr>
                <w:rFonts w:ascii="Times New Roman" w:hAnsi="Times New Roman" w:cs="Times New Roman"/>
                <w:color w:val="auto"/>
                <w:kern w:val="0"/>
                <w:sz w:val="24"/>
                <w:highlight w:val="none"/>
              </w:rPr>
              <w:t>：</w:t>
            </w:r>
            <w:r>
              <w:rPr>
                <w:rFonts w:hint="eastAsia" w:ascii="Times New Roman" w:hAnsi="Times New Roman" w:cs="Times New Roman"/>
                <w:color w:val="auto"/>
                <w:kern w:val="0"/>
                <w:sz w:val="24"/>
                <w:highlight w:val="none"/>
              </w:rPr>
              <w:t>20</w:t>
            </w:r>
            <w:r>
              <w:rPr>
                <w:rFonts w:ascii="Times New Roman" w:hAnsi="Times New Roman" w:cs="Times New Roman"/>
                <w:color w:val="auto"/>
                <w:kern w:val="0"/>
                <w:sz w:val="24"/>
                <w:highlight w:val="none"/>
              </w:rPr>
              <w:t>分</w:t>
            </w:r>
          </w:p>
          <w:p w14:paraId="0A41331E">
            <w:pPr>
              <w:spacing w:line="360" w:lineRule="atLeast"/>
              <w:rPr>
                <w:rFonts w:ascii="Times New Roman" w:hAnsi="Times New Roman" w:cs="Times New Roman"/>
                <w:color w:val="auto"/>
                <w:kern w:val="0"/>
                <w:sz w:val="24"/>
                <w:highlight w:val="none"/>
              </w:rPr>
            </w:pPr>
            <w:r>
              <w:rPr>
                <w:rFonts w:hint="eastAsia" w:ascii="Times New Roman" w:hAnsi="Times New Roman" w:cs="Times New Roman"/>
                <w:color w:val="auto"/>
                <w:kern w:val="0"/>
                <w:sz w:val="24"/>
                <w:highlight w:val="none"/>
              </w:rPr>
              <w:t>业绩能力</w:t>
            </w:r>
            <w:r>
              <w:rPr>
                <w:rFonts w:ascii="Times New Roman" w:hAnsi="Times New Roman" w:cs="Times New Roman"/>
                <w:color w:val="auto"/>
                <w:kern w:val="0"/>
                <w:sz w:val="24"/>
                <w:highlight w:val="none"/>
              </w:rPr>
              <w:t>：</w:t>
            </w:r>
            <w:r>
              <w:rPr>
                <w:rFonts w:hint="eastAsia" w:ascii="Times New Roman" w:hAnsi="Times New Roman" w:cs="Times New Roman"/>
                <w:color w:val="auto"/>
                <w:kern w:val="0"/>
                <w:sz w:val="24"/>
                <w:highlight w:val="none"/>
              </w:rPr>
              <w:t>20</w:t>
            </w:r>
            <w:r>
              <w:rPr>
                <w:rFonts w:ascii="Times New Roman" w:hAnsi="Times New Roman" w:cs="Times New Roman"/>
                <w:color w:val="auto"/>
                <w:kern w:val="0"/>
                <w:sz w:val="24"/>
                <w:highlight w:val="none"/>
              </w:rPr>
              <w:t>分</w:t>
            </w:r>
          </w:p>
          <w:p w14:paraId="2FE9BF6A">
            <w:pPr>
              <w:spacing w:line="360" w:lineRule="atLeast"/>
              <w:rPr>
                <w:rFonts w:ascii="Times New Roman" w:hAnsi="Times New Roman" w:cs="Times New Roman"/>
                <w:color w:val="auto"/>
                <w:kern w:val="0"/>
                <w:sz w:val="24"/>
                <w:highlight w:val="none"/>
              </w:rPr>
            </w:pPr>
            <w:r>
              <w:rPr>
                <w:rFonts w:hint="eastAsia" w:ascii="Times New Roman" w:hAnsi="Times New Roman" w:cs="Times New Roman"/>
                <w:color w:val="auto"/>
                <w:kern w:val="0"/>
                <w:sz w:val="24"/>
                <w:highlight w:val="none"/>
              </w:rPr>
              <w:t>评价工作方案：40分</w:t>
            </w:r>
          </w:p>
          <w:p w14:paraId="52A0DA59">
            <w:pPr>
              <w:spacing w:line="360" w:lineRule="atLeast"/>
              <w:rPr>
                <w:rFonts w:ascii="Times New Roman" w:hAnsi="Times New Roman" w:cs="Times New Roman"/>
                <w:color w:val="auto"/>
                <w:kern w:val="0"/>
                <w:sz w:val="24"/>
                <w:highlight w:val="none"/>
              </w:rPr>
            </w:pPr>
            <w:r>
              <w:rPr>
                <w:rFonts w:ascii="Times New Roman" w:hAnsi="Times New Roman" w:cs="Times New Roman"/>
                <w:color w:val="auto"/>
                <w:kern w:val="0"/>
                <w:sz w:val="24"/>
                <w:highlight w:val="none"/>
              </w:rPr>
              <w:t>评审价：</w:t>
            </w:r>
            <w:r>
              <w:rPr>
                <w:rFonts w:hint="eastAsia" w:ascii="Times New Roman" w:hAnsi="Times New Roman" w:cs="Times New Roman"/>
                <w:color w:val="auto"/>
                <w:kern w:val="0"/>
                <w:sz w:val="24"/>
                <w:highlight w:val="none"/>
              </w:rPr>
              <w:t>20</w:t>
            </w:r>
            <w:r>
              <w:rPr>
                <w:rFonts w:ascii="Times New Roman" w:hAnsi="Times New Roman" w:cs="Times New Roman"/>
                <w:color w:val="auto"/>
                <w:kern w:val="0"/>
                <w:sz w:val="24"/>
                <w:highlight w:val="none"/>
              </w:rPr>
              <w:t>分</w:t>
            </w:r>
          </w:p>
        </w:tc>
      </w:tr>
      <w:tr w14:paraId="32898E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4" w:hRule="atLeast"/>
        </w:trPr>
        <w:tc>
          <w:tcPr>
            <w:tcW w:w="1696" w:type="dxa"/>
            <w:tcBorders>
              <w:top w:val="single" w:color="auto" w:sz="4" w:space="0"/>
              <w:bottom w:val="single" w:color="auto" w:sz="4" w:space="0"/>
              <w:right w:val="single" w:color="auto" w:sz="4" w:space="0"/>
            </w:tcBorders>
            <w:vAlign w:val="center"/>
          </w:tcPr>
          <w:p w14:paraId="7AD6753F">
            <w:pPr>
              <w:snapToGrid w:val="0"/>
              <w:jc w:val="center"/>
              <w:rPr>
                <w:rFonts w:ascii="Times New Roman" w:hAnsi="Times New Roman" w:cs="Times New Roman"/>
                <w:bCs/>
                <w:color w:val="auto"/>
                <w:kern w:val="0"/>
                <w:sz w:val="24"/>
                <w:highlight w:val="none"/>
              </w:rPr>
            </w:pPr>
            <w:r>
              <w:rPr>
                <w:rFonts w:ascii="Times New Roman" w:hAnsi="Times New Roman" w:cs="Times New Roman"/>
                <w:color w:val="auto"/>
                <w:sz w:val="24"/>
                <w:highlight w:val="none"/>
              </w:rPr>
              <w:t>2.2.2</w:t>
            </w:r>
          </w:p>
        </w:tc>
        <w:tc>
          <w:tcPr>
            <w:tcW w:w="1276" w:type="dxa"/>
            <w:tcBorders>
              <w:top w:val="single" w:color="auto" w:sz="4" w:space="0"/>
              <w:bottom w:val="single" w:color="auto" w:sz="4" w:space="0"/>
              <w:right w:val="single" w:color="auto" w:sz="4" w:space="0"/>
            </w:tcBorders>
            <w:tcMar>
              <w:left w:w="75" w:type="dxa"/>
            </w:tcMar>
            <w:vAlign w:val="center"/>
          </w:tcPr>
          <w:p w14:paraId="5910F733">
            <w:pPr>
              <w:snapToGrid w:val="0"/>
              <w:jc w:val="left"/>
              <w:rPr>
                <w:rFonts w:ascii="Times New Roman" w:hAnsi="Times New Roman" w:cs="Times New Roman"/>
                <w:color w:val="auto"/>
                <w:sz w:val="24"/>
                <w:highlight w:val="none"/>
              </w:rPr>
            </w:pPr>
            <w:r>
              <w:rPr>
                <w:rFonts w:ascii="Times New Roman" w:hAnsi="Times New Roman" w:cs="Times New Roman"/>
                <w:color w:val="auto"/>
                <w:sz w:val="24"/>
                <w:highlight w:val="none"/>
              </w:rPr>
              <w:t>评审基准价计算方法</w:t>
            </w:r>
          </w:p>
        </w:tc>
        <w:tc>
          <w:tcPr>
            <w:tcW w:w="6232" w:type="dxa"/>
            <w:tcBorders>
              <w:top w:val="single" w:color="auto" w:sz="4" w:space="0"/>
              <w:left w:val="single" w:color="auto" w:sz="4" w:space="0"/>
              <w:bottom w:val="single" w:color="auto" w:sz="4" w:space="0"/>
              <w:right w:val="single" w:color="auto" w:sz="4" w:space="0"/>
            </w:tcBorders>
            <w:vAlign w:val="center"/>
          </w:tcPr>
          <w:p w14:paraId="7AF4AA67">
            <w:pPr>
              <w:spacing w:line="360" w:lineRule="atLeast"/>
              <w:rPr>
                <w:rFonts w:ascii="Times New Roman" w:hAnsi="Times New Roman" w:cs="Times New Roman"/>
                <w:color w:val="auto"/>
                <w:sz w:val="24"/>
                <w:highlight w:val="none"/>
              </w:rPr>
            </w:pPr>
            <w:r>
              <w:rPr>
                <w:rFonts w:ascii="Times New Roman" w:hAnsi="Times New Roman" w:cs="Times New Roman"/>
                <w:color w:val="auto"/>
                <w:sz w:val="24"/>
                <w:highlight w:val="none"/>
              </w:rPr>
              <w:t>评审基准价的计算：</w:t>
            </w:r>
          </w:p>
          <w:p w14:paraId="6DB64227">
            <w:pPr>
              <w:spacing w:line="360" w:lineRule="atLeast"/>
              <w:rPr>
                <w:rFonts w:ascii="Times New Roman" w:hAnsi="Times New Roman" w:cs="Times New Roman"/>
                <w:color w:val="auto"/>
                <w:sz w:val="24"/>
                <w:highlight w:val="none"/>
              </w:rPr>
            </w:pPr>
            <w:r>
              <w:rPr>
                <w:rFonts w:ascii="Times New Roman" w:hAnsi="Times New Roman" w:cs="Times New Roman"/>
                <w:color w:val="auto"/>
                <w:sz w:val="24"/>
                <w:highlight w:val="none"/>
              </w:rPr>
              <w:t>（1）评审价的确定：</w:t>
            </w:r>
          </w:p>
          <w:p w14:paraId="1700EB59">
            <w:pPr>
              <w:spacing w:line="360" w:lineRule="atLeast"/>
              <w:rPr>
                <w:rFonts w:ascii="Times New Roman" w:hAnsi="Times New Roman" w:cs="Times New Roman"/>
                <w:color w:val="auto"/>
                <w:sz w:val="24"/>
                <w:highlight w:val="none"/>
              </w:rPr>
            </w:pPr>
            <w:r>
              <w:rPr>
                <w:rFonts w:ascii="Times New Roman" w:hAnsi="Times New Roman" w:cs="Times New Roman"/>
                <w:color w:val="auto"/>
                <w:sz w:val="24"/>
                <w:highlight w:val="none"/>
              </w:rPr>
              <w:t>评审价＝报价函文字报价</w:t>
            </w:r>
            <w:r>
              <w:rPr>
                <w:rFonts w:hint="eastAsia" w:ascii="Times New Roman" w:hAnsi="Times New Roman" w:cs="Times New Roman"/>
                <w:color w:val="auto"/>
                <w:sz w:val="24"/>
                <w:highlight w:val="none"/>
              </w:rPr>
              <w:t>（大小写不一致时以大写为准）</w:t>
            </w:r>
          </w:p>
          <w:p w14:paraId="0BC9ACC7">
            <w:pPr>
              <w:spacing w:line="360" w:lineRule="atLeast"/>
              <w:rPr>
                <w:rFonts w:ascii="Times New Roman" w:hAnsi="Times New Roman" w:cs="Times New Roman"/>
                <w:color w:val="auto"/>
                <w:sz w:val="24"/>
                <w:highlight w:val="none"/>
              </w:rPr>
            </w:pPr>
            <w:r>
              <w:rPr>
                <w:rFonts w:ascii="Times New Roman" w:hAnsi="Times New Roman" w:cs="Times New Roman"/>
                <w:color w:val="auto"/>
                <w:sz w:val="24"/>
                <w:highlight w:val="none"/>
              </w:rPr>
              <w:t>（2）评审价平均值的计算：</w:t>
            </w:r>
          </w:p>
          <w:p w14:paraId="32C27028">
            <w:pPr>
              <w:spacing w:line="360" w:lineRule="atLeast"/>
              <w:rPr>
                <w:rFonts w:ascii="宋体" w:hAnsi="宋体" w:cs="宋体"/>
                <w:color w:val="auto"/>
                <w:sz w:val="24"/>
                <w:highlight w:val="none"/>
              </w:rPr>
            </w:pPr>
            <w:r>
              <w:rPr>
                <w:rFonts w:hint="eastAsia" w:ascii="宋体" w:hAnsi="宋体" w:cs="宋体"/>
                <w:color w:val="auto"/>
                <w:sz w:val="24"/>
                <w:highlight w:val="none"/>
              </w:rPr>
              <w:t>所有通过初步评审的供应商的评审价去掉一个最高值和一个最低值后的算术平均值即为评审价平均值（如果参与评审价平均值计算的有效供应商少于5家时，则计算评审价平均值时不去掉最高值和最低值）；</w:t>
            </w:r>
          </w:p>
          <w:p w14:paraId="455BBAA4">
            <w:pPr>
              <w:spacing w:line="360" w:lineRule="atLeast"/>
              <w:rPr>
                <w:rFonts w:ascii="Times New Roman" w:hAnsi="Times New Roman" w:cs="Times New Roman"/>
                <w:color w:val="auto"/>
                <w:sz w:val="24"/>
                <w:highlight w:val="none"/>
              </w:rPr>
            </w:pPr>
            <w:r>
              <w:rPr>
                <w:rFonts w:ascii="Times New Roman" w:hAnsi="Times New Roman" w:cs="Times New Roman"/>
                <w:color w:val="auto"/>
                <w:sz w:val="24"/>
                <w:highlight w:val="none"/>
              </w:rPr>
              <w:t>（3）评审基准价的确定：</w:t>
            </w:r>
          </w:p>
          <w:p w14:paraId="72276154">
            <w:pPr>
              <w:spacing w:line="360" w:lineRule="atLeast"/>
              <w:rPr>
                <w:rFonts w:ascii="Times New Roman" w:hAnsi="Times New Roman" w:cs="Times New Roman"/>
                <w:color w:val="auto"/>
                <w:sz w:val="24"/>
                <w:highlight w:val="none"/>
              </w:rPr>
            </w:pPr>
            <w:r>
              <w:rPr>
                <w:rFonts w:ascii="Times New Roman" w:hAnsi="Times New Roman" w:cs="Times New Roman"/>
                <w:color w:val="auto"/>
                <w:sz w:val="24"/>
                <w:highlight w:val="none"/>
              </w:rPr>
              <w:t>将评审价平均值直接作为评审基准价。</w:t>
            </w:r>
          </w:p>
        </w:tc>
      </w:tr>
      <w:tr w14:paraId="202F82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4" w:hRule="atLeast"/>
        </w:trPr>
        <w:tc>
          <w:tcPr>
            <w:tcW w:w="1696" w:type="dxa"/>
            <w:tcBorders>
              <w:top w:val="single" w:color="auto" w:sz="4" w:space="0"/>
              <w:right w:val="single" w:color="auto" w:sz="4" w:space="0"/>
            </w:tcBorders>
            <w:vAlign w:val="center"/>
          </w:tcPr>
          <w:p w14:paraId="5AA493F3">
            <w:pPr>
              <w:snapToGrid w:val="0"/>
              <w:jc w:val="center"/>
              <w:rPr>
                <w:rFonts w:ascii="Times New Roman" w:hAnsi="Times New Roman" w:cs="Times New Roman"/>
                <w:color w:val="auto"/>
                <w:sz w:val="24"/>
                <w:highlight w:val="none"/>
              </w:rPr>
            </w:pPr>
            <w:r>
              <w:rPr>
                <w:rFonts w:ascii="Times New Roman" w:hAnsi="Times New Roman" w:cs="Times New Roman"/>
                <w:color w:val="auto"/>
                <w:sz w:val="24"/>
                <w:highlight w:val="none"/>
              </w:rPr>
              <w:t>2.2.3</w:t>
            </w:r>
          </w:p>
        </w:tc>
        <w:tc>
          <w:tcPr>
            <w:tcW w:w="1276" w:type="dxa"/>
            <w:tcBorders>
              <w:top w:val="single" w:color="auto" w:sz="4" w:space="0"/>
              <w:right w:val="single" w:color="auto" w:sz="4" w:space="0"/>
            </w:tcBorders>
            <w:tcMar>
              <w:left w:w="75" w:type="dxa"/>
            </w:tcMar>
            <w:vAlign w:val="center"/>
          </w:tcPr>
          <w:p w14:paraId="4D7D3875">
            <w:pPr>
              <w:snapToGrid w:val="0"/>
              <w:jc w:val="left"/>
              <w:rPr>
                <w:rFonts w:ascii="Times New Roman" w:hAnsi="Times New Roman" w:cs="Times New Roman"/>
                <w:color w:val="auto"/>
                <w:sz w:val="24"/>
                <w:highlight w:val="none"/>
              </w:rPr>
            </w:pPr>
            <w:r>
              <w:rPr>
                <w:rFonts w:ascii="Times New Roman" w:hAnsi="Times New Roman" w:cs="Times New Roman"/>
                <w:color w:val="auto"/>
                <w:sz w:val="24"/>
                <w:highlight w:val="none"/>
              </w:rPr>
              <w:t>评审价的偏差率计算公式</w:t>
            </w:r>
          </w:p>
        </w:tc>
        <w:tc>
          <w:tcPr>
            <w:tcW w:w="6232" w:type="dxa"/>
            <w:tcBorders>
              <w:top w:val="single" w:color="auto" w:sz="4" w:space="0"/>
              <w:left w:val="single" w:color="auto" w:sz="4" w:space="0"/>
              <w:right w:val="single" w:color="auto" w:sz="4" w:space="0"/>
            </w:tcBorders>
            <w:vAlign w:val="center"/>
          </w:tcPr>
          <w:p w14:paraId="306DDCB3">
            <w:pPr>
              <w:spacing w:line="360" w:lineRule="atLeast"/>
              <w:rPr>
                <w:rFonts w:ascii="Times New Roman" w:hAnsi="Times New Roman" w:cs="Times New Roman"/>
                <w:color w:val="auto"/>
                <w:sz w:val="24"/>
                <w:highlight w:val="none"/>
              </w:rPr>
            </w:pPr>
            <w:r>
              <w:rPr>
                <w:rFonts w:ascii="Times New Roman" w:hAnsi="Times New Roman" w:cs="Times New Roman"/>
                <w:color w:val="auto"/>
                <w:sz w:val="24"/>
                <w:highlight w:val="none"/>
              </w:rPr>
              <w:t>偏差率=100% ×（供应商评审价－评审基准价）/评审基准价</w:t>
            </w:r>
          </w:p>
          <w:p w14:paraId="6AC0C1BA">
            <w:pPr>
              <w:spacing w:line="360" w:lineRule="atLeast"/>
              <w:rPr>
                <w:rFonts w:ascii="Times New Roman" w:hAnsi="Times New Roman" w:cs="Times New Roman"/>
                <w:color w:val="auto"/>
                <w:sz w:val="24"/>
                <w:highlight w:val="none"/>
              </w:rPr>
            </w:pPr>
            <w:r>
              <w:rPr>
                <w:rFonts w:ascii="Times New Roman" w:hAnsi="Times New Roman" w:cs="Times New Roman"/>
                <w:color w:val="auto"/>
                <w:sz w:val="24"/>
                <w:highlight w:val="none"/>
              </w:rPr>
              <w:t>偏差率保留</w:t>
            </w:r>
            <w:r>
              <w:rPr>
                <w:rFonts w:hint="eastAsia" w:ascii="Times New Roman" w:hAnsi="Times New Roman" w:cs="Times New Roman"/>
                <w:color w:val="auto"/>
                <w:sz w:val="24"/>
                <w:highlight w:val="none"/>
                <w:u w:val="single"/>
              </w:rPr>
              <w:t>2</w:t>
            </w:r>
            <w:r>
              <w:rPr>
                <w:rFonts w:ascii="Times New Roman" w:hAnsi="Times New Roman" w:cs="Times New Roman"/>
                <w:color w:val="auto"/>
                <w:sz w:val="24"/>
                <w:highlight w:val="none"/>
              </w:rPr>
              <w:t>位小数</w:t>
            </w:r>
          </w:p>
        </w:tc>
      </w:tr>
    </w:tbl>
    <w:p w14:paraId="05C90EF4">
      <w:pPr>
        <w:jc w:val="right"/>
        <w:rPr>
          <w:rFonts w:ascii="Times New Roman" w:hAnsi="Times New Roman" w:cs="Times New Roman"/>
          <w:color w:val="auto"/>
          <w:spacing w:val="4"/>
          <w:szCs w:val="21"/>
          <w:highlight w:val="none"/>
        </w:rPr>
      </w:pPr>
    </w:p>
    <w:p w14:paraId="4BFA7BBD">
      <w:pPr>
        <w:jc w:val="left"/>
        <w:rPr>
          <w:rFonts w:ascii="Times New Roman" w:hAnsi="Times New Roman" w:cs="Times New Roman"/>
          <w:color w:val="auto"/>
          <w:spacing w:val="4"/>
          <w:szCs w:val="21"/>
          <w:highlight w:val="none"/>
        </w:rPr>
      </w:pPr>
      <w:r>
        <w:rPr>
          <w:rFonts w:ascii="Times New Roman" w:hAnsi="Times New Roman" w:cs="Times New Roman"/>
          <w:color w:val="auto"/>
          <w:spacing w:val="4"/>
          <w:szCs w:val="21"/>
          <w:highlight w:val="none"/>
        </w:rPr>
        <w:br w:type="page"/>
      </w:r>
    </w:p>
    <w:p w14:paraId="7CA3BB7E">
      <w:pPr>
        <w:jc w:val="right"/>
        <w:rPr>
          <w:rFonts w:ascii="Times New Roman" w:hAnsi="Times New Roman" w:cs="Times New Roman"/>
          <w:color w:val="auto"/>
          <w:highlight w:val="none"/>
        </w:rPr>
      </w:pPr>
      <w:r>
        <w:rPr>
          <w:rFonts w:ascii="Times New Roman" w:hAnsi="Times New Roman" w:cs="Times New Roman"/>
          <w:color w:val="auto"/>
          <w:spacing w:val="4"/>
          <w:szCs w:val="21"/>
          <w:highlight w:val="none"/>
        </w:rPr>
        <w:t>续上表</w:t>
      </w:r>
    </w:p>
    <w:tbl>
      <w:tblPr>
        <w:tblStyle w:val="25"/>
        <w:tblW w:w="920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0"/>
        <w:gridCol w:w="1771"/>
        <w:gridCol w:w="869"/>
        <w:gridCol w:w="2877"/>
        <w:gridCol w:w="756"/>
        <w:gridCol w:w="1771"/>
      </w:tblGrid>
      <w:tr w14:paraId="182CAF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7433" w:type="dxa"/>
            <w:gridSpan w:val="5"/>
            <w:tcBorders>
              <w:top w:val="single" w:color="auto" w:sz="4" w:space="0"/>
            </w:tcBorders>
          </w:tcPr>
          <w:p w14:paraId="702DDAA7">
            <w:pPr>
              <w:spacing w:line="380" w:lineRule="atLeast"/>
              <w:jc w:val="center"/>
              <w:rPr>
                <w:rFonts w:ascii="Times New Roman" w:hAnsi="Times New Roman" w:cs="Times New Roman"/>
                <w:b/>
                <w:color w:val="auto"/>
                <w:sz w:val="24"/>
                <w:highlight w:val="none"/>
              </w:rPr>
            </w:pPr>
            <w:r>
              <w:rPr>
                <w:rFonts w:ascii="Times New Roman" w:hAnsi="Times New Roman" w:cs="Times New Roman"/>
                <w:b/>
                <w:color w:val="auto"/>
                <w:sz w:val="24"/>
                <w:highlight w:val="none"/>
              </w:rPr>
              <w:t>评分因素与权重分值</w:t>
            </w:r>
          </w:p>
        </w:tc>
        <w:tc>
          <w:tcPr>
            <w:tcW w:w="1771" w:type="dxa"/>
            <w:vMerge w:val="restart"/>
            <w:tcBorders>
              <w:top w:val="single" w:color="auto" w:sz="4" w:space="0"/>
            </w:tcBorders>
            <w:vAlign w:val="center"/>
          </w:tcPr>
          <w:p w14:paraId="125F9DED">
            <w:pPr>
              <w:spacing w:line="380" w:lineRule="atLeast"/>
              <w:jc w:val="center"/>
              <w:rPr>
                <w:rFonts w:ascii="Times New Roman" w:hAnsi="Times New Roman" w:cs="Times New Roman"/>
                <w:b/>
                <w:color w:val="auto"/>
                <w:sz w:val="24"/>
                <w:highlight w:val="none"/>
              </w:rPr>
            </w:pPr>
            <w:r>
              <w:rPr>
                <w:rFonts w:ascii="Times New Roman" w:hAnsi="Times New Roman" w:cs="Times New Roman"/>
                <w:b/>
                <w:color w:val="auto"/>
                <w:sz w:val="24"/>
                <w:highlight w:val="none"/>
              </w:rPr>
              <w:t>评分标准</w:t>
            </w:r>
          </w:p>
        </w:tc>
      </w:tr>
      <w:tr w14:paraId="173095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1160" w:type="dxa"/>
            <w:vAlign w:val="center"/>
          </w:tcPr>
          <w:p w14:paraId="3671D01D">
            <w:pPr>
              <w:spacing w:line="380" w:lineRule="atLeast"/>
              <w:jc w:val="center"/>
              <w:rPr>
                <w:rFonts w:ascii="Times New Roman" w:hAnsi="Times New Roman" w:cs="Times New Roman"/>
                <w:b/>
                <w:color w:val="auto"/>
                <w:sz w:val="24"/>
                <w:highlight w:val="none"/>
              </w:rPr>
            </w:pPr>
            <w:r>
              <w:rPr>
                <w:rFonts w:ascii="Times New Roman" w:hAnsi="Times New Roman" w:cs="Times New Roman"/>
                <w:b/>
                <w:color w:val="auto"/>
                <w:sz w:val="24"/>
                <w:highlight w:val="none"/>
              </w:rPr>
              <w:t>条款号</w:t>
            </w:r>
          </w:p>
        </w:tc>
        <w:tc>
          <w:tcPr>
            <w:tcW w:w="1771" w:type="dxa"/>
            <w:vAlign w:val="center"/>
          </w:tcPr>
          <w:p w14:paraId="5EC38E2D">
            <w:pPr>
              <w:spacing w:line="380" w:lineRule="atLeast"/>
              <w:jc w:val="center"/>
              <w:rPr>
                <w:rFonts w:ascii="Times New Roman" w:hAnsi="Times New Roman" w:cs="Times New Roman"/>
                <w:b/>
                <w:color w:val="auto"/>
                <w:sz w:val="24"/>
                <w:highlight w:val="none"/>
              </w:rPr>
            </w:pPr>
            <w:r>
              <w:rPr>
                <w:rFonts w:ascii="Times New Roman" w:hAnsi="Times New Roman" w:cs="Times New Roman"/>
                <w:b/>
                <w:color w:val="auto"/>
                <w:sz w:val="24"/>
                <w:highlight w:val="none"/>
              </w:rPr>
              <w:t>评分因素</w:t>
            </w:r>
          </w:p>
        </w:tc>
        <w:tc>
          <w:tcPr>
            <w:tcW w:w="869" w:type="dxa"/>
            <w:vAlign w:val="center"/>
          </w:tcPr>
          <w:p w14:paraId="42F036CB">
            <w:pPr>
              <w:spacing w:line="380" w:lineRule="atLeast"/>
              <w:ind w:left="-105" w:leftChars="-50" w:right="-105" w:rightChars="-50"/>
              <w:jc w:val="center"/>
              <w:rPr>
                <w:rFonts w:ascii="Times New Roman" w:hAnsi="Times New Roman" w:cs="Times New Roman"/>
                <w:b/>
                <w:color w:val="auto"/>
                <w:sz w:val="24"/>
                <w:highlight w:val="none"/>
              </w:rPr>
            </w:pPr>
            <w:r>
              <w:rPr>
                <w:rFonts w:ascii="Times New Roman" w:hAnsi="Times New Roman" w:cs="Times New Roman"/>
                <w:b/>
                <w:color w:val="auto"/>
                <w:sz w:val="24"/>
                <w:highlight w:val="none"/>
              </w:rPr>
              <w:t>评分因素权重分值</w:t>
            </w:r>
          </w:p>
        </w:tc>
        <w:tc>
          <w:tcPr>
            <w:tcW w:w="2877" w:type="dxa"/>
            <w:vAlign w:val="center"/>
          </w:tcPr>
          <w:p w14:paraId="48A7593C">
            <w:pPr>
              <w:spacing w:line="380" w:lineRule="atLeast"/>
              <w:jc w:val="center"/>
              <w:rPr>
                <w:rFonts w:ascii="Times New Roman" w:hAnsi="Times New Roman" w:cs="Times New Roman"/>
                <w:b/>
                <w:color w:val="auto"/>
                <w:sz w:val="24"/>
                <w:highlight w:val="none"/>
              </w:rPr>
            </w:pPr>
            <w:r>
              <w:rPr>
                <w:rFonts w:ascii="Times New Roman" w:hAnsi="Times New Roman" w:cs="Times New Roman"/>
                <w:b/>
                <w:color w:val="auto"/>
                <w:sz w:val="24"/>
                <w:highlight w:val="none"/>
              </w:rPr>
              <w:t>各评分因素细分项</w:t>
            </w:r>
          </w:p>
        </w:tc>
        <w:tc>
          <w:tcPr>
            <w:tcW w:w="756" w:type="dxa"/>
            <w:vAlign w:val="center"/>
          </w:tcPr>
          <w:p w14:paraId="6227E8AF">
            <w:pPr>
              <w:spacing w:line="380" w:lineRule="atLeast"/>
              <w:jc w:val="right"/>
              <w:rPr>
                <w:rFonts w:ascii="Times New Roman" w:hAnsi="Times New Roman" w:cs="Times New Roman"/>
                <w:b/>
                <w:color w:val="auto"/>
                <w:sz w:val="24"/>
                <w:highlight w:val="none"/>
              </w:rPr>
            </w:pPr>
            <w:r>
              <w:rPr>
                <w:rFonts w:ascii="Times New Roman" w:hAnsi="Times New Roman" w:cs="Times New Roman"/>
                <w:b/>
                <w:color w:val="auto"/>
                <w:sz w:val="24"/>
                <w:highlight w:val="none"/>
              </w:rPr>
              <w:t>分值</w:t>
            </w:r>
          </w:p>
        </w:tc>
        <w:tc>
          <w:tcPr>
            <w:tcW w:w="1771" w:type="dxa"/>
            <w:vMerge w:val="continue"/>
          </w:tcPr>
          <w:p w14:paraId="3C51F1E4">
            <w:pPr>
              <w:spacing w:line="380" w:lineRule="atLeast"/>
              <w:jc w:val="center"/>
              <w:rPr>
                <w:rFonts w:ascii="Times New Roman" w:hAnsi="Times New Roman" w:cs="Times New Roman"/>
                <w:b/>
                <w:color w:val="auto"/>
                <w:sz w:val="24"/>
                <w:highlight w:val="none"/>
              </w:rPr>
            </w:pPr>
          </w:p>
        </w:tc>
      </w:tr>
      <w:tr w14:paraId="69D9E3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0" w:type="dxa"/>
            <w:vAlign w:val="center"/>
          </w:tcPr>
          <w:p w14:paraId="17A7538E">
            <w:pPr>
              <w:spacing w:line="380" w:lineRule="atLeast"/>
              <w:jc w:val="center"/>
              <w:rPr>
                <w:rFonts w:ascii="Times New Roman" w:hAnsi="Times New Roman" w:cs="Times New Roman"/>
                <w:color w:val="auto"/>
                <w:sz w:val="24"/>
                <w:highlight w:val="none"/>
              </w:rPr>
            </w:pPr>
            <w:r>
              <w:rPr>
                <w:rFonts w:ascii="Times New Roman" w:hAnsi="Times New Roman" w:cs="Times New Roman"/>
                <w:color w:val="auto"/>
                <w:sz w:val="24"/>
                <w:highlight w:val="none"/>
              </w:rPr>
              <w:t>2.2.4</w:t>
            </w:r>
            <w:r>
              <w:rPr>
                <w:rFonts w:hint="eastAsia" w:ascii="Times New Roman" w:hAnsi="Times New Roman" w:cs="Times New Roman"/>
                <w:color w:val="auto"/>
                <w:sz w:val="24"/>
                <w:highlight w:val="none"/>
              </w:rPr>
              <w:t>（1）</w:t>
            </w:r>
          </w:p>
        </w:tc>
        <w:tc>
          <w:tcPr>
            <w:tcW w:w="1771" w:type="dxa"/>
            <w:vAlign w:val="center"/>
          </w:tcPr>
          <w:p w14:paraId="241E12F7">
            <w:pPr>
              <w:spacing w:line="380" w:lineRule="atLeast"/>
              <w:jc w:val="center"/>
              <w:rPr>
                <w:rFonts w:ascii="Times New Roman" w:hAnsi="Times New Roman" w:cs="Times New Roman"/>
                <w:color w:val="auto"/>
                <w:sz w:val="24"/>
                <w:highlight w:val="none"/>
              </w:rPr>
            </w:pPr>
            <w:r>
              <w:rPr>
                <w:rFonts w:hint="eastAsia" w:ascii="Times New Roman" w:hAnsi="Times New Roman" w:cs="Times New Roman"/>
                <w:color w:val="auto"/>
                <w:sz w:val="24"/>
                <w:highlight w:val="none"/>
              </w:rPr>
              <w:t>配备的项目团队实力</w:t>
            </w:r>
          </w:p>
        </w:tc>
        <w:tc>
          <w:tcPr>
            <w:tcW w:w="869" w:type="dxa"/>
            <w:vAlign w:val="center"/>
          </w:tcPr>
          <w:p w14:paraId="3FF6EE3C">
            <w:pPr>
              <w:spacing w:line="380" w:lineRule="atLeast"/>
              <w:jc w:val="right"/>
              <w:rPr>
                <w:rFonts w:ascii="Times New Roman" w:hAnsi="Times New Roman" w:cs="Times New Roman"/>
                <w:color w:val="auto"/>
                <w:sz w:val="24"/>
                <w:highlight w:val="none"/>
                <w:u w:val="single"/>
              </w:rPr>
            </w:pPr>
            <w:r>
              <w:rPr>
                <w:rFonts w:ascii="Times New Roman" w:hAnsi="Times New Roman" w:cs="Times New Roman"/>
                <w:color w:val="auto"/>
                <w:sz w:val="24"/>
                <w:highlight w:val="none"/>
                <w:u w:val="single"/>
              </w:rPr>
              <w:t>2</w:t>
            </w:r>
            <w:r>
              <w:rPr>
                <w:rFonts w:hint="eastAsia" w:ascii="Times New Roman" w:hAnsi="Times New Roman" w:cs="Times New Roman"/>
                <w:color w:val="auto"/>
                <w:sz w:val="24"/>
                <w:highlight w:val="none"/>
                <w:u w:val="single"/>
              </w:rPr>
              <w:t>0分</w:t>
            </w:r>
          </w:p>
        </w:tc>
        <w:tc>
          <w:tcPr>
            <w:tcW w:w="5404" w:type="dxa"/>
            <w:gridSpan w:val="3"/>
            <w:vAlign w:val="center"/>
          </w:tcPr>
          <w:p w14:paraId="557B61EF">
            <w:pPr>
              <w:widowControl/>
              <w:spacing w:line="360" w:lineRule="auto"/>
              <w:jc w:val="left"/>
              <w:rPr>
                <w:rFonts w:ascii="宋体" w:hAnsi="宋体" w:cs="宋体"/>
                <w:color w:val="auto"/>
                <w:kern w:val="0"/>
                <w:sz w:val="24"/>
                <w:highlight w:val="none"/>
              </w:rPr>
            </w:pPr>
            <w:r>
              <w:rPr>
                <w:rFonts w:hint="eastAsia" w:ascii="宋体" w:hAnsi="宋体" w:cs="宋体"/>
                <w:color w:val="auto"/>
                <w:kern w:val="0"/>
                <w:sz w:val="24"/>
                <w:highlight w:val="none"/>
              </w:rPr>
              <w:t>满足询比文件资格审查要求得基本分</w:t>
            </w:r>
            <w:r>
              <w:rPr>
                <w:rFonts w:hint="eastAsia" w:ascii="宋体" w:hAnsi="宋体" w:cs="宋体"/>
                <w:color w:val="auto"/>
                <w:kern w:val="0"/>
                <w:sz w:val="24"/>
                <w:highlight w:val="none"/>
                <w:lang w:val="en-US" w:eastAsia="zh-CN"/>
              </w:rPr>
              <w:t>9</w:t>
            </w:r>
            <w:r>
              <w:rPr>
                <w:rFonts w:hint="eastAsia" w:ascii="宋体" w:hAnsi="宋体" w:cs="宋体"/>
                <w:color w:val="auto"/>
                <w:kern w:val="0"/>
                <w:sz w:val="24"/>
                <w:highlight w:val="none"/>
              </w:rPr>
              <w:t>分；</w:t>
            </w:r>
          </w:p>
          <w:p w14:paraId="123BDCA3">
            <w:pPr>
              <w:widowControl/>
              <w:spacing w:line="360" w:lineRule="auto"/>
              <w:jc w:val="left"/>
              <w:rPr>
                <w:rFonts w:ascii="宋体" w:hAnsi="宋体" w:cs="宋体"/>
                <w:color w:val="auto"/>
                <w:kern w:val="0"/>
                <w:sz w:val="24"/>
                <w:highlight w:val="none"/>
              </w:rPr>
            </w:pPr>
            <w:r>
              <w:rPr>
                <w:rFonts w:hint="eastAsia" w:ascii="宋体" w:hAnsi="宋体" w:cs="宋体"/>
                <w:color w:val="auto"/>
                <w:kern w:val="0"/>
                <w:sz w:val="24"/>
                <w:highlight w:val="none"/>
              </w:rPr>
              <w:t>拟派项目负责人具有</w:t>
            </w:r>
            <w:r>
              <w:rPr>
                <w:rFonts w:hint="eastAsia" w:ascii="Times New Roman" w:hAnsi="Times New Roman" w:cs="Times New Roman"/>
                <w:color w:val="auto"/>
                <w:sz w:val="24"/>
                <w:highlight w:val="none"/>
              </w:rPr>
              <w:t>注册</w:t>
            </w:r>
            <w:r>
              <w:rPr>
                <w:rFonts w:ascii="Times New Roman" w:hAnsi="Times New Roman" w:cs="Times New Roman"/>
                <w:color w:val="auto"/>
                <w:sz w:val="24"/>
                <w:highlight w:val="none"/>
              </w:rPr>
              <w:t>会计师、（注册）资产评估师、（</w:t>
            </w:r>
            <w:r>
              <w:rPr>
                <w:rFonts w:hint="eastAsia" w:ascii="Times New Roman" w:hAnsi="Times New Roman" w:cs="Times New Roman"/>
                <w:color w:val="auto"/>
                <w:sz w:val="24"/>
                <w:highlight w:val="none"/>
              </w:rPr>
              <w:t>注册）税务师、正/副高会计师、高级审计师中至少2项资格的加5分；</w:t>
            </w:r>
          </w:p>
          <w:p w14:paraId="03E8BE3C">
            <w:pPr>
              <w:widowControl/>
              <w:spacing w:line="360" w:lineRule="auto"/>
              <w:jc w:val="left"/>
              <w:rPr>
                <w:rFonts w:ascii="Times New Roman" w:hAnsi="Times New Roman" w:cs="Times New Roman"/>
                <w:color w:val="auto"/>
                <w:sz w:val="24"/>
                <w:highlight w:val="none"/>
              </w:rPr>
            </w:pPr>
            <w:r>
              <w:rPr>
                <w:rFonts w:hint="eastAsia" w:ascii="宋体" w:hAnsi="宋体" w:cs="宋体"/>
                <w:color w:val="auto"/>
                <w:kern w:val="0"/>
                <w:sz w:val="24"/>
                <w:highlight w:val="none"/>
              </w:rPr>
              <w:t>项目组每增配1名具有注册会计师、（注册）资产评估师、（注册）税务师、正/副高会计师、高级审计师任意资格的得</w:t>
            </w:r>
            <w:r>
              <w:rPr>
                <w:rFonts w:hint="eastAsia" w:ascii="宋体" w:hAnsi="宋体" w:cs="宋体"/>
                <w:color w:val="auto"/>
                <w:kern w:val="0"/>
                <w:sz w:val="24"/>
                <w:highlight w:val="none"/>
                <w:lang w:val="en-US" w:eastAsia="zh-CN"/>
              </w:rPr>
              <w:t>3</w:t>
            </w:r>
            <w:r>
              <w:rPr>
                <w:rFonts w:hint="eastAsia" w:ascii="宋体" w:hAnsi="宋体" w:cs="宋体"/>
                <w:color w:val="auto"/>
                <w:kern w:val="0"/>
                <w:sz w:val="24"/>
                <w:highlight w:val="none"/>
              </w:rPr>
              <w:t>分，最多加6分。</w:t>
            </w:r>
          </w:p>
        </w:tc>
      </w:tr>
      <w:tr w14:paraId="55FF9E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0" w:type="dxa"/>
            <w:vAlign w:val="center"/>
          </w:tcPr>
          <w:p w14:paraId="61162276">
            <w:pPr>
              <w:spacing w:line="380" w:lineRule="atLeast"/>
              <w:jc w:val="center"/>
              <w:rPr>
                <w:rFonts w:ascii="Times New Roman" w:hAnsi="Times New Roman" w:cs="Times New Roman"/>
                <w:color w:val="auto"/>
                <w:sz w:val="24"/>
                <w:highlight w:val="none"/>
              </w:rPr>
            </w:pPr>
            <w:r>
              <w:rPr>
                <w:rFonts w:ascii="Times New Roman" w:hAnsi="Times New Roman" w:cs="Times New Roman"/>
                <w:color w:val="auto"/>
                <w:sz w:val="24"/>
                <w:highlight w:val="none"/>
              </w:rPr>
              <w:t>2.2.4</w:t>
            </w:r>
            <w:r>
              <w:rPr>
                <w:rFonts w:hint="eastAsia" w:ascii="Times New Roman" w:hAnsi="Times New Roman" w:cs="Times New Roman"/>
                <w:color w:val="auto"/>
                <w:sz w:val="24"/>
                <w:highlight w:val="none"/>
              </w:rPr>
              <w:t>（2）</w:t>
            </w:r>
          </w:p>
        </w:tc>
        <w:tc>
          <w:tcPr>
            <w:tcW w:w="1771" w:type="dxa"/>
            <w:vAlign w:val="center"/>
          </w:tcPr>
          <w:p w14:paraId="53F08D76">
            <w:pPr>
              <w:spacing w:line="380" w:lineRule="atLeast"/>
              <w:jc w:val="center"/>
              <w:rPr>
                <w:rFonts w:ascii="Times New Roman" w:hAnsi="Times New Roman" w:cs="Times New Roman"/>
                <w:color w:val="auto"/>
                <w:sz w:val="24"/>
                <w:highlight w:val="none"/>
              </w:rPr>
            </w:pPr>
            <w:r>
              <w:rPr>
                <w:rFonts w:hint="eastAsia" w:ascii="Times New Roman" w:hAnsi="Times New Roman" w:cs="Times New Roman"/>
                <w:color w:val="auto"/>
                <w:sz w:val="24"/>
                <w:highlight w:val="none"/>
              </w:rPr>
              <w:t>业绩能力</w:t>
            </w:r>
          </w:p>
        </w:tc>
        <w:tc>
          <w:tcPr>
            <w:tcW w:w="869" w:type="dxa"/>
            <w:vAlign w:val="center"/>
          </w:tcPr>
          <w:p w14:paraId="2630B595">
            <w:pPr>
              <w:spacing w:line="380" w:lineRule="atLeast"/>
              <w:jc w:val="right"/>
              <w:rPr>
                <w:rFonts w:ascii="Times New Roman" w:hAnsi="Times New Roman" w:cs="Times New Roman"/>
                <w:color w:val="auto"/>
                <w:sz w:val="24"/>
                <w:highlight w:val="none"/>
                <w:u w:val="single"/>
              </w:rPr>
            </w:pPr>
            <w:r>
              <w:rPr>
                <w:rFonts w:hint="eastAsia" w:ascii="Times New Roman" w:hAnsi="Times New Roman" w:cs="Times New Roman"/>
                <w:color w:val="auto"/>
                <w:sz w:val="24"/>
                <w:highlight w:val="none"/>
                <w:u w:val="single"/>
              </w:rPr>
              <w:t>20分</w:t>
            </w:r>
          </w:p>
        </w:tc>
        <w:tc>
          <w:tcPr>
            <w:tcW w:w="5404" w:type="dxa"/>
            <w:gridSpan w:val="3"/>
            <w:vAlign w:val="center"/>
          </w:tcPr>
          <w:p w14:paraId="57AACB2B">
            <w:pPr>
              <w:widowControl/>
              <w:spacing w:line="360" w:lineRule="auto"/>
              <w:jc w:val="left"/>
              <w:rPr>
                <w:rFonts w:hint="eastAsia" w:ascii="宋体" w:hAnsi="宋体" w:cs="宋体"/>
                <w:color w:val="auto"/>
                <w:kern w:val="0"/>
                <w:sz w:val="24"/>
                <w:highlight w:val="none"/>
              </w:rPr>
            </w:pPr>
            <w:r>
              <w:rPr>
                <w:rFonts w:hint="eastAsia" w:ascii="宋体" w:hAnsi="宋体" w:cs="宋体"/>
                <w:color w:val="auto"/>
                <w:kern w:val="0"/>
                <w:sz w:val="24"/>
                <w:highlight w:val="none"/>
              </w:rPr>
              <w:t>满足询比文件资格审查要求得基本分</w:t>
            </w:r>
            <w:r>
              <w:rPr>
                <w:rFonts w:hint="eastAsia" w:ascii="宋体" w:hAnsi="宋体" w:cs="宋体"/>
                <w:color w:val="auto"/>
                <w:kern w:val="0"/>
                <w:sz w:val="24"/>
                <w:highlight w:val="none"/>
                <w:lang w:val="en-US" w:eastAsia="zh-CN"/>
              </w:rPr>
              <w:t>12</w:t>
            </w:r>
            <w:r>
              <w:rPr>
                <w:rFonts w:hint="eastAsia" w:ascii="宋体" w:hAnsi="宋体" w:cs="宋体"/>
                <w:color w:val="auto"/>
                <w:kern w:val="0"/>
                <w:sz w:val="24"/>
                <w:highlight w:val="none"/>
              </w:rPr>
              <w:t>分；</w:t>
            </w:r>
          </w:p>
          <w:p w14:paraId="50EFF5EB">
            <w:pPr>
              <w:widowControl/>
              <w:spacing w:line="360" w:lineRule="auto"/>
              <w:jc w:val="left"/>
              <w:rPr>
                <w:rFonts w:ascii="宋体" w:hAnsi="宋体" w:cs="宋体"/>
                <w:color w:val="auto"/>
                <w:kern w:val="0"/>
                <w:sz w:val="24"/>
                <w:highlight w:val="none"/>
              </w:rPr>
            </w:pPr>
            <w:r>
              <w:rPr>
                <w:rFonts w:hint="eastAsia" w:ascii="宋体" w:hAnsi="宋体" w:cs="宋体"/>
                <w:color w:val="auto"/>
                <w:kern w:val="0"/>
                <w:sz w:val="24"/>
                <w:highlight w:val="none"/>
              </w:rPr>
              <w:t>20</w:t>
            </w:r>
            <w:r>
              <w:rPr>
                <w:rFonts w:hint="eastAsia" w:ascii="宋体" w:hAnsi="宋体" w:cs="宋体"/>
                <w:color w:val="auto"/>
                <w:kern w:val="0"/>
                <w:sz w:val="24"/>
                <w:highlight w:val="none"/>
                <w:lang w:val="en-US" w:eastAsia="zh-CN"/>
              </w:rPr>
              <w:t>21</w:t>
            </w:r>
            <w:r>
              <w:rPr>
                <w:rFonts w:hint="eastAsia" w:ascii="宋体" w:hAnsi="宋体" w:cs="宋体"/>
                <w:color w:val="auto"/>
                <w:kern w:val="0"/>
                <w:sz w:val="24"/>
                <w:highlight w:val="none"/>
              </w:rPr>
              <w:t>年1月1日至今，投标人</w:t>
            </w:r>
            <w:r>
              <w:rPr>
                <w:rFonts w:hint="eastAsia" w:ascii="宋体" w:hAnsi="宋体" w:cs="宋体"/>
                <w:color w:val="auto"/>
                <w:kern w:val="0"/>
                <w:sz w:val="24"/>
                <w:highlight w:val="none"/>
                <w:lang w:val="en-US" w:eastAsia="zh-CN"/>
              </w:rPr>
              <w:t>增加1项集团外部投资后评价或绩效评价业绩得2分</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lang w:val="en-US" w:eastAsia="zh-CN"/>
              </w:rPr>
              <w:t>增加1项集团内部投资后评价或绩效评价业绩得4分，最多加8分</w:t>
            </w:r>
            <w:r>
              <w:rPr>
                <w:rFonts w:hint="eastAsia" w:ascii="宋体" w:hAnsi="宋体" w:cs="宋体"/>
                <w:color w:val="auto"/>
                <w:kern w:val="0"/>
                <w:sz w:val="24"/>
                <w:highlight w:val="none"/>
              </w:rPr>
              <w:t>。</w:t>
            </w:r>
          </w:p>
        </w:tc>
      </w:tr>
      <w:tr w14:paraId="11EF33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0" w:type="dxa"/>
            <w:vAlign w:val="center"/>
          </w:tcPr>
          <w:p w14:paraId="2DAC0CD4">
            <w:pPr>
              <w:spacing w:line="380" w:lineRule="atLeast"/>
              <w:jc w:val="center"/>
              <w:rPr>
                <w:rFonts w:ascii="Times New Roman" w:hAnsi="Times New Roman" w:cs="Times New Roman"/>
                <w:color w:val="auto"/>
                <w:sz w:val="24"/>
                <w:highlight w:val="none"/>
              </w:rPr>
            </w:pPr>
            <w:r>
              <w:rPr>
                <w:rFonts w:ascii="Times New Roman" w:hAnsi="Times New Roman" w:cs="Times New Roman"/>
                <w:color w:val="auto"/>
                <w:sz w:val="24"/>
                <w:highlight w:val="none"/>
              </w:rPr>
              <w:t>2.2.4</w:t>
            </w:r>
            <w:r>
              <w:rPr>
                <w:rFonts w:hint="eastAsia" w:ascii="Times New Roman" w:hAnsi="Times New Roman" w:cs="Times New Roman"/>
                <w:color w:val="auto"/>
                <w:sz w:val="24"/>
                <w:highlight w:val="none"/>
              </w:rPr>
              <w:t>（3）</w:t>
            </w:r>
          </w:p>
        </w:tc>
        <w:tc>
          <w:tcPr>
            <w:tcW w:w="1771" w:type="dxa"/>
            <w:vAlign w:val="center"/>
          </w:tcPr>
          <w:p w14:paraId="08308438">
            <w:pPr>
              <w:spacing w:line="380" w:lineRule="atLeast"/>
              <w:jc w:val="center"/>
              <w:rPr>
                <w:rFonts w:ascii="Times New Roman" w:hAnsi="Times New Roman" w:cs="Times New Roman"/>
                <w:color w:val="auto"/>
                <w:sz w:val="24"/>
                <w:highlight w:val="none"/>
              </w:rPr>
            </w:pPr>
            <w:r>
              <w:rPr>
                <w:rFonts w:hint="eastAsia" w:ascii="Times New Roman" w:hAnsi="Times New Roman" w:cs="Times New Roman"/>
                <w:color w:val="auto"/>
                <w:sz w:val="24"/>
                <w:highlight w:val="none"/>
              </w:rPr>
              <w:t>工作</w:t>
            </w:r>
          </w:p>
          <w:p w14:paraId="2B3EA68F">
            <w:pPr>
              <w:spacing w:line="380" w:lineRule="atLeast"/>
              <w:jc w:val="center"/>
              <w:rPr>
                <w:rFonts w:ascii="Times New Roman" w:hAnsi="Times New Roman" w:cs="Times New Roman"/>
                <w:color w:val="auto"/>
                <w:sz w:val="24"/>
                <w:highlight w:val="none"/>
              </w:rPr>
            </w:pPr>
            <w:r>
              <w:rPr>
                <w:rFonts w:hint="eastAsia" w:ascii="Times New Roman" w:hAnsi="Times New Roman" w:cs="Times New Roman"/>
                <w:color w:val="auto"/>
                <w:sz w:val="24"/>
                <w:highlight w:val="none"/>
              </w:rPr>
              <w:t>方案</w:t>
            </w:r>
          </w:p>
        </w:tc>
        <w:tc>
          <w:tcPr>
            <w:tcW w:w="869" w:type="dxa"/>
            <w:vAlign w:val="center"/>
          </w:tcPr>
          <w:p w14:paraId="2498F8DE">
            <w:pPr>
              <w:spacing w:line="380" w:lineRule="atLeast"/>
              <w:jc w:val="right"/>
              <w:rPr>
                <w:rFonts w:ascii="Times New Roman" w:hAnsi="Times New Roman" w:cs="Times New Roman"/>
                <w:color w:val="auto"/>
                <w:sz w:val="24"/>
                <w:highlight w:val="none"/>
                <w:u w:val="single"/>
              </w:rPr>
            </w:pPr>
            <w:r>
              <w:rPr>
                <w:rFonts w:ascii="Times New Roman" w:hAnsi="Times New Roman" w:cs="Times New Roman"/>
                <w:color w:val="auto"/>
                <w:sz w:val="24"/>
                <w:highlight w:val="none"/>
                <w:u w:val="single"/>
              </w:rPr>
              <w:t>4</w:t>
            </w:r>
            <w:r>
              <w:rPr>
                <w:rFonts w:hint="eastAsia" w:ascii="Times New Roman" w:hAnsi="Times New Roman" w:cs="Times New Roman"/>
                <w:color w:val="auto"/>
                <w:sz w:val="24"/>
                <w:highlight w:val="none"/>
                <w:u w:val="single"/>
              </w:rPr>
              <w:t>0分</w:t>
            </w:r>
          </w:p>
        </w:tc>
        <w:tc>
          <w:tcPr>
            <w:tcW w:w="5404" w:type="dxa"/>
            <w:gridSpan w:val="3"/>
            <w:vAlign w:val="center"/>
          </w:tcPr>
          <w:p w14:paraId="710C9716">
            <w:pPr>
              <w:widowControl/>
              <w:spacing w:line="360" w:lineRule="auto"/>
              <w:jc w:val="left"/>
              <w:rPr>
                <w:rFonts w:ascii="Times New Roman" w:hAnsi="Times New Roman" w:cs="Times New Roman"/>
                <w:color w:val="auto"/>
                <w:sz w:val="24"/>
                <w:highlight w:val="none"/>
              </w:rPr>
            </w:pPr>
            <w:r>
              <w:rPr>
                <w:rFonts w:hint="eastAsia" w:ascii="Times New Roman" w:hAnsi="Times New Roman" w:cs="Times New Roman"/>
                <w:color w:val="auto"/>
                <w:sz w:val="24"/>
                <w:highlight w:val="none"/>
              </w:rPr>
              <w:t>编制的工作方案。</w:t>
            </w:r>
          </w:p>
          <w:p w14:paraId="60AC3A3C">
            <w:pPr>
              <w:widowControl/>
              <w:spacing w:line="360" w:lineRule="auto"/>
              <w:jc w:val="left"/>
              <w:rPr>
                <w:rFonts w:ascii="Times New Roman" w:hAnsi="Times New Roman" w:cs="Times New Roman"/>
                <w:color w:val="auto"/>
                <w:sz w:val="24"/>
                <w:highlight w:val="none"/>
              </w:rPr>
            </w:pPr>
            <w:r>
              <w:rPr>
                <w:rFonts w:hint="eastAsia" w:ascii="Times New Roman" w:hAnsi="Times New Roman" w:cs="Times New Roman"/>
                <w:color w:val="auto"/>
                <w:sz w:val="24"/>
                <w:highlight w:val="none"/>
              </w:rPr>
              <w:t>对工作方案内容的全面性、时效性，项目组人员分工明确、责任划定，服务的难点、要点进行阐述，评委根据投标文件中提供的工作内容完善，切实可行等方面进行综合评分。</w:t>
            </w:r>
          </w:p>
          <w:p w14:paraId="5D06BD87">
            <w:pPr>
              <w:widowControl/>
              <w:spacing w:line="360" w:lineRule="auto"/>
              <w:jc w:val="left"/>
              <w:rPr>
                <w:rFonts w:ascii="Times New Roman" w:hAnsi="Times New Roman" w:cs="Times New Roman"/>
                <w:color w:val="auto"/>
                <w:sz w:val="24"/>
                <w:highlight w:val="none"/>
              </w:rPr>
            </w:pPr>
            <w:r>
              <w:rPr>
                <w:rFonts w:hint="eastAsia" w:ascii="Times New Roman" w:hAnsi="Times New Roman" w:cs="Times New Roman"/>
                <w:color w:val="auto"/>
                <w:sz w:val="24"/>
                <w:highlight w:val="none"/>
              </w:rPr>
              <w:t>（1）方案全面深入,详尽准确,思路科学合理的，得30（不含</w:t>
            </w:r>
            <w:r>
              <w:rPr>
                <w:rFonts w:ascii="Times New Roman" w:hAnsi="Times New Roman" w:cs="Times New Roman"/>
                <w:color w:val="auto"/>
                <w:sz w:val="24"/>
                <w:highlight w:val="none"/>
              </w:rPr>
              <w:t>30</w:t>
            </w:r>
            <w:r>
              <w:rPr>
                <w:rFonts w:hint="eastAsia" w:ascii="Times New Roman" w:hAnsi="Times New Roman" w:cs="Times New Roman"/>
                <w:color w:val="auto"/>
                <w:sz w:val="24"/>
                <w:highlight w:val="none"/>
              </w:rPr>
              <w:t>）-</w:t>
            </w:r>
            <w:r>
              <w:rPr>
                <w:rFonts w:ascii="Times New Roman" w:hAnsi="Times New Roman" w:cs="Times New Roman"/>
                <w:color w:val="auto"/>
                <w:sz w:val="24"/>
                <w:highlight w:val="none"/>
              </w:rPr>
              <w:t>4</w:t>
            </w:r>
            <w:r>
              <w:rPr>
                <w:rFonts w:hint="eastAsia" w:ascii="Times New Roman" w:hAnsi="Times New Roman" w:cs="Times New Roman"/>
                <w:color w:val="auto"/>
                <w:sz w:val="24"/>
                <w:highlight w:val="none"/>
              </w:rPr>
              <w:t>0分；</w:t>
            </w:r>
          </w:p>
          <w:p w14:paraId="770396E1">
            <w:pPr>
              <w:widowControl/>
              <w:spacing w:line="360" w:lineRule="auto"/>
              <w:jc w:val="left"/>
              <w:rPr>
                <w:rFonts w:ascii="Times New Roman" w:hAnsi="Times New Roman" w:cs="Times New Roman"/>
                <w:color w:val="auto"/>
                <w:sz w:val="24"/>
                <w:highlight w:val="none"/>
              </w:rPr>
            </w:pPr>
            <w:r>
              <w:rPr>
                <w:rFonts w:hint="eastAsia" w:ascii="Times New Roman" w:hAnsi="Times New Roman" w:cs="Times New Roman"/>
                <w:color w:val="auto"/>
                <w:sz w:val="24"/>
                <w:highlight w:val="none"/>
              </w:rPr>
              <w:t>（2）方案较为贴切，符合实际，具有实用性的，得15（不含15）-</w:t>
            </w:r>
            <w:r>
              <w:rPr>
                <w:rFonts w:ascii="Times New Roman" w:hAnsi="Times New Roman" w:cs="Times New Roman"/>
                <w:color w:val="auto"/>
                <w:sz w:val="24"/>
                <w:highlight w:val="none"/>
              </w:rPr>
              <w:t>30</w:t>
            </w:r>
            <w:r>
              <w:rPr>
                <w:rFonts w:hint="eastAsia" w:ascii="Times New Roman" w:hAnsi="Times New Roman" w:cs="Times New Roman"/>
                <w:color w:val="auto"/>
                <w:sz w:val="24"/>
                <w:highlight w:val="none"/>
              </w:rPr>
              <w:t>分；</w:t>
            </w:r>
          </w:p>
          <w:p w14:paraId="7513C50E">
            <w:pPr>
              <w:widowControl/>
              <w:spacing w:line="360" w:lineRule="auto"/>
              <w:jc w:val="left"/>
              <w:rPr>
                <w:rFonts w:ascii="Times New Roman" w:hAnsi="Times New Roman" w:cs="Times New Roman"/>
                <w:color w:val="auto"/>
                <w:sz w:val="24"/>
                <w:highlight w:val="none"/>
              </w:rPr>
            </w:pPr>
            <w:r>
              <w:rPr>
                <w:rFonts w:hint="eastAsia" w:ascii="Times New Roman" w:hAnsi="Times New Roman" w:cs="Times New Roman"/>
                <w:color w:val="auto"/>
                <w:sz w:val="24"/>
                <w:highlight w:val="none"/>
              </w:rPr>
              <w:t>（3）方案基本符合要求的，得0</w:t>
            </w:r>
            <w:r>
              <w:rPr>
                <w:rFonts w:ascii="Times New Roman" w:hAnsi="Times New Roman" w:cs="Times New Roman"/>
                <w:color w:val="auto"/>
                <w:sz w:val="24"/>
                <w:highlight w:val="none"/>
              </w:rPr>
              <w:t>-</w:t>
            </w:r>
            <w:r>
              <w:rPr>
                <w:rFonts w:hint="eastAsia" w:ascii="Times New Roman" w:hAnsi="Times New Roman" w:cs="Times New Roman"/>
                <w:color w:val="auto"/>
                <w:sz w:val="24"/>
                <w:highlight w:val="none"/>
              </w:rPr>
              <w:t>15分。</w:t>
            </w:r>
          </w:p>
        </w:tc>
      </w:tr>
      <w:tr w14:paraId="51C47B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0" w:type="dxa"/>
            <w:vAlign w:val="center"/>
          </w:tcPr>
          <w:p w14:paraId="5BB79AED">
            <w:pPr>
              <w:spacing w:line="380" w:lineRule="atLeast"/>
              <w:jc w:val="center"/>
              <w:rPr>
                <w:rFonts w:ascii="Times New Roman" w:hAnsi="Times New Roman" w:cs="Times New Roman"/>
                <w:color w:val="auto"/>
                <w:sz w:val="24"/>
                <w:highlight w:val="none"/>
              </w:rPr>
            </w:pPr>
            <w:r>
              <w:rPr>
                <w:rFonts w:hint="eastAsia" w:ascii="Times New Roman" w:hAnsi="Times New Roman" w:cs="Times New Roman"/>
                <w:color w:val="auto"/>
                <w:sz w:val="24"/>
                <w:highlight w:val="none"/>
              </w:rPr>
              <w:t>2.2.4（4）</w:t>
            </w:r>
          </w:p>
        </w:tc>
        <w:tc>
          <w:tcPr>
            <w:tcW w:w="1771" w:type="dxa"/>
            <w:vAlign w:val="center"/>
          </w:tcPr>
          <w:p w14:paraId="7F46384D">
            <w:pPr>
              <w:spacing w:line="380" w:lineRule="atLeast"/>
              <w:jc w:val="center"/>
              <w:rPr>
                <w:rFonts w:ascii="Times New Roman" w:hAnsi="Times New Roman" w:cs="Times New Roman"/>
                <w:color w:val="auto"/>
                <w:sz w:val="24"/>
                <w:highlight w:val="none"/>
              </w:rPr>
            </w:pPr>
            <w:r>
              <w:rPr>
                <w:rFonts w:ascii="Times New Roman" w:hAnsi="Times New Roman" w:cs="Times New Roman"/>
                <w:color w:val="auto"/>
                <w:sz w:val="24"/>
                <w:highlight w:val="none"/>
              </w:rPr>
              <w:t>评审价</w:t>
            </w:r>
          </w:p>
        </w:tc>
        <w:tc>
          <w:tcPr>
            <w:tcW w:w="869" w:type="dxa"/>
            <w:vAlign w:val="center"/>
          </w:tcPr>
          <w:p w14:paraId="2E17736E">
            <w:pPr>
              <w:spacing w:line="380" w:lineRule="atLeast"/>
              <w:jc w:val="right"/>
              <w:rPr>
                <w:rFonts w:ascii="Times New Roman" w:hAnsi="Times New Roman" w:cs="Times New Roman"/>
                <w:color w:val="auto"/>
                <w:sz w:val="24"/>
                <w:highlight w:val="none"/>
                <w:u w:val="single"/>
              </w:rPr>
            </w:pPr>
            <w:r>
              <w:rPr>
                <w:rFonts w:hint="eastAsia" w:ascii="Times New Roman" w:hAnsi="Times New Roman" w:cs="Times New Roman"/>
                <w:color w:val="auto"/>
                <w:sz w:val="24"/>
                <w:highlight w:val="none"/>
                <w:u w:val="single"/>
              </w:rPr>
              <w:t>20分</w:t>
            </w:r>
          </w:p>
        </w:tc>
        <w:tc>
          <w:tcPr>
            <w:tcW w:w="5404" w:type="dxa"/>
            <w:gridSpan w:val="3"/>
          </w:tcPr>
          <w:p w14:paraId="085298AF">
            <w:pPr>
              <w:spacing w:line="360" w:lineRule="auto"/>
              <w:rPr>
                <w:rFonts w:ascii="宋体" w:hAnsi="宋体" w:cs="宋体"/>
                <w:color w:val="auto"/>
                <w:sz w:val="24"/>
                <w:highlight w:val="none"/>
              </w:rPr>
            </w:pPr>
            <w:r>
              <w:rPr>
                <w:rFonts w:hint="eastAsia" w:ascii="宋体" w:hAnsi="宋体" w:cs="宋体"/>
                <w:color w:val="auto"/>
                <w:sz w:val="24"/>
                <w:highlight w:val="none"/>
              </w:rPr>
              <w:t>评标价得分计算：</w:t>
            </w:r>
          </w:p>
          <w:p w14:paraId="6A83F5EE">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(1)如果投标人的评标价&gt;评标基准价，则评标价得分＝F-偏差率×100×E；</w:t>
            </w:r>
          </w:p>
          <w:p w14:paraId="0F0F8ACF">
            <w:pPr>
              <w:spacing w:line="360" w:lineRule="auto"/>
              <w:rPr>
                <w:rFonts w:ascii="宋体" w:hAnsi="宋体" w:cs="宋体"/>
                <w:color w:val="auto"/>
                <w:sz w:val="24"/>
                <w:highlight w:val="none"/>
              </w:rPr>
            </w:pPr>
            <w:r>
              <w:rPr>
                <w:rFonts w:hint="eastAsia" w:ascii="宋体" w:hAnsi="宋体" w:cs="宋体"/>
                <w:color w:val="auto"/>
                <w:sz w:val="24"/>
                <w:highlight w:val="none"/>
              </w:rPr>
              <w:t>(2)如果投标人的评标价≤评标基准价，则投标人评审价得满分。</w:t>
            </w:r>
          </w:p>
          <w:p w14:paraId="46BCD453">
            <w:pPr>
              <w:spacing w:line="360" w:lineRule="auto"/>
              <w:ind w:firstLine="120" w:firstLineChars="50"/>
              <w:rPr>
                <w:rFonts w:ascii="宋体" w:hAnsi="宋体" w:cs="宋体"/>
                <w:color w:val="auto"/>
                <w:sz w:val="24"/>
                <w:highlight w:val="none"/>
              </w:rPr>
            </w:pPr>
            <w:r>
              <w:rPr>
                <w:rFonts w:hint="eastAsia" w:ascii="宋体" w:hAnsi="宋体" w:cs="宋体"/>
                <w:color w:val="auto"/>
                <w:sz w:val="24"/>
                <w:highlight w:val="none"/>
              </w:rPr>
              <w:t>其中：F=</w:t>
            </w:r>
            <w:r>
              <w:rPr>
                <w:rFonts w:hint="eastAsia" w:ascii="Times New Roman" w:hAnsi="宋体" w:cs="宋体"/>
                <w:color w:val="auto"/>
                <w:sz w:val="24"/>
                <w:highlight w:val="none"/>
                <w:u w:val="single"/>
              </w:rPr>
              <w:t>20</w:t>
            </w:r>
            <w:r>
              <w:rPr>
                <w:rFonts w:hint="eastAsia" w:ascii="宋体" w:hAnsi="宋体" w:cs="宋体"/>
                <w:color w:val="auto"/>
                <w:sz w:val="24"/>
                <w:highlight w:val="none"/>
              </w:rPr>
              <w:t>，E=</w:t>
            </w:r>
            <w:r>
              <w:rPr>
                <w:rFonts w:hint="eastAsia" w:ascii="宋体" w:hAnsi="宋体" w:cs="宋体"/>
                <w:color w:val="auto"/>
                <w:sz w:val="24"/>
                <w:highlight w:val="none"/>
                <w:u w:val="single"/>
              </w:rPr>
              <w:t>0.1</w:t>
            </w:r>
          </w:p>
          <w:p w14:paraId="3C6F00C7">
            <w:pPr>
              <w:spacing w:line="380" w:lineRule="atLeast"/>
              <w:rPr>
                <w:rFonts w:ascii="Times New Roman" w:hAnsi="Times New Roman" w:cs="Times New Roman"/>
                <w:color w:val="auto"/>
                <w:sz w:val="24"/>
                <w:highlight w:val="none"/>
              </w:rPr>
            </w:pPr>
            <w:r>
              <w:rPr>
                <w:rFonts w:hint="eastAsia" w:ascii="宋体" w:hAnsi="宋体" w:cs="宋体"/>
                <w:color w:val="auto"/>
                <w:sz w:val="24"/>
                <w:highlight w:val="none"/>
              </w:rPr>
              <w:t>其中：F是评审价所占的权重分值，E=0.1，评审价得分最低为0分，本项满分20分。</w:t>
            </w:r>
          </w:p>
        </w:tc>
      </w:tr>
      <w:tr w14:paraId="3C6C68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04" w:type="dxa"/>
            <w:gridSpan w:val="6"/>
            <w:vAlign w:val="center"/>
          </w:tcPr>
          <w:p w14:paraId="255C31AA">
            <w:pPr>
              <w:spacing w:line="360" w:lineRule="atLeast"/>
              <w:rPr>
                <w:color w:val="auto"/>
                <w:sz w:val="24"/>
                <w:highlight w:val="none"/>
              </w:rPr>
            </w:pPr>
            <w:r>
              <w:rPr>
                <w:color w:val="auto"/>
                <w:sz w:val="24"/>
                <w:highlight w:val="none"/>
              </w:rPr>
              <w:t>需要补充的其他内容：</w:t>
            </w:r>
          </w:p>
          <w:p w14:paraId="2EF7D49E">
            <w:pPr>
              <w:spacing w:line="360" w:lineRule="atLeast"/>
              <w:rPr>
                <w:color w:val="auto"/>
                <w:sz w:val="24"/>
                <w:highlight w:val="none"/>
              </w:rPr>
            </w:pPr>
            <w:r>
              <w:rPr>
                <w:color w:val="auto"/>
                <w:sz w:val="24"/>
                <w:highlight w:val="none"/>
              </w:rPr>
              <w:t>1、</w:t>
            </w:r>
            <w:r>
              <w:rPr>
                <w:rFonts w:hint="eastAsia"/>
                <w:color w:val="auto"/>
                <w:sz w:val="24"/>
                <w:highlight w:val="none"/>
              </w:rPr>
              <w:t>加分项</w:t>
            </w:r>
            <w:r>
              <w:rPr>
                <w:color w:val="auto"/>
                <w:sz w:val="24"/>
                <w:highlight w:val="none"/>
              </w:rPr>
              <w:t>中涉及的类似业绩、业绩证明材料同</w:t>
            </w:r>
            <w:r>
              <w:rPr>
                <w:rFonts w:hint="eastAsia"/>
                <w:color w:val="auto"/>
                <w:sz w:val="24"/>
                <w:highlight w:val="none"/>
              </w:rPr>
              <w:t>资格审查</w:t>
            </w:r>
            <w:r>
              <w:rPr>
                <w:color w:val="auto"/>
                <w:sz w:val="24"/>
                <w:highlight w:val="none"/>
              </w:rPr>
              <w:t>描述。</w:t>
            </w:r>
          </w:p>
          <w:p w14:paraId="1A2EC8D7">
            <w:pPr>
              <w:spacing w:line="360" w:lineRule="atLeast"/>
              <w:rPr>
                <w:color w:val="auto"/>
                <w:sz w:val="24"/>
                <w:highlight w:val="none"/>
              </w:rPr>
            </w:pPr>
            <w:r>
              <w:rPr>
                <w:rFonts w:hint="eastAsia"/>
                <w:color w:val="auto"/>
                <w:sz w:val="24"/>
                <w:highlight w:val="none"/>
              </w:rPr>
              <w:t>2</w:t>
            </w:r>
            <w:r>
              <w:rPr>
                <w:color w:val="auto"/>
                <w:sz w:val="24"/>
                <w:highlight w:val="none"/>
              </w:rPr>
              <w:t>、人员</w:t>
            </w:r>
            <w:r>
              <w:rPr>
                <w:rFonts w:hint="eastAsia"/>
                <w:color w:val="auto"/>
                <w:sz w:val="24"/>
                <w:highlight w:val="none"/>
              </w:rPr>
              <w:t>配置</w:t>
            </w:r>
            <w:r>
              <w:rPr>
                <w:color w:val="auto"/>
                <w:sz w:val="24"/>
                <w:highlight w:val="none"/>
              </w:rPr>
              <w:t>应提供其</w:t>
            </w:r>
            <w:r>
              <w:rPr>
                <w:rFonts w:hint="eastAsia"/>
                <w:color w:val="auto"/>
                <w:sz w:val="24"/>
                <w:highlight w:val="none"/>
                <w:lang w:val="en-US" w:eastAsia="zh-CN"/>
              </w:rPr>
              <w:t>相应</w:t>
            </w:r>
            <w:r>
              <w:rPr>
                <w:color w:val="auto"/>
                <w:sz w:val="24"/>
                <w:highlight w:val="none"/>
              </w:rPr>
              <w:t>执业资格证书</w:t>
            </w:r>
            <w:r>
              <w:rPr>
                <w:rFonts w:hint="eastAsia"/>
                <w:color w:val="auto"/>
                <w:sz w:val="24"/>
                <w:highlight w:val="none"/>
              </w:rPr>
              <w:t>和其他加分项证书</w:t>
            </w:r>
            <w:r>
              <w:rPr>
                <w:color w:val="auto"/>
                <w:sz w:val="24"/>
                <w:highlight w:val="none"/>
              </w:rPr>
              <w:t>扫描件或影印件以及社保缴纳记录。</w:t>
            </w:r>
          </w:p>
          <w:p w14:paraId="47465A06">
            <w:pPr>
              <w:spacing w:line="360" w:lineRule="atLeast"/>
              <w:rPr>
                <w:color w:val="auto"/>
                <w:highlight w:val="none"/>
              </w:rPr>
            </w:pPr>
            <w:r>
              <w:rPr>
                <w:rFonts w:hint="eastAsia"/>
                <w:color w:val="auto"/>
                <w:sz w:val="24"/>
                <w:highlight w:val="none"/>
              </w:rPr>
              <w:t>3</w:t>
            </w:r>
            <w:r>
              <w:rPr>
                <w:color w:val="auto"/>
                <w:sz w:val="24"/>
                <w:highlight w:val="none"/>
              </w:rPr>
              <w:t>、上述打分所需的资料，</w:t>
            </w:r>
            <w:r>
              <w:rPr>
                <w:rFonts w:hint="eastAsia"/>
                <w:color w:val="auto"/>
                <w:sz w:val="24"/>
                <w:highlight w:val="none"/>
              </w:rPr>
              <w:t>供应商</w:t>
            </w:r>
            <w:r>
              <w:rPr>
                <w:color w:val="auto"/>
                <w:sz w:val="24"/>
                <w:highlight w:val="none"/>
              </w:rPr>
              <w:t>应按要求保证在有效期内，如不在有效期内，应提供相关部门的合法批件或其他相关书面证明材料证明其有效性。</w:t>
            </w:r>
          </w:p>
        </w:tc>
      </w:tr>
    </w:tbl>
    <w:p w14:paraId="56C3072B">
      <w:pPr>
        <w:widowControl/>
        <w:jc w:val="left"/>
        <w:rPr>
          <w:rFonts w:ascii="Times New Roman" w:hAnsi="Times New Roman" w:cs="Times New Roman"/>
          <w:color w:val="auto"/>
          <w:szCs w:val="21"/>
          <w:highlight w:val="none"/>
        </w:rPr>
      </w:pPr>
    </w:p>
    <w:p w14:paraId="15185108">
      <w:pPr>
        <w:keepNext/>
        <w:keepLines/>
        <w:spacing w:beforeLines="50" w:afterLines="50"/>
        <w:outlineLvl w:val="1"/>
        <w:rPr>
          <w:rFonts w:ascii="Times New Roman" w:hAnsi="Times New Roman" w:eastAsia="黑体" w:cs="Times New Roman"/>
          <w:bCs/>
          <w:color w:val="auto"/>
          <w:sz w:val="24"/>
          <w:szCs w:val="32"/>
          <w:highlight w:val="none"/>
        </w:rPr>
      </w:pPr>
      <w:r>
        <w:rPr>
          <w:rFonts w:ascii="Times New Roman" w:hAnsi="Times New Roman" w:eastAsia="黑体" w:cs="Times New Roman"/>
          <w:color w:val="auto"/>
          <w:sz w:val="29"/>
          <w:szCs w:val="29"/>
          <w:highlight w:val="none"/>
        </w:rPr>
        <w:br w:type="page"/>
      </w:r>
      <w:r>
        <w:rPr>
          <w:rFonts w:ascii="Times New Roman" w:hAnsi="Times New Roman" w:eastAsia="黑体" w:cs="Times New Roman"/>
          <w:bCs/>
          <w:color w:val="auto"/>
          <w:sz w:val="24"/>
          <w:szCs w:val="32"/>
          <w:highlight w:val="none"/>
        </w:rPr>
        <w:t>1. 评审方法</w:t>
      </w:r>
    </w:p>
    <w:p w14:paraId="39D3C186">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本次评审采用综合评分法。</w:t>
      </w:r>
      <w:r>
        <w:rPr>
          <w:rFonts w:hint="eastAsia" w:ascii="Times New Roman" w:hAnsi="Times New Roman" w:cs="Times New Roman"/>
          <w:color w:val="auto"/>
          <w:highlight w:val="none"/>
        </w:rPr>
        <w:t>评审小组</w:t>
      </w:r>
      <w:r>
        <w:rPr>
          <w:rFonts w:ascii="Times New Roman" w:hAnsi="Times New Roman" w:cs="Times New Roman"/>
          <w:color w:val="auto"/>
          <w:highlight w:val="none"/>
        </w:rPr>
        <w:t>对满足询比文件实质性要求的响应文件按照本章第2.2款的规定的评分标准进行打分，按照得分由高到低依次推荐成交候选人。如得分相同的，按照评审办法前附表中的规定确定成交候选人顺序。</w:t>
      </w:r>
    </w:p>
    <w:p w14:paraId="48A41AE0">
      <w:pPr>
        <w:keepNext/>
        <w:keepLines/>
        <w:spacing w:beforeLines="50" w:afterLines="50"/>
        <w:outlineLvl w:val="1"/>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2. 评审标准</w:t>
      </w:r>
    </w:p>
    <w:p w14:paraId="2D19CE0F">
      <w:pPr>
        <w:keepNext/>
        <w:keepLines/>
        <w:spacing w:before="120" w:after="120"/>
        <w:outlineLvl w:val="2"/>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2.1 初步评审标准</w:t>
      </w:r>
    </w:p>
    <w:p w14:paraId="35979A0E">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2.1.1 形式评审标准：见评审办法前附表。</w:t>
      </w:r>
    </w:p>
    <w:p w14:paraId="02DA8812">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2.1.2 资格评审标准：见评审办法前附表。</w:t>
      </w:r>
    </w:p>
    <w:p w14:paraId="11FEBF7F">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2.1.3 响应性评审标准：见评审办法前附表。</w:t>
      </w:r>
    </w:p>
    <w:p w14:paraId="5B173A55">
      <w:pPr>
        <w:keepNext/>
        <w:keepLines/>
        <w:spacing w:before="120" w:after="120"/>
        <w:outlineLvl w:val="2"/>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2.2 分值构成与评审标准</w:t>
      </w:r>
    </w:p>
    <w:p w14:paraId="3D53935F">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2.2.1分值构成：</w:t>
      </w:r>
    </w:p>
    <w:p w14:paraId="13EF8DF4">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见评审办法前附表；</w:t>
      </w:r>
    </w:p>
    <w:p w14:paraId="64B30D85">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2.2.2 评审基准价计算</w:t>
      </w:r>
    </w:p>
    <w:p w14:paraId="283D8247">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评审基准价计算方法：见评审办法前附表。</w:t>
      </w:r>
    </w:p>
    <w:p w14:paraId="74E1B333">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2.2.3 评审价的偏差率计算</w:t>
      </w:r>
    </w:p>
    <w:p w14:paraId="78863AFB">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评审价的偏差率计算公式：见评审办法前附表。</w:t>
      </w:r>
    </w:p>
    <w:p w14:paraId="65F86911">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2.2.4评分标准：</w:t>
      </w:r>
    </w:p>
    <w:p w14:paraId="14CCEB3E">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见评审办法前附表。</w:t>
      </w:r>
    </w:p>
    <w:p w14:paraId="4538F4A8">
      <w:pPr>
        <w:keepNext/>
        <w:keepLines/>
        <w:spacing w:beforeLines="50" w:afterLines="50"/>
        <w:outlineLvl w:val="1"/>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3. 评审程序</w:t>
      </w:r>
    </w:p>
    <w:p w14:paraId="2A89F52D">
      <w:pPr>
        <w:keepNext/>
        <w:keepLines/>
        <w:spacing w:before="120" w:after="120"/>
        <w:outlineLvl w:val="2"/>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3.1 初步评审</w:t>
      </w:r>
    </w:p>
    <w:p w14:paraId="3B251507">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3.1.1</w:t>
      </w:r>
      <w:r>
        <w:rPr>
          <w:rFonts w:hint="eastAsia" w:ascii="Times New Roman" w:hAnsi="Times New Roman" w:cs="Times New Roman"/>
          <w:color w:val="auto"/>
          <w:highlight w:val="none"/>
        </w:rPr>
        <w:t>评审小组</w:t>
      </w:r>
      <w:r>
        <w:rPr>
          <w:rFonts w:ascii="Times New Roman" w:hAnsi="Times New Roman" w:cs="Times New Roman"/>
          <w:color w:val="auto"/>
          <w:highlight w:val="none"/>
        </w:rPr>
        <w:t>依据本章第2.1.1项、第2.1.2项、第2.1.3项规定的标准对响应文件进行评审。有一项不符合评审标准的，</w:t>
      </w:r>
      <w:r>
        <w:rPr>
          <w:rFonts w:hint="eastAsia" w:ascii="Times New Roman" w:hAnsi="Times New Roman" w:cs="Times New Roman"/>
          <w:color w:val="auto"/>
          <w:highlight w:val="none"/>
        </w:rPr>
        <w:t>评审小组</w:t>
      </w:r>
      <w:r>
        <w:rPr>
          <w:rFonts w:ascii="Times New Roman" w:hAnsi="Times New Roman" w:cs="Times New Roman"/>
          <w:color w:val="auto"/>
          <w:highlight w:val="none"/>
        </w:rPr>
        <w:t>应否决其</w:t>
      </w:r>
      <w:r>
        <w:rPr>
          <w:rFonts w:hint="eastAsia" w:ascii="Times New Roman" w:hAnsi="Times New Roman" w:cs="Times New Roman"/>
          <w:color w:val="auto"/>
          <w:highlight w:val="none"/>
        </w:rPr>
        <w:t>响应文件</w:t>
      </w:r>
      <w:r>
        <w:rPr>
          <w:rFonts w:ascii="Times New Roman" w:hAnsi="Times New Roman" w:cs="Times New Roman"/>
          <w:color w:val="auto"/>
          <w:highlight w:val="none"/>
        </w:rPr>
        <w:t>。</w:t>
      </w:r>
    </w:p>
    <w:p w14:paraId="54BC2686">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3.1.</w:t>
      </w:r>
      <w:r>
        <w:rPr>
          <w:rFonts w:hint="eastAsia" w:ascii="Times New Roman" w:hAnsi="Times New Roman" w:cs="Times New Roman"/>
          <w:color w:val="auto"/>
          <w:highlight w:val="none"/>
        </w:rPr>
        <w:t xml:space="preserve">2 </w:t>
      </w:r>
      <w:r>
        <w:rPr>
          <w:rFonts w:ascii="Times New Roman" w:hAnsi="Times New Roman" w:cs="Times New Roman"/>
          <w:color w:val="auto"/>
          <w:highlight w:val="none"/>
        </w:rPr>
        <w:t>响应文件中填报的报价、</w:t>
      </w:r>
      <w:r>
        <w:rPr>
          <w:rFonts w:hint="eastAsia" w:ascii="Times New Roman" w:hAnsi="Times New Roman" w:cs="Times New Roman"/>
          <w:color w:val="auto"/>
          <w:highlight w:val="none"/>
        </w:rPr>
        <w:t>服务期</w:t>
      </w:r>
      <w:r>
        <w:rPr>
          <w:rFonts w:ascii="Times New Roman" w:hAnsi="Times New Roman" w:cs="Times New Roman"/>
          <w:color w:val="auto"/>
          <w:highlight w:val="none"/>
        </w:rPr>
        <w:t>前后不一致时，</w:t>
      </w:r>
      <w:r>
        <w:rPr>
          <w:rFonts w:hint="eastAsia" w:ascii="Times New Roman" w:hAnsi="Times New Roman" w:cs="Times New Roman"/>
          <w:color w:val="auto"/>
          <w:highlight w:val="none"/>
        </w:rPr>
        <w:t>按细微偏差处理，并</w:t>
      </w:r>
      <w:r>
        <w:rPr>
          <w:rFonts w:ascii="Times New Roman" w:hAnsi="Times New Roman" w:cs="Times New Roman"/>
          <w:color w:val="auto"/>
          <w:highlight w:val="none"/>
        </w:rPr>
        <w:t>以报价函填报的为准</w:t>
      </w:r>
      <w:r>
        <w:rPr>
          <w:rFonts w:hint="eastAsia" w:ascii="Times New Roman" w:hAnsi="Times New Roman" w:cs="Times New Roman"/>
          <w:color w:val="auto"/>
          <w:highlight w:val="none"/>
        </w:rPr>
        <w:t>。</w:t>
      </w:r>
    </w:p>
    <w:p w14:paraId="11EDB4D3">
      <w:pPr>
        <w:keepNext/>
        <w:keepLines/>
        <w:spacing w:before="120" w:after="120"/>
        <w:outlineLvl w:val="2"/>
        <w:rPr>
          <w:rFonts w:ascii="Times New Roman" w:hAnsi="Times New Roman" w:cs="Times New Roman"/>
          <w:color w:val="auto"/>
          <w:highlight w:val="none"/>
        </w:rPr>
      </w:pPr>
      <w:r>
        <w:rPr>
          <w:rFonts w:ascii="Times New Roman" w:hAnsi="Times New Roman" w:eastAsia="黑体" w:cs="Times New Roman"/>
          <w:bCs/>
          <w:color w:val="auto"/>
          <w:sz w:val="24"/>
          <w:szCs w:val="32"/>
          <w:highlight w:val="none"/>
        </w:rPr>
        <w:t>3.2 详细评审</w:t>
      </w:r>
    </w:p>
    <w:p w14:paraId="04C660EC">
      <w:pPr>
        <w:spacing w:line="400" w:lineRule="exact"/>
        <w:ind w:firstLine="420" w:firstLineChars="200"/>
        <w:rPr>
          <w:rFonts w:ascii="Times New Roman" w:hAnsi="Times New Roman" w:cs="Times New Roman"/>
          <w:color w:val="auto"/>
          <w:highlight w:val="none"/>
        </w:rPr>
      </w:pPr>
      <w:r>
        <w:rPr>
          <w:rFonts w:ascii="Times New Roman" w:hAnsi="Times New Roman" w:cs="Times New Roman"/>
          <w:color w:val="auto"/>
          <w:highlight w:val="none"/>
        </w:rPr>
        <w:t xml:space="preserve">3.2.1 </w:t>
      </w:r>
      <w:r>
        <w:rPr>
          <w:rFonts w:hint="eastAsia" w:ascii="Times New Roman" w:hAnsi="Times New Roman" w:cs="Times New Roman"/>
          <w:color w:val="auto"/>
          <w:highlight w:val="none"/>
        </w:rPr>
        <w:t>评审小组</w:t>
      </w:r>
      <w:r>
        <w:rPr>
          <w:rFonts w:ascii="Times New Roman" w:hAnsi="Times New Roman" w:cs="Times New Roman"/>
          <w:color w:val="auto"/>
          <w:highlight w:val="none"/>
        </w:rPr>
        <w:t>按本章第2.2款规定的量化因素和分值进行打分，并计算出综合评估得分。</w:t>
      </w:r>
    </w:p>
    <w:p w14:paraId="713B12B6">
      <w:pPr>
        <w:spacing w:line="400" w:lineRule="exact"/>
        <w:ind w:firstLine="420" w:firstLineChars="200"/>
        <w:rPr>
          <w:rFonts w:ascii="Times New Roman" w:hAnsi="Times New Roman" w:cs="Times New Roman"/>
          <w:color w:val="auto"/>
          <w:highlight w:val="none"/>
        </w:rPr>
      </w:pPr>
      <w:r>
        <w:rPr>
          <w:rFonts w:ascii="Times New Roman" w:hAnsi="Times New Roman" w:cs="Times New Roman"/>
          <w:color w:val="auto"/>
          <w:highlight w:val="none"/>
        </w:rPr>
        <w:t>（1）按本章第2.2.4(1)目规定的评审因素和分值对</w:t>
      </w:r>
      <w:r>
        <w:rPr>
          <w:rFonts w:hint="eastAsia" w:ascii="宋体" w:hAnsi="宋体" w:cs="宋体"/>
          <w:color w:val="auto"/>
          <w:szCs w:val="21"/>
          <w:highlight w:val="none"/>
        </w:rPr>
        <w:t>配备的项目团队实力</w:t>
      </w:r>
      <w:r>
        <w:rPr>
          <w:rFonts w:ascii="Times New Roman" w:hAnsi="Times New Roman" w:cs="Times New Roman"/>
          <w:color w:val="auto"/>
          <w:highlight w:val="none"/>
        </w:rPr>
        <w:t>计算出得分</w:t>
      </w:r>
      <w:r>
        <w:rPr>
          <w:rFonts w:hint="eastAsia" w:ascii="Times New Roman" w:hAnsi="Times New Roman" w:cs="Times New Roman"/>
          <w:color w:val="auto"/>
          <w:highlight w:val="none"/>
        </w:rPr>
        <w:t>I</w:t>
      </w:r>
      <w:r>
        <w:rPr>
          <w:rFonts w:ascii="Times New Roman" w:hAnsi="Times New Roman" w:cs="Times New Roman"/>
          <w:color w:val="auto"/>
          <w:highlight w:val="none"/>
        </w:rPr>
        <w:t>；</w:t>
      </w:r>
    </w:p>
    <w:p w14:paraId="491051E7">
      <w:pPr>
        <w:spacing w:line="400" w:lineRule="exact"/>
        <w:ind w:firstLine="420" w:firstLineChars="200"/>
        <w:rPr>
          <w:rFonts w:ascii="Times New Roman" w:hAnsi="Times New Roman" w:cs="Times New Roman"/>
          <w:color w:val="auto"/>
          <w:highlight w:val="none"/>
        </w:rPr>
      </w:pPr>
      <w:r>
        <w:rPr>
          <w:rFonts w:ascii="Times New Roman" w:hAnsi="Times New Roman" w:cs="Times New Roman"/>
          <w:color w:val="auto"/>
          <w:highlight w:val="none"/>
        </w:rPr>
        <w:t>（</w:t>
      </w:r>
      <w:r>
        <w:rPr>
          <w:rFonts w:hint="eastAsia" w:ascii="Times New Roman" w:hAnsi="Times New Roman" w:cs="Times New Roman"/>
          <w:color w:val="auto"/>
          <w:highlight w:val="none"/>
        </w:rPr>
        <w:t>2</w:t>
      </w:r>
      <w:r>
        <w:rPr>
          <w:rFonts w:ascii="Times New Roman" w:hAnsi="Times New Roman" w:cs="Times New Roman"/>
          <w:color w:val="auto"/>
          <w:highlight w:val="none"/>
        </w:rPr>
        <w:t>）按本章第2.2.4(2)目规定的评审因素和分值对</w:t>
      </w:r>
      <w:r>
        <w:rPr>
          <w:rFonts w:hint="eastAsia" w:ascii="Times New Roman" w:hAnsi="Times New Roman" w:cs="Times New Roman"/>
          <w:color w:val="auto"/>
          <w:highlight w:val="none"/>
        </w:rPr>
        <w:t>工作方案</w:t>
      </w:r>
      <w:r>
        <w:rPr>
          <w:rFonts w:ascii="Times New Roman" w:hAnsi="Times New Roman" w:cs="Times New Roman"/>
          <w:color w:val="auto"/>
          <w:highlight w:val="none"/>
        </w:rPr>
        <w:t>计算出得分</w:t>
      </w:r>
      <w:r>
        <w:rPr>
          <w:rFonts w:hint="eastAsia" w:ascii="Times New Roman" w:hAnsi="Times New Roman" w:cs="Times New Roman"/>
          <w:color w:val="auto"/>
          <w:highlight w:val="none"/>
        </w:rPr>
        <w:t>II</w:t>
      </w:r>
      <w:r>
        <w:rPr>
          <w:rFonts w:ascii="Times New Roman" w:hAnsi="Times New Roman" w:cs="Times New Roman"/>
          <w:color w:val="auto"/>
          <w:highlight w:val="none"/>
        </w:rPr>
        <w:t>；</w:t>
      </w:r>
    </w:p>
    <w:p w14:paraId="74538D69">
      <w:pPr>
        <w:spacing w:line="400" w:lineRule="exact"/>
        <w:ind w:firstLine="420" w:firstLineChars="200"/>
        <w:rPr>
          <w:rFonts w:ascii="Times New Roman" w:hAnsi="Times New Roman" w:cs="Times New Roman"/>
          <w:color w:val="auto"/>
          <w:highlight w:val="none"/>
        </w:rPr>
      </w:pPr>
      <w:r>
        <w:rPr>
          <w:rFonts w:ascii="Times New Roman" w:hAnsi="Times New Roman" w:cs="Times New Roman"/>
          <w:color w:val="auto"/>
          <w:highlight w:val="none"/>
        </w:rPr>
        <w:t>3.2.2 评分分值计算保留小数点后两位，小数点后第三位</w:t>
      </w:r>
      <w:r>
        <w:rPr>
          <w:rFonts w:hint="eastAsia" w:ascii="Times New Roman" w:hAnsi="Times New Roman" w:cs="Times New Roman"/>
          <w:color w:val="auto"/>
          <w:highlight w:val="none"/>
        </w:rPr>
        <w:t>“</w:t>
      </w:r>
      <w:r>
        <w:rPr>
          <w:rFonts w:ascii="Times New Roman" w:hAnsi="Times New Roman" w:cs="Times New Roman"/>
          <w:color w:val="auto"/>
          <w:highlight w:val="none"/>
        </w:rPr>
        <w:t>四舍五入</w:t>
      </w:r>
      <w:r>
        <w:rPr>
          <w:rFonts w:hint="eastAsia" w:ascii="Times New Roman" w:hAnsi="Times New Roman" w:cs="Times New Roman"/>
          <w:color w:val="auto"/>
          <w:highlight w:val="none"/>
        </w:rPr>
        <w:t>”</w:t>
      </w:r>
      <w:r>
        <w:rPr>
          <w:rFonts w:ascii="Times New Roman" w:hAnsi="Times New Roman" w:cs="Times New Roman"/>
          <w:color w:val="auto"/>
          <w:highlight w:val="none"/>
        </w:rPr>
        <w:t>。</w:t>
      </w:r>
    </w:p>
    <w:p w14:paraId="66CCBD09">
      <w:pPr>
        <w:spacing w:line="400" w:lineRule="exact"/>
        <w:ind w:firstLine="420" w:firstLineChars="200"/>
        <w:rPr>
          <w:rFonts w:ascii="Times New Roman" w:hAnsi="Times New Roman" w:cs="Times New Roman"/>
          <w:color w:val="auto"/>
          <w:highlight w:val="none"/>
        </w:rPr>
      </w:pPr>
      <w:r>
        <w:rPr>
          <w:rFonts w:ascii="Times New Roman" w:hAnsi="Times New Roman" w:cs="Times New Roman"/>
          <w:color w:val="auto"/>
          <w:highlight w:val="none"/>
        </w:rPr>
        <w:t xml:space="preserve">3.2.3 </w:t>
      </w:r>
      <w:r>
        <w:rPr>
          <w:rFonts w:hint="eastAsia" w:ascii="Times New Roman" w:hAnsi="Times New Roman" w:cs="Times New Roman"/>
          <w:color w:val="auto"/>
          <w:highlight w:val="none"/>
        </w:rPr>
        <w:t>评审小组成员对</w:t>
      </w:r>
      <w:r>
        <w:rPr>
          <w:rFonts w:ascii="Times New Roman" w:hAnsi="Times New Roman" w:cs="Times New Roman"/>
          <w:color w:val="auto"/>
          <w:highlight w:val="none"/>
        </w:rPr>
        <w:t>供应商</w:t>
      </w:r>
      <w:r>
        <w:rPr>
          <w:rFonts w:hint="eastAsia" w:ascii="Times New Roman" w:hAnsi="Times New Roman" w:cs="Times New Roman"/>
          <w:color w:val="auto"/>
          <w:highlight w:val="none"/>
        </w:rPr>
        <w:t>技术评分=I</w:t>
      </w:r>
      <w:r>
        <w:rPr>
          <w:rFonts w:ascii="Times New Roman" w:hAnsi="Times New Roman" w:cs="Times New Roman"/>
          <w:color w:val="auto"/>
          <w:highlight w:val="none"/>
        </w:rPr>
        <w:t>+</w:t>
      </w:r>
      <w:r>
        <w:rPr>
          <w:rFonts w:hint="eastAsia" w:ascii="Times New Roman" w:hAnsi="Times New Roman" w:cs="Times New Roman"/>
          <w:color w:val="auto"/>
          <w:highlight w:val="none"/>
        </w:rPr>
        <w:t>II，供应商最终得分为各评审小组成员评分的算数平均值+报价得分</w:t>
      </w:r>
      <w:r>
        <w:rPr>
          <w:rFonts w:ascii="Times New Roman" w:hAnsi="Times New Roman" w:cs="Times New Roman"/>
          <w:color w:val="auto"/>
          <w:highlight w:val="none"/>
        </w:rPr>
        <w:t>。</w:t>
      </w:r>
    </w:p>
    <w:p w14:paraId="0D5FF927">
      <w:pPr>
        <w:keepNext/>
        <w:keepLines/>
        <w:spacing w:before="120" w:after="120"/>
        <w:outlineLvl w:val="2"/>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 xml:space="preserve">3.3 </w:t>
      </w:r>
      <w:r>
        <w:rPr>
          <w:rFonts w:hint="eastAsia" w:ascii="Times New Roman" w:hAnsi="Times New Roman" w:eastAsia="黑体" w:cs="Times New Roman"/>
          <w:bCs/>
          <w:color w:val="auto"/>
          <w:sz w:val="24"/>
          <w:szCs w:val="32"/>
          <w:highlight w:val="none"/>
        </w:rPr>
        <w:t>否决响应文件</w:t>
      </w:r>
      <w:r>
        <w:rPr>
          <w:rFonts w:ascii="Times New Roman" w:hAnsi="Times New Roman" w:eastAsia="黑体" w:cs="Times New Roman"/>
          <w:bCs/>
          <w:color w:val="auto"/>
          <w:sz w:val="24"/>
          <w:szCs w:val="32"/>
          <w:highlight w:val="none"/>
        </w:rPr>
        <w:t>的其他情形</w:t>
      </w:r>
    </w:p>
    <w:p w14:paraId="220D66F7">
      <w:pPr>
        <w:spacing w:line="440" w:lineRule="exact"/>
        <w:ind w:firstLine="420"/>
        <w:rPr>
          <w:rFonts w:ascii="Times New Roman" w:hAnsi="Times New Roman" w:cs="Times New Roman"/>
          <w:color w:val="auto"/>
          <w:highlight w:val="none"/>
        </w:rPr>
      </w:pPr>
      <w:r>
        <w:rPr>
          <w:rFonts w:hint="eastAsia" w:ascii="Times New Roman" w:hAnsi="Times New Roman" w:cs="Times New Roman"/>
          <w:color w:val="auto"/>
          <w:highlight w:val="none"/>
        </w:rPr>
        <w:t>评审小组</w:t>
      </w:r>
      <w:r>
        <w:rPr>
          <w:rFonts w:ascii="Times New Roman" w:hAnsi="Times New Roman" w:cs="Times New Roman"/>
          <w:color w:val="auto"/>
          <w:highlight w:val="none"/>
        </w:rPr>
        <w:t>应对在评审过程中发现供应商存在串通报价、弄虚作假、行贿等违法行为的，</w:t>
      </w:r>
      <w:r>
        <w:rPr>
          <w:rFonts w:hint="eastAsia" w:ascii="Times New Roman" w:hAnsi="Times New Roman" w:cs="Times New Roman"/>
          <w:color w:val="auto"/>
          <w:highlight w:val="none"/>
        </w:rPr>
        <w:t>评审小组</w:t>
      </w:r>
      <w:r>
        <w:rPr>
          <w:rFonts w:ascii="Times New Roman" w:hAnsi="Times New Roman" w:cs="Times New Roman"/>
          <w:color w:val="auto"/>
          <w:highlight w:val="none"/>
        </w:rPr>
        <w:t>应否决其</w:t>
      </w:r>
      <w:r>
        <w:rPr>
          <w:rFonts w:hint="eastAsia" w:ascii="Times New Roman" w:hAnsi="Times New Roman" w:cs="Times New Roman"/>
          <w:color w:val="auto"/>
          <w:highlight w:val="none"/>
        </w:rPr>
        <w:t>响应文件</w:t>
      </w:r>
      <w:r>
        <w:rPr>
          <w:rFonts w:ascii="Times New Roman" w:hAnsi="Times New Roman" w:cs="Times New Roman"/>
          <w:color w:val="auto"/>
          <w:highlight w:val="none"/>
        </w:rPr>
        <w:t>。</w:t>
      </w:r>
    </w:p>
    <w:p w14:paraId="5E701710">
      <w:pPr>
        <w:keepNext/>
        <w:keepLines/>
        <w:spacing w:before="120" w:after="120"/>
        <w:outlineLvl w:val="2"/>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3.4 响应文件的澄清</w:t>
      </w:r>
    </w:p>
    <w:p w14:paraId="0CC455C5">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3.4.1 在评审过程中，</w:t>
      </w:r>
      <w:r>
        <w:rPr>
          <w:rFonts w:hint="eastAsia" w:ascii="Times New Roman" w:hAnsi="Times New Roman" w:cs="Times New Roman"/>
          <w:color w:val="auto"/>
          <w:highlight w:val="none"/>
        </w:rPr>
        <w:t>评审小组</w:t>
      </w:r>
      <w:r>
        <w:rPr>
          <w:rFonts w:ascii="Times New Roman" w:hAnsi="Times New Roman" w:cs="Times New Roman"/>
          <w:color w:val="auto"/>
          <w:highlight w:val="none"/>
        </w:rPr>
        <w:t>可以书面形式要求供应商对响应文件中含义不明确、对同类问题表述不一致或者有明显文字</w:t>
      </w:r>
      <w:r>
        <w:rPr>
          <w:rFonts w:hint="eastAsia" w:ascii="Times New Roman" w:hAnsi="Times New Roman" w:cs="Times New Roman"/>
          <w:color w:val="auto"/>
          <w:highlight w:val="none"/>
        </w:rPr>
        <w:t>错误</w:t>
      </w:r>
      <w:r>
        <w:rPr>
          <w:rFonts w:ascii="Times New Roman" w:hAnsi="Times New Roman" w:cs="Times New Roman"/>
          <w:color w:val="auto"/>
          <w:highlight w:val="none"/>
        </w:rPr>
        <w:t>的内容做必要的澄清。</w:t>
      </w:r>
      <w:r>
        <w:rPr>
          <w:rFonts w:hint="eastAsia" w:ascii="Times New Roman" w:hAnsi="Times New Roman" w:cs="Times New Roman"/>
          <w:color w:val="auto"/>
          <w:highlight w:val="none"/>
        </w:rPr>
        <w:t>评审小组</w:t>
      </w:r>
      <w:r>
        <w:rPr>
          <w:rFonts w:ascii="Times New Roman" w:hAnsi="Times New Roman" w:cs="Times New Roman"/>
          <w:color w:val="auto"/>
          <w:highlight w:val="none"/>
        </w:rPr>
        <w:t>不接受供应商主动提出的澄清。</w:t>
      </w:r>
    </w:p>
    <w:p w14:paraId="22156266">
      <w:pPr>
        <w:spacing w:line="440" w:lineRule="exact"/>
        <w:ind w:firstLine="420"/>
        <w:rPr>
          <w:rFonts w:ascii="Times New Roman" w:hAnsi="Times New Roman" w:cs="Times New Roman"/>
          <w:strike/>
          <w:color w:val="auto"/>
          <w:highlight w:val="none"/>
        </w:rPr>
      </w:pPr>
      <w:r>
        <w:rPr>
          <w:rFonts w:ascii="Times New Roman" w:hAnsi="Times New Roman" w:cs="Times New Roman"/>
          <w:color w:val="auto"/>
          <w:highlight w:val="none"/>
        </w:rPr>
        <w:t>3.4.2 澄清不得超出响应文件的范围且不得改变响应文件的实质性内容，并构成响应文件的组成部分。</w:t>
      </w:r>
    </w:p>
    <w:p w14:paraId="1094B68D">
      <w:pPr>
        <w:keepNext/>
        <w:keepLines/>
        <w:spacing w:before="120" w:after="120"/>
        <w:outlineLvl w:val="2"/>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3.</w:t>
      </w:r>
      <w:r>
        <w:rPr>
          <w:rFonts w:hint="eastAsia" w:ascii="Times New Roman" w:hAnsi="Times New Roman" w:eastAsia="黑体" w:cs="Times New Roman"/>
          <w:bCs/>
          <w:color w:val="auto"/>
          <w:sz w:val="24"/>
          <w:szCs w:val="32"/>
          <w:highlight w:val="none"/>
        </w:rPr>
        <w:t>5</w:t>
      </w:r>
      <w:r>
        <w:rPr>
          <w:rFonts w:ascii="Times New Roman" w:hAnsi="Times New Roman" w:eastAsia="黑体" w:cs="Times New Roman"/>
          <w:bCs/>
          <w:color w:val="auto"/>
          <w:sz w:val="24"/>
          <w:szCs w:val="32"/>
          <w:highlight w:val="none"/>
        </w:rPr>
        <w:t xml:space="preserve"> 评审结果</w:t>
      </w:r>
    </w:p>
    <w:p w14:paraId="29412BEB">
      <w:pPr>
        <w:spacing w:line="440" w:lineRule="exact"/>
        <w:ind w:firstLine="420"/>
        <w:rPr>
          <w:rFonts w:ascii="Times New Roman" w:hAnsi="Times New Roman" w:cs="Times New Roman"/>
          <w:color w:val="auto"/>
          <w:highlight w:val="none"/>
        </w:rPr>
      </w:pPr>
      <w:r>
        <w:rPr>
          <w:rFonts w:hint="eastAsia" w:ascii="Times New Roman" w:hAnsi="Times New Roman" w:cs="Times New Roman"/>
          <w:color w:val="auto"/>
          <w:highlight w:val="none"/>
        </w:rPr>
        <w:t>评审小组</w:t>
      </w:r>
      <w:r>
        <w:rPr>
          <w:rFonts w:ascii="Times New Roman" w:hAnsi="Times New Roman" w:cs="Times New Roman"/>
          <w:color w:val="auto"/>
          <w:highlight w:val="none"/>
        </w:rPr>
        <w:t>完成评审后，应当向采购人提交评审报告。评审报告应当如实记载以下内容：</w:t>
      </w:r>
    </w:p>
    <w:p w14:paraId="2B051C1A">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（一）采购项目基本情况</w:t>
      </w:r>
    </w:p>
    <w:p w14:paraId="72F44475">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（二）采购过程回顾</w:t>
      </w:r>
    </w:p>
    <w:p w14:paraId="1D1EEE35">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（三）评审小组成员名单</w:t>
      </w:r>
    </w:p>
    <w:p w14:paraId="09756CDA">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（四）询比评审工作</w:t>
      </w:r>
    </w:p>
    <w:p w14:paraId="2820491C">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1、评审办法</w:t>
      </w:r>
    </w:p>
    <w:p w14:paraId="0E1B116B">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2、初步评审情况（资格审查、形式性审查、响应性审查）</w:t>
      </w:r>
    </w:p>
    <w:p w14:paraId="5CE7470E">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3、</w:t>
      </w:r>
      <w:r>
        <w:rPr>
          <w:rFonts w:hint="eastAsia" w:ascii="Times New Roman" w:hAnsi="Times New Roman" w:cs="Times New Roman"/>
          <w:color w:val="auto"/>
          <w:highlight w:val="none"/>
        </w:rPr>
        <w:t>详细评审情况（</w:t>
      </w:r>
      <w:r>
        <w:rPr>
          <w:rFonts w:ascii="Times New Roman" w:hAnsi="Times New Roman" w:cs="Times New Roman"/>
          <w:color w:val="auto"/>
          <w:highlight w:val="none"/>
        </w:rPr>
        <w:t>供应商的</w:t>
      </w:r>
      <w:r>
        <w:rPr>
          <w:rFonts w:hint="eastAsia" w:ascii="Times New Roman" w:hAnsi="Times New Roman" w:cs="Times New Roman"/>
          <w:color w:val="auto"/>
          <w:highlight w:val="none"/>
        </w:rPr>
        <w:t>综合</w:t>
      </w:r>
      <w:r>
        <w:rPr>
          <w:rFonts w:ascii="Times New Roman" w:hAnsi="Times New Roman" w:cs="Times New Roman"/>
          <w:color w:val="auto"/>
          <w:highlight w:val="none"/>
        </w:rPr>
        <w:t>评分情况</w:t>
      </w:r>
      <w:r>
        <w:rPr>
          <w:rFonts w:hint="eastAsia" w:ascii="Times New Roman" w:hAnsi="Times New Roman" w:cs="Times New Roman"/>
          <w:color w:val="auto"/>
          <w:highlight w:val="none"/>
        </w:rPr>
        <w:t>）</w:t>
      </w:r>
    </w:p>
    <w:p w14:paraId="3E7C1A63">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4、否决的供应商名单以及否决理由（如有）</w:t>
      </w:r>
    </w:p>
    <w:p w14:paraId="3C946260">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5、推荐候选供应商排序</w:t>
      </w:r>
    </w:p>
    <w:p w14:paraId="09D3273D">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（五）需要说明的其他事项</w:t>
      </w:r>
    </w:p>
    <w:p w14:paraId="0A95F132">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（六）评审附表</w:t>
      </w:r>
    </w:p>
    <w:p w14:paraId="1037CE75">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1、响应文件开启记录表</w:t>
      </w:r>
    </w:p>
    <w:p w14:paraId="67A5E6D2">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2、评审表格</w:t>
      </w:r>
    </w:p>
    <w:p w14:paraId="2DA10A37">
      <w:pPr>
        <w:pStyle w:val="13"/>
        <w:rPr>
          <w:color w:val="auto"/>
          <w:highlight w:val="none"/>
        </w:rPr>
        <w:sectPr>
          <w:footerReference r:id="rId4" w:type="default"/>
          <w:footnotePr>
            <w:numFmt w:val="decimalEnclosedCircleChinese"/>
            <w:numRestart w:val="eachPage"/>
          </w:footnotePr>
          <w:pgSz w:w="11906" w:h="16838"/>
          <w:pgMar w:top="1417" w:right="1417" w:bottom="1417" w:left="1417" w:header="851" w:footer="992" w:gutter="0"/>
          <w:cols w:space="720" w:num="1"/>
          <w:docGrid w:type="linesAndChars" w:linePitch="312" w:charSpace="0"/>
        </w:sectPr>
      </w:pPr>
    </w:p>
    <w:p w14:paraId="36F7A780">
      <w:pPr>
        <w:pStyle w:val="13"/>
        <w:rPr>
          <w:rFonts w:ascii="Times New Roman" w:hAnsi="Times New Roman"/>
          <w:color w:val="auto"/>
          <w:highlight w:val="none"/>
        </w:rPr>
      </w:pPr>
    </w:p>
    <w:p w14:paraId="741D6C6E">
      <w:pPr>
        <w:widowControl/>
        <w:jc w:val="left"/>
        <w:rPr>
          <w:rFonts w:ascii="Times New Roman" w:hAnsi="Times New Roman" w:cs="Times New Roman"/>
          <w:color w:val="auto"/>
          <w:highlight w:val="none"/>
        </w:rPr>
      </w:pPr>
    </w:p>
    <w:p w14:paraId="5B958BBF">
      <w:pPr>
        <w:rPr>
          <w:rFonts w:ascii="Times New Roman" w:hAnsi="Times New Roman" w:cs="Times New Roman"/>
          <w:color w:val="auto"/>
          <w:highlight w:val="none"/>
        </w:rPr>
      </w:pPr>
    </w:p>
    <w:p w14:paraId="73019AE3">
      <w:pPr>
        <w:pStyle w:val="6"/>
        <w:numPr>
          <w:ilvl w:val="0"/>
          <w:numId w:val="0"/>
        </w:numPr>
        <w:spacing w:before="240" w:after="240"/>
        <w:rPr>
          <w:rFonts w:ascii="Times New Roman" w:hAnsi="Times New Roman" w:eastAsia="宋体" w:cs="Times New Roman"/>
          <w:color w:val="auto"/>
          <w:highlight w:val="none"/>
        </w:rPr>
      </w:pPr>
      <w:bookmarkStart w:id="117" w:name="_Toc27009"/>
    </w:p>
    <w:p w14:paraId="1ECD49A8">
      <w:pPr>
        <w:pStyle w:val="6"/>
        <w:numPr>
          <w:ilvl w:val="0"/>
          <w:numId w:val="0"/>
        </w:numPr>
        <w:spacing w:before="240" w:after="240"/>
        <w:rPr>
          <w:rFonts w:ascii="Times New Roman" w:hAnsi="Times New Roman" w:eastAsia="宋体" w:cs="Times New Roman"/>
          <w:color w:val="auto"/>
          <w:highlight w:val="none"/>
        </w:rPr>
      </w:pPr>
    </w:p>
    <w:p w14:paraId="2E087C20">
      <w:pPr>
        <w:pStyle w:val="6"/>
        <w:numPr>
          <w:ilvl w:val="0"/>
          <w:numId w:val="0"/>
        </w:numPr>
        <w:spacing w:before="240" w:after="240"/>
        <w:rPr>
          <w:rFonts w:ascii="Times New Roman" w:hAnsi="Times New Roman" w:eastAsia="宋体" w:cs="Times New Roman"/>
          <w:color w:val="auto"/>
          <w:highlight w:val="none"/>
        </w:rPr>
      </w:pPr>
    </w:p>
    <w:p w14:paraId="61C37A07">
      <w:pPr>
        <w:pStyle w:val="6"/>
        <w:numPr>
          <w:ilvl w:val="0"/>
          <w:numId w:val="0"/>
        </w:numPr>
        <w:spacing w:before="240" w:after="240"/>
        <w:rPr>
          <w:rFonts w:ascii="Times New Roman" w:hAnsi="Times New Roman" w:eastAsia="宋体" w:cs="Times New Roman"/>
          <w:color w:val="auto"/>
          <w:highlight w:val="none"/>
        </w:rPr>
      </w:pPr>
    </w:p>
    <w:p w14:paraId="05ABBE6E">
      <w:pPr>
        <w:pStyle w:val="6"/>
        <w:numPr>
          <w:ilvl w:val="0"/>
          <w:numId w:val="0"/>
        </w:numPr>
        <w:spacing w:before="240" w:after="240"/>
        <w:rPr>
          <w:rFonts w:ascii="Times New Roman" w:hAnsi="Times New Roman" w:eastAsia="宋体" w:cs="Times New Roman"/>
          <w:color w:val="auto"/>
          <w:highlight w:val="none"/>
        </w:rPr>
      </w:pPr>
      <w:r>
        <w:rPr>
          <w:rFonts w:hint="eastAsia" w:ascii="Times New Roman" w:hAnsi="Times New Roman" w:eastAsia="宋体" w:cs="Times New Roman"/>
          <w:color w:val="auto"/>
          <w:highlight w:val="none"/>
        </w:rPr>
        <w:t xml:space="preserve">第四章 </w:t>
      </w:r>
      <w:r>
        <w:rPr>
          <w:rFonts w:ascii="Times New Roman" w:hAnsi="Times New Roman" w:eastAsia="宋体" w:cs="Times New Roman"/>
          <w:color w:val="auto"/>
          <w:highlight w:val="none"/>
        </w:rPr>
        <w:t>合同内容</w:t>
      </w:r>
      <w:bookmarkEnd w:id="117"/>
    </w:p>
    <w:p w14:paraId="213769EE">
      <w:pPr>
        <w:jc w:val="center"/>
        <w:rPr>
          <w:rFonts w:ascii="Times New Roman" w:hAnsi="Times New Roman" w:cs="Times New Roman"/>
          <w:color w:val="auto"/>
          <w:sz w:val="28"/>
          <w:highlight w:val="none"/>
        </w:rPr>
      </w:pPr>
      <w:bookmarkStart w:id="118" w:name="_Toc447808679"/>
      <w:bookmarkStart w:id="119" w:name="_Toc12005"/>
      <w:bookmarkStart w:id="120" w:name="_Toc16698_WPSOffice_Level2"/>
      <w:r>
        <w:rPr>
          <w:rFonts w:ascii="Times New Roman" w:hAnsi="Times New Roman" w:cs="Times New Roman"/>
          <w:color w:val="auto"/>
          <w:sz w:val="28"/>
          <w:highlight w:val="none"/>
        </w:rPr>
        <w:br w:type="page"/>
      </w:r>
    </w:p>
    <w:bookmarkEnd w:id="118"/>
    <w:bookmarkEnd w:id="119"/>
    <w:bookmarkEnd w:id="120"/>
    <w:p w14:paraId="4EE7717B">
      <w:pPr>
        <w:pStyle w:val="6"/>
        <w:numPr>
          <w:ilvl w:val="0"/>
          <w:numId w:val="0"/>
        </w:numPr>
        <w:spacing w:before="240" w:after="240"/>
        <w:ind w:firstLine="402"/>
        <w:rPr>
          <w:rFonts w:ascii="宋体" w:hAnsi="宋体" w:eastAsia="宋体" w:cs="宋体"/>
          <w:b w:val="0"/>
          <w:color w:val="auto"/>
          <w:sz w:val="24"/>
          <w:szCs w:val="24"/>
          <w:highlight w:val="none"/>
        </w:rPr>
      </w:pPr>
      <w:bookmarkStart w:id="121" w:name="_bookmark259"/>
      <w:bookmarkEnd w:id="121"/>
      <w:bookmarkStart w:id="122" w:name="_Toc13141_WPSOffice_Level1"/>
      <w:bookmarkStart w:id="123" w:name="_Toc16252"/>
      <w:r>
        <w:rPr>
          <w:rFonts w:hint="eastAsia" w:ascii="宋体" w:hAnsi="宋体" w:eastAsia="宋体" w:cs="宋体"/>
          <w:color w:val="auto"/>
          <w:sz w:val="24"/>
          <w:szCs w:val="24"/>
          <w:highlight w:val="none"/>
        </w:rPr>
        <w:t>项目后评价业务约定书</w:t>
      </w:r>
    </w:p>
    <w:p w14:paraId="1A60A3E6">
      <w:pPr>
        <w:snapToGrid w:val="0"/>
        <w:spacing w:line="520" w:lineRule="exact"/>
        <w:rPr>
          <w:rFonts w:ascii="宋体" w:hAnsi="宋体" w:cs="宋体"/>
          <w:color w:val="auto"/>
          <w:sz w:val="24"/>
          <w:highlight w:val="none"/>
        </w:rPr>
      </w:pPr>
      <w:r>
        <w:rPr>
          <w:rFonts w:hint="eastAsia" w:ascii="宋体" w:hAnsi="宋体" w:cs="宋体"/>
          <w:color w:val="auto"/>
          <w:sz w:val="24"/>
          <w:highlight w:val="none"/>
          <w:lang w:val="en-US" w:eastAsia="zh-CN"/>
        </w:rPr>
        <w:t>委托人</w:t>
      </w:r>
      <w:r>
        <w:rPr>
          <w:rFonts w:hint="eastAsia" w:ascii="宋体" w:hAnsi="宋体" w:cs="宋体"/>
          <w:color w:val="auto"/>
          <w:sz w:val="24"/>
          <w:highlight w:val="none"/>
        </w:rPr>
        <w:t>：安徽</w:t>
      </w:r>
      <w:r>
        <w:rPr>
          <w:rFonts w:hint="eastAsia" w:ascii="宋体" w:hAnsi="宋体" w:cs="宋体"/>
          <w:color w:val="auto"/>
          <w:sz w:val="24"/>
          <w:highlight w:val="none"/>
          <w:lang w:val="en-US" w:eastAsia="zh-CN"/>
        </w:rPr>
        <w:t>交控建设工程</w:t>
      </w:r>
      <w:r>
        <w:rPr>
          <w:rFonts w:hint="eastAsia" w:ascii="宋体" w:hAnsi="宋体" w:cs="宋体"/>
          <w:color w:val="auto"/>
          <w:sz w:val="24"/>
          <w:highlight w:val="none"/>
        </w:rPr>
        <w:t>集团有限公司</w:t>
      </w:r>
    </w:p>
    <w:p w14:paraId="118FAFC0">
      <w:pPr>
        <w:snapToGrid w:val="0"/>
        <w:spacing w:line="520" w:lineRule="exact"/>
        <w:rPr>
          <w:rFonts w:ascii="宋体" w:hAnsi="宋体" w:cs="宋体"/>
          <w:color w:val="auto"/>
          <w:sz w:val="24"/>
          <w:highlight w:val="none"/>
        </w:rPr>
      </w:pPr>
      <w:r>
        <w:rPr>
          <w:rFonts w:hint="eastAsia" w:ascii="宋体" w:hAnsi="宋体" w:cs="宋体"/>
          <w:color w:val="auto"/>
          <w:sz w:val="24"/>
          <w:highlight w:val="none"/>
        </w:rPr>
        <w:t>联系人：</w:t>
      </w:r>
    </w:p>
    <w:p w14:paraId="43FDCAA3">
      <w:pPr>
        <w:snapToGrid w:val="0"/>
        <w:spacing w:line="520" w:lineRule="exact"/>
        <w:rPr>
          <w:rFonts w:ascii="宋体" w:hAnsi="宋体" w:cs="宋体"/>
          <w:color w:val="auto"/>
          <w:sz w:val="24"/>
          <w:highlight w:val="none"/>
        </w:rPr>
      </w:pPr>
      <w:r>
        <w:rPr>
          <w:rFonts w:hint="eastAsia" w:ascii="宋体" w:hAnsi="宋体" w:cs="宋体"/>
          <w:color w:val="auto"/>
          <w:sz w:val="24"/>
          <w:highlight w:val="none"/>
        </w:rPr>
        <w:t>联系地址</w:t>
      </w:r>
      <w:r>
        <w:rPr>
          <w:rFonts w:hint="eastAsia" w:ascii="宋体" w:hAnsi="宋体" w:cs="宋体"/>
          <w:color w:val="auto"/>
          <w:sz w:val="24"/>
          <w:highlight w:val="none"/>
          <w:lang w:eastAsia="zh-CN"/>
        </w:rPr>
        <w:t>：</w:t>
      </w:r>
      <w:r>
        <w:rPr>
          <w:rFonts w:hint="eastAsia" w:ascii="宋体" w:hAnsi="宋体" w:cs="宋体"/>
          <w:color w:val="auto"/>
          <w:sz w:val="24"/>
          <w:highlight w:val="none"/>
        </w:rPr>
        <w:t>安徽省合肥市西藏路1666号高速滨湖时代广场C1楼</w:t>
      </w:r>
    </w:p>
    <w:p w14:paraId="36E5B7FB">
      <w:pPr>
        <w:pStyle w:val="2"/>
        <w:snapToGrid w:val="0"/>
        <w:spacing w:line="520" w:lineRule="exact"/>
        <w:ind w:left="0" w:leftChars="0" w:firstLine="0" w:firstLineChars="0"/>
        <w:rPr>
          <w:rFonts w:ascii="宋体" w:hAnsi="宋体" w:cs="宋体"/>
          <w:color w:val="auto"/>
          <w:sz w:val="24"/>
          <w:szCs w:val="24"/>
          <w:highlight w:val="none"/>
        </w:rPr>
      </w:pPr>
      <w:r>
        <w:rPr>
          <w:rFonts w:hint="eastAsia" w:ascii="宋体" w:hAnsi="宋体" w:cs="宋体"/>
          <w:color w:val="auto"/>
          <w:sz w:val="24"/>
          <w:szCs w:val="24"/>
          <w:highlight w:val="none"/>
        </w:rPr>
        <w:t>联系电话：</w:t>
      </w:r>
    </w:p>
    <w:p w14:paraId="755B20FB">
      <w:pPr>
        <w:snapToGrid w:val="0"/>
        <w:spacing w:line="520" w:lineRule="exact"/>
        <w:rPr>
          <w:rFonts w:ascii="宋体" w:hAnsi="宋体" w:cs="宋体"/>
          <w:color w:val="auto"/>
          <w:sz w:val="24"/>
          <w:highlight w:val="none"/>
        </w:rPr>
      </w:pPr>
      <w:r>
        <w:rPr>
          <w:rFonts w:hint="eastAsia" w:ascii="宋体" w:hAnsi="宋体" w:cs="宋体"/>
          <w:color w:val="auto"/>
          <w:sz w:val="24"/>
          <w:highlight w:val="none"/>
          <w:lang w:val="en-US" w:eastAsia="zh-CN"/>
        </w:rPr>
        <w:t>受托人</w:t>
      </w:r>
      <w:r>
        <w:rPr>
          <w:rFonts w:hint="eastAsia" w:ascii="宋体" w:hAnsi="宋体" w:cs="宋体"/>
          <w:color w:val="auto"/>
          <w:sz w:val="24"/>
          <w:highlight w:val="none"/>
        </w:rPr>
        <w:t>： XX</w:t>
      </w:r>
    </w:p>
    <w:p w14:paraId="53B3EC6D">
      <w:pPr>
        <w:snapToGrid w:val="0"/>
        <w:spacing w:line="520" w:lineRule="exact"/>
        <w:rPr>
          <w:rFonts w:ascii="宋体" w:hAnsi="宋体" w:cs="宋体"/>
          <w:color w:val="auto"/>
          <w:sz w:val="24"/>
          <w:highlight w:val="none"/>
        </w:rPr>
      </w:pPr>
      <w:r>
        <w:rPr>
          <w:rFonts w:hint="eastAsia" w:ascii="宋体" w:hAnsi="宋体" w:cs="宋体"/>
          <w:color w:val="auto"/>
          <w:sz w:val="24"/>
          <w:highlight w:val="none"/>
        </w:rPr>
        <w:t>联系人：XX</w:t>
      </w:r>
    </w:p>
    <w:p w14:paraId="35DA2650">
      <w:pPr>
        <w:snapToGrid w:val="0"/>
        <w:spacing w:line="520" w:lineRule="exact"/>
        <w:rPr>
          <w:rFonts w:ascii="宋体" w:hAnsi="宋体" w:cs="宋体"/>
          <w:color w:val="auto"/>
          <w:sz w:val="24"/>
          <w:highlight w:val="none"/>
        </w:rPr>
      </w:pPr>
      <w:r>
        <w:rPr>
          <w:rFonts w:hint="eastAsia" w:ascii="宋体" w:hAnsi="宋体" w:cs="宋体"/>
          <w:color w:val="auto"/>
          <w:sz w:val="24"/>
          <w:highlight w:val="none"/>
        </w:rPr>
        <w:t>联系地址：</w:t>
      </w:r>
    </w:p>
    <w:p w14:paraId="5CAAAB42">
      <w:pPr>
        <w:snapToGrid w:val="0"/>
        <w:spacing w:line="520" w:lineRule="exact"/>
        <w:rPr>
          <w:rFonts w:ascii="宋体" w:hAnsi="宋体" w:cs="宋体"/>
          <w:color w:val="auto"/>
          <w:sz w:val="24"/>
          <w:highlight w:val="none"/>
        </w:rPr>
      </w:pPr>
      <w:r>
        <w:rPr>
          <w:rFonts w:hint="eastAsia" w:ascii="宋体" w:hAnsi="宋体" w:cs="宋体"/>
          <w:color w:val="auto"/>
          <w:sz w:val="24"/>
          <w:highlight w:val="none"/>
        </w:rPr>
        <w:t>联系电话：</w:t>
      </w:r>
    </w:p>
    <w:p w14:paraId="5789A4E4">
      <w:pPr>
        <w:pStyle w:val="2"/>
        <w:snapToGrid w:val="0"/>
        <w:spacing w:after="0" w:line="520" w:lineRule="exact"/>
        <w:ind w:left="0" w:leftChars="0" w:firstLine="0" w:firstLineChars="0"/>
        <w:rPr>
          <w:rFonts w:ascii="宋体" w:hAnsi="宋体" w:cs="宋体"/>
          <w:color w:val="auto"/>
          <w:sz w:val="24"/>
          <w:szCs w:val="24"/>
          <w:highlight w:val="none"/>
        </w:rPr>
      </w:pPr>
    </w:p>
    <w:p w14:paraId="630DA91F">
      <w:pPr>
        <w:snapToGrid w:val="0"/>
        <w:spacing w:line="520" w:lineRule="exact"/>
        <w:ind w:firstLine="560"/>
        <w:rPr>
          <w:rFonts w:ascii="宋体" w:hAnsi="宋体" w:cs="宋体"/>
          <w:color w:val="auto"/>
          <w:sz w:val="24"/>
          <w:highlight w:val="none"/>
        </w:rPr>
      </w:pPr>
      <w:r>
        <w:rPr>
          <w:rFonts w:hint="eastAsia" w:ascii="宋体" w:hAnsi="宋体" w:cs="宋体"/>
          <w:color w:val="auto"/>
          <w:sz w:val="24"/>
          <w:highlight w:val="none"/>
        </w:rPr>
        <w:t>根据</w:t>
      </w:r>
      <w:r>
        <w:rPr>
          <w:rFonts w:hint="eastAsia" w:ascii="宋体" w:hAnsi="宋体" w:cs="宋体"/>
          <w:color w:val="auto"/>
          <w:sz w:val="24"/>
          <w:highlight w:val="none"/>
          <w:u w:val="single"/>
        </w:rPr>
        <w:t>XX后评价</w:t>
      </w:r>
      <w:r>
        <w:rPr>
          <w:rFonts w:hint="eastAsia" w:ascii="宋体" w:hAnsi="宋体" w:cs="宋体"/>
          <w:color w:val="auto"/>
          <w:sz w:val="24"/>
          <w:highlight w:val="none"/>
        </w:rPr>
        <w:t>项目工作需要，甲、乙双方经友好协商，就乙方向甲方提供</w:t>
      </w:r>
      <w:r>
        <w:rPr>
          <w:rFonts w:hint="eastAsia" w:ascii="宋体" w:hAnsi="宋体" w:cs="宋体"/>
          <w:color w:val="auto"/>
          <w:sz w:val="24"/>
          <w:highlight w:val="none"/>
          <w:u w:val="single"/>
        </w:rPr>
        <w:t>XX</w:t>
      </w:r>
      <w:r>
        <w:rPr>
          <w:rFonts w:hint="eastAsia" w:ascii="宋体" w:hAnsi="宋体" w:cs="宋体"/>
          <w:color w:val="auto"/>
          <w:sz w:val="24"/>
          <w:highlight w:val="none"/>
        </w:rPr>
        <w:t>项目后评价等服务事宜达成一致意见，为明确各方权利义务，依据《中华人民共和国民法典》等有关规定，签署本协议。</w:t>
      </w:r>
    </w:p>
    <w:p w14:paraId="414F677F">
      <w:pPr>
        <w:snapToGrid w:val="0"/>
        <w:spacing w:line="520" w:lineRule="exact"/>
        <w:ind w:firstLine="482" w:firstLineChars="200"/>
        <w:rPr>
          <w:rFonts w:ascii="宋体" w:hAnsi="宋体" w:cs="宋体"/>
          <w:b/>
          <w:color w:val="auto"/>
          <w:sz w:val="24"/>
          <w:highlight w:val="none"/>
        </w:rPr>
      </w:pPr>
      <w:r>
        <w:rPr>
          <w:rFonts w:hint="eastAsia" w:ascii="宋体" w:hAnsi="宋体" w:cs="宋体"/>
          <w:b/>
          <w:color w:val="auto"/>
          <w:sz w:val="24"/>
          <w:highlight w:val="none"/>
        </w:rPr>
        <w:t>一、项目后评价服务范围及内容</w:t>
      </w:r>
    </w:p>
    <w:p w14:paraId="332A047E">
      <w:pPr>
        <w:snapToGrid w:val="0"/>
        <w:spacing w:line="520" w:lineRule="exact"/>
        <w:ind w:firstLine="480" w:firstLineChars="200"/>
        <w:jc w:val="left"/>
        <w:rPr>
          <w:rFonts w:ascii="宋体" w:hAnsi="宋体" w:cs="宋体"/>
          <w:color w:val="auto"/>
          <w:kern w:val="0"/>
          <w:sz w:val="24"/>
          <w:highlight w:val="none"/>
          <w:u w:val="single"/>
        </w:rPr>
      </w:pPr>
      <w:r>
        <w:rPr>
          <w:rFonts w:hint="eastAsia" w:ascii="宋体" w:hAnsi="宋体" w:cs="宋体"/>
          <w:color w:val="auto"/>
          <w:kern w:val="0"/>
          <w:sz w:val="24"/>
          <w:highlight w:val="none"/>
        </w:rPr>
        <w:t>1.后评价项目名称：</w:t>
      </w:r>
      <w:r>
        <w:rPr>
          <w:rFonts w:hint="eastAsia" w:ascii="宋体" w:hAnsi="宋体" w:cs="宋体"/>
          <w:color w:val="auto"/>
          <w:sz w:val="24"/>
          <w:highlight w:val="none"/>
          <w:u w:val="single"/>
        </w:rPr>
        <w:t xml:space="preserve">XX后评价项目 </w:t>
      </w:r>
      <w:r>
        <w:rPr>
          <w:rFonts w:hint="eastAsia" w:ascii="宋体" w:hAnsi="宋体" w:cs="宋体"/>
          <w:color w:val="auto"/>
          <w:sz w:val="24"/>
          <w:highlight w:val="none"/>
        </w:rPr>
        <w:t>。</w:t>
      </w:r>
    </w:p>
    <w:p w14:paraId="2C806971">
      <w:pPr>
        <w:snapToGrid w:val="0"/>
        <w:spacing w:line="520" w:lineRule="exact"/>
        <w:ind w:firstLine="480" w:firstLineChars="200"/>
        <w:jc w:val="left"/>
        <w:rPr>
          <w:rFonts w:hint="eastAsia" w:ascii="宋体" w:hAnsi="宋体" w:cs="宋体"/>
          <w:color w:val="auto"/>
          <w:sz w:val="24"/>
          <w:highlight w:val="none"/>
        </w:rPr>
      </w:pPr>
      <w:r>
        <w:rPr>
          <w:rFonts w:hint="eastAsia" w:ascii="宋体" w:hAnsi="宋体" w:cs="宋体"/>
          <w:color w:val="auto"/>
          <w:kern w:val="0"/>
          <w:sz w:val="24"/>
          <w:highlight w:val="none"/>
        </w:rPr>
        <w:t>2.</w:t>
      </w:r>
      <w:r>
        <w:rPr>
          <w:rFonts w:hint="eastAsia" w:ascii="宋体" w:hAnsi="宋体" w:cs="宋体"/>
          <w:color w:val="auto"/>
          <w:sz w:val="24"/>
          <w:highlight w:val="none"/>
        </w:rPr>
        <w:t>乙方按照</w:t>
      </w:r>
      <w:r>
        <w:rPr>
          <w:rFonts w:hint="eastAsia" w:ascii="宋体" w:hAnsi="宋体" w:cs="宋体"/>
          <w:color w:val="auto"/>
          <w:sz w:val="24"/>
          <w:highlight w:val="none"/>
          <w:u w:val="single"/>
        </w:rPr>
        <w:t>《安徽省省属企业投资项目后评价工作指引（试行）》</w:t>
      </w:r>
      <w:r>
        <w:rPr>
          <w:rFonts w:hint="eastAsia" w:ascii="宋体" w:hAnsi="宋体" w:cs="宋体"/>
          <w:color w:val="auto"/>
          <w:sz w:val="24"/>
          <w:highlight w:val="none"/>
        </w:rPr>
        <w:t>、</w:t>
      </w:r>
      <w:r>
        <w:rPr>
          <w:rFonts w:hint="eastAsia" w:ascii="宋体" w:hAnsi="宋体" w:cs="宋体"/>
          <w:color w:val="auto"/>
          <w:sz w:val="24"/>
          <w:highlight w:val="none"/>
          <w:u w:val="single"/>
        </w:rPr>
        <w:t>安徽交控集团公司《投资项目后评价管理暂行办法》</w:t>
      </w:r>
      <w:r>
        <w:rPr>
          <w:rFonts w:hint="eastAsia" w:ascii="宋体" w:hAnsi="宋体" w:cs="宋体"/>
          <w:color w:val="auto"/>
          <w:sz w:val="24"/>
          <w:highlight w:val="none"/>
        </w:rPr>
        <w:t>和甲方的要求，</w:t>
      </w:r>
      <w:r>
        <w:rPr>
          <w:rFonts w:hint="eastAsia" w:ascii="宋体" w:hAnsi="宋体" w:cs="宋体"/>
          <w:color w:val="auto"/>
          <w:kern w:val="0"/>
          <w:sz w:val="24"/>
          <w:highlight w:val="none"/>
        </w:rPr>
        <w:t>对</w:t>
      </w:r>
      <w:r>
        <w:rPr>
          <w:rFonts w:hint="eastAsia" w:ascii="宋体" w:hAnsi="宋体" w:cs="宋体"/>
          <w:color w:val="auto"/>
          <w:kern w:val="0"/>
          <w:sz w:val="24"/>
          <w:highlight w:val="none"/>
          <w:u w:val="single"/>
          <w:lang w:val="en-US" w:eastAsia="zh-CN"/>
        </w:rPr>
        <w:t xml:space="preserve">     </w:t>
      </w:r>
      <w:r>
        <w:rPr>
          <w:rFonts w:hint="eastAsia" w:ascii="宋体" w:hAnsi="宋体" w:cs="宋体"/>
          <w:color w:val="auto"/>
          <w:sz w:val="24"/>
          <w:highlight w:val="none"/>
          <w:u w:val="single"/>
        </w:rPr>
        <w:t>XX</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X</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项目进行后评价，应于</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日之前须向甲方出具项目后评价正式报告，在出具正式报告之前按照甲方要求组织后评价报告评审工作。</w:t>
      </w:r>
    </w:p>
    <w:p w14:paraId="174B1C0C">
      <w:pPr>
        <w:snapToGrid w:val="0"/>
        <w:spacing w:line="520" w:lineRule="exact"/>
        <w:ind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4</w:t>
      </w:r>
      <w:r>
        <w:rPr>
          <w:rFonts w:hint="eastAsia" w:ascii="宋体" w:hAnsi="宋体" w:cs="宋体"/>
          <w:color w:val="auto"/>
          <w:sz w:val="24"/>
          <w:highlight w:val="none"/>
        </w:rPr>
        <w:t>.项目后评价实施的时间为</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日至</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日。</w:t>
      </w:r>
    </w:p>
    <w:p w14:paraId="664314FC">
      <w:pPr>
        <w:snapToGrid w:val="0"/>
        <w:spacing w:line="520" w:lineRule="exact"/>
        <w:ind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5</w:t>
      </w:r>
      <w:r>
        <w:rPr>
          <w:rFonts w:hint="eastAsia" w:ascii="宋体" w:hAnsi="宋体" w:cs="宋体"/>
          <w:color w:val="auto"/>
          <w:sz w:val="24"/>
          <w:highlight w:val="none"/>
        </w:rPr>
        <w:t>.</w:t>
      </w:r>
      <w:r>
        <w:rPr>
          <w:rFonts w:hint="eastAsia" w:ascii="宋体" w:hAnsi="宋体" w:cs="宋体"/>
          <w:b/>
          <w:bCs/>
          <w:color w:val="auto"/>
          <w:sz w:val="24"/>
          <w:highlight w:val="none"/>
        </w:rPr>
        <w:t>项目后评价基准日</w:t>
      </w:r>
      <w:r>
        <w:rPr>
          <w:rFonts w:hint="eastAsia" w:ascii="宋体" w:hAnsi="宋体" w:cs="宋体"/>
          <w:color w:val="auto"/>
          <w:sz w:val="24"/>
          <w:highlight w:val="none"/>
        </w:rPr>
        <w:t>为</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年</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月</w:t>
      </w:r>
      <w:r>
        <w:rPr>
          <w:rFonts w:hint="eastAsia" w:ascii="宋体" w:hAnsi="宋体" w:cs="宋体"/>
          <w:color w:val="auto"/>
          <w:sz w:val="24"/>
          <w:highlight w:val="none"/>
          <w:lang w:val="en-US" w:eastAsia="zh-CN"/>
        </w:rPr>
        <w:t xml:space="preserve">  </w:t>
      </w:r>
      <w:bookmarkStart w:id="173" w:name="_GoBack"/>
      <w:bookmarkEnd w:id="173"/>
      <w:r>
        <w:rPr>
          <w:rFonts w:hint="eastAsia" w:ascii="宋体" w:hAnsi="宋体" w:cs="宋体"/>
          <w:color w:val="auto"/>
          <w:sz w:val="24"/>
          <w:highlight w:val="none"/>
        </w:rPr>
        <w:t>日。</w:t>
      </w:r>
    </w:p>
    <w:p w14:paraId="6EDC2031">
      <w:pPr>
        <w:snapToGrid w:val="0"/>
        <w:spacing w:line="520" w:lineRule="exact"/>
        <w:ind w:firstLine="482" w:firstLineChars="200"/>
        <w:rPr>
          <w:rFonts w:ascii="宋体" w:hAnsi="宋体" w:cs="宋体"/>
          <w:b/>
          <w:color w:val="auto"/>
          <w:sz w:val="24"/>
          <w:highlight w:val="none"/>
        </w:rPr>
      </w:pPr>
      <w:r>
        <w:rPr>
          <w:rFonts w:hint="eastAsia" w:ascii="宋体" w:hAnsi="宋体" w:cs="宋体"/>
          <w:b/>
          <w:color w:val="auto"/>
          <w:sz w:val="24"/>
          <w:highlight w:val="none"/>
        </w:rPr>
        <w:t>二、项目后评价的目的及方法</w:t>
      </w:r>
    </w:p>
    <w:p w14:paraId="5B7CB00E">
      <w:pPr>
        <w:snapToGrid w:val="0"/>
        <w:spacing w:line="5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依据项目调查报告、可行性研究报告等投资决策资料，对项目决策、实施过程、绩效、运营情况及其影响等方面进行深入调研和全过程回顾，对照项目决策时所确定的收益目标、预期效果以及其他指标，找出偏差和变化，分析原因，得出结论和经验教训，提出对策建议，并反馈到项目参与各方，以提高投资效益和工作水平。</w:t>
      </w:r>
    </w:p>
    <w:p w14:paraId="5C8B005E">
      <w:pPr>
        <w:snapToGrid w:val="0"/>
        <w:spacing w:line="520" w:lineRule="exact"/>
        <w:ind w:firstLine="482" w:firstLineChars="200"/>
        <w:rPr>
          <w:rFonts w:ascii="宋体" w:hAnsi="宋体" w:cs="宋体"/>
          <w:b/>
          <w:color w:val="auto"/>
          <w:sz w:val="24"/>
          <w:highlight w:val="none"/>
        </w:rPr>
      </w:pPr>
      <w:r>
        <w:rPr>
          <w:rFonts w:hint="eastAsia" w:ascii="宋体" w:hAnsi="宋体" w:cs="宋体"/>
          <w:b/>
          <w:color w:val="auto"/>
          <w:sz w:val="24"/>
          <w:highlight w:val="none"/>
        </w:rPr>
        <w:t>三、甲方的责任和义务</w:t>
      </w:r>
    </w:p>
    <w:p w14:paraId="18AB85DF">
      <w:pPr>
        <w:snapToGrid w:val="0"/>
        <w:spacing w:line="5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1.甲方应督促、协调被评价单位积极配合乙方项目后评价工作，在约定时间内及时提供真实有效的资料及相关信息。</w:t>
      </w:r>
    </w:p>
    <w:p w14:paraId="3528FEB2">
      <w:pPr>
        <w:snapToGrid w:val="0"/>
        <w:spacing w:line="5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甲方及被评价单位应按乙方要求提供评价所需资料和工作条件，乙方执业人员在评价工作过程中，除可查看业务现场和设施外，还可根据需要查阅有关文件，包括有关会计、业务等资料，并对有关单位和个人进行查询，甲方及被评价单位对其各自所提供资料的真实性、完整性和合法性负责。</w:t>
      </w:r>
    </w:p>
    <w:p w14:paraId="4A12810C">
      <w:pPr>
        <w:snapToGrid w:val="0"/>
        <w:spacing w:line="5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3.甲方应在收到乙方提交的后评价项目指标体系及后评价报告模板之日起10个工作日内予以确认反馈，逾期未反馈的视为符合甲方要求。</w:t>
      </w:r>
    </w:p>
    <w:p w14:paraId="27C70D29">
      <w:pPr>
        <w:snapToGrid w:val="0"/>
        <w:spacing w:line="5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4.按照本约定书的约定及时足额支付协议价款。</w:t>
      </w:r>
    </w:p>
    <w:p w14:paraId="4C975E1A">
      <w:pPr>
        <w:snapToGrid w:val="0"/>
        <w:spacing w:line="520" w:lineRule="exact"/>
        <w:ind w:firstLine="482" w:firstLineChars="200"/>
        <w:rPr>
          <w:rFonts w:ascii="宋体" w:hAnsi="宋体" w:cs="宋体"/>
          <w:b/>
          <w:color w:val="auto"/>
          <w:sz w:val="24"/>
          <w:highlight w:val="none"/>
        </w:rPr>
      </w:pPr>
      <w:r>
        <w:rPr>
          <w:rFonts w:hint="eastAsia" w:ascii="宋体" w:hAnsi="宋体" w:cs="宋体"/>
          <w:b/>
          <w:color w:val="auto"/>
          <w:sz w:val="24"/>
          <w:highlight w:val="none"/>
        </w:rPr>
        <w:t>四、乙方的责任和义务</w:t>
      </w:r>
    </w:p>
    <w:p w14:paraId="751ADA33">
      <w:pPr>
        <w:snapToGrid w:val="0"/>
        <w:spacing w:line="52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1.乙方应按本约定书规定的时间和要求完成项目后评价工作，出具项目后评价报告书并对报告书的客观性、真实性、合法性负责。</w:t>
      </w:r>
    </w:p>
    <w:p w14:paraId="0F146303">
      <w:pPr>
        <w:snapToGrid w:val="0"/>
        <w:spacing w:line="5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2.乙方对在执业过程中所知悉的有关甲方及被评价单位商业秘密负有保密责任，不得将知悉的秘密告知他人或谋取私利。</w:t>
      </w:r>
    </w:p>
    <w:p w14:paraId="2CBCB36B">
      <w:pPr>
        <w:snapToGrid w:val="0"/>
        <w:spacing w:line="5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3.乙方必须对评价结果保密，评价结果只能提供给甲方，非经甲方同意，不得擅自公开或泄露给他人，但按规定接受行业检查、依法提供的除外。</w:t>
      </w:r>
    </w:p>
    <w:p w14:paraId="03E8600E">
      <w:pPr>
        <w:snapToGrid w:val="0"/>
        <w:spacing w:line="520" w:lineRule="exact"/>
        <w:ind w:firstLine="482" w:firstLineChars="200"/>
        <w:rPr>
          <w:rFonts w:ascii="宋体" w:hAnsi="宋体" w:cs="宋体"/>
          <w:b/>
          <w:color w:val="auto"/>
          <w:sz w:val="24"/>
          <w:highlight w:val="none"/>
        </w:rPr>
      </w:pPr>
      <w:r>
        <w:rPr>
          <w:rFonts w:hint="eastAsia" w:ascii="宋体" w:hAnsi="宋体" w:cs="宋体"/>
          <w:b/>
          <w:color w:val="auto"/>
          <w:sz w:val="24"/>
          <w:highlight w:val="none"/>
        </w:rPr>
        <w:t>五、协议价款及支付方式</w:t>
      </w:r>
    </w:p>
    <w:p w14:paraId="2A4A39B8">
      <w:pPr>
        <w:snapToGrid w:val="0"/>
        <w:spacing w:line="5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1.协议价款。本次项目后评价工作协议价款总额为人民币</w:t>
      </w:r>
      <w:r>
        <w:rPr>
          <w:rFonts w:hint="eastAsia" w:ascii="宋体" w:hAnsi="宋体" w:cs="宋体"/>
          <w:color w:val="auto"/>
          <w:sz w:val="24"/>
          <w:highlight w:val="none"/>
          <w:u w:val="single"/>
        </w:rPr>
        <w:t xml:space="preserve">  元整（小写： 元）</w:t>
      </w:r>
      <w:r>
        <w:rPr>
          <w:rFonts w:hint="eastAsia" w:ascii="宋体" w:hAnsi="宋体" w:cs="宋体"/>
          <w:color w:val="auto"/>
          <w:sz w:val="24"/>
          <w:highlight w:val="none"/>
        </w:rPr>
        <w:t>，其中不含税金额为   元，税金    元。本协议价款包括乙方为完成本约定书项下项目后评价服务所支出的人员工资、食宿费、差旅费、办公费、保险费、综合管理费、评审费、利润、所有应由乙方缴纳的税费等一切费用。</w:t>
      </w:r>
    </w:p>
    <w:p w14:paraId="60F77EAD">
      <w:pPr>
        <w:snapToGrid w:val="0"/>
        <w:spacing w:line="5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2.支付方式。本次项目后评价工作协议价款甲方或甲方指定的第三方应在乙方提交项目后评价正式报告</w:t>
      </w:r>
      <w:r>
        <w:rPr>
          <w:rFonts w:hint="eastAsia" w:ascii="宋体" w:hAnsi="宋体" w:cs="宋体"/>
          <w:color w:val="auto"/>
          <w:sz w:val="24"/>
          <w:highlight w:val="none"/>
          <w:u w:val="single"/>
        </w:rPr>
        <w:t xml:space="preserve"> 十 </w:t>
      </w:r>
      <w:r>
        <w:rPr>
          <w:rFonts w:hint="eastAsia" w:ascii="宋体" w:hAnsi="宋体" w:cs="宋体"/>
          <w:color w:val="auto"/>
          <w:sz w:val="24"/>
          <w:highlight w:val="none"/>
        </w:rPr>
        <w:t>日内一次支付给乙方。但是，在甲方或甲方指定的第三方在向乙方付款前，乙方应向甲方开具符合要求的增值税专用发票（税率为</w:t>
      </w:r>
      <w:r>
        <w:rPr>
          <w:rFonts w:hint="eastAsia" w:ascii="宋体" w:hAnsi="宋体" w:cs="宋体"/>
          <w:color w:val="auto"/>
          <w:sz w:val="24"/>
          <w:highlight w:val="none"/>
          <w:u w:val="single"/>
        </w:rPr>
        <w:t xml:space="preserve"> 6 </w:t>
      </w:r>
      <w:r>
        <w:rPr>
          <w:rFonts w:hint="eastAsia" w:ascii="宋体" w:hAnsi="宋体" w:cs="宋体"/>
          <w:color w:val="auto"/>
          <w:sz w:val="24"/>
          <w:highlight w:val="none"/>
        </w:rPr>
        <w:t>%），因乙方未及时提供上述发票而造成甲方付款延迟的，不视为甲方违约。</w:t>
      </w:r>
    </w:p>
    <w:p w14:paraId="14C93784">
      <w:pPr>
        <w:snapToGrid w:val="0"/>
        <w:spacing w:line="520" w:lineRule="exact"/>
        <w:ind w:firstLine="482" w:firstLineChars="200"/>
        <w:rPr>
          <w:rFonts w:ascii="宋体" w:hAnsi="宋体" w:cs="宋体"/>
          <w:b/>
          <w:color w:val="auto"/>
          <w:sz w:val="24"/>
          <w:highlight w:val="none"/>
        </w:rPr>
      </w:pPr>
      <w:r>
        <w:rPr>
          <w:rFonts w:hint="eastAsia" w:ascii="宋体" w:hAnsi="宋体" w:cs="宋体"/>
          <w:b/>
          <w:color w:val="auto"/>
          <w:sz w:val="24"/>
          <w:highlight w:val="none"/>
        </w:rPr>
        <w:t>六、报告出具和使用</w:t>
      </w:r>
    </w:p>
    <w:p w14:paraId="78A3E49D">
      <w:pPr>
        <w:snapToGrid w:val="0"/>
        <w:spacing w:line="520" w:lineRule="exact"/>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1.乙方应按照甲方要求向甲方提交</w:t>
      </w:r>
      <w:r>
        <w:rPr>
          <w:rFonts w:hint="eastAsia" w:ascii="宋体" w:hAnsi="宋体" w:cs="宋体"/>
          <w:color w:val="auto"/>
          <w:kern w:val="0"/>
          <w:sz w:val="24"/>
          <w:highlight w:val="none"/>
          <w:lang w:val="en-US" w:eastAsia="zh-CN"/>
        </w:rPr>
        <w:t>3个</w:t>
      </w:r>
      <w:r>
        <w:rPr>
          <w:rFonts w:hint="eastAsia" w:ascii="宋体" w:hAnsi="宋体" w:cs="宋体"/>
          <w:color w:val="auto"/>
          <w:kern w:val="0"/>
          <w:sz w:val="24"/>
          <w:highlight w:val="none"/>
        </w:rPr>
        <w:t>项目后评价报告书</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lang w:val="en-US" w:eastAsia="zh-CN"/>
        </w:rPr>
        <w:t>各</w:t>
      </w:r>
      <w:r>
        <w:rPr>
          <w:rFonts w:hint="eastAsia" w:ascii="宋体" w:hAnsi="宋体" w:cs="宋体"/>
          <w:color w:val="auto"/>
          <w:kern w:val="0"/>
          <w:sz w:val="24"/>
          <w:highlight w:val="none"/>
        </w:rPr>
        <w:t>一式</w:t>
      </w:r>
      <w:r>
        <w:rPr>
          <w:rFonts w:hint="eastAsia" w:ascii="宋体" w:hAnsi="宋体" w:cs="宋体"/>
          <w:color w:val="auto"/>
          <w:kern w:val="0"/>
          <w:sz w:val="24"/>
          <w:highlight w:val="none"/>
          <w:u w:val="single"/>
        </w:rPr>
        <w:t>6</w:t>
      </w:r>
      <w:r>
        <w:rPr>
          <w:rFonts w:hint="eastAsia" w:ascii="宋体" w:hAnsi="宋体" w:cs="宋体"/>
          <w:color w:val="auto"/>
          <w:kern w:val="0"/>
          <w:sz w:val="24"/>
          <w:highlight w:val="none"/>
        </w:rPr>
        <w:t>份。</w:t>
      </w:r>
    </w:p>
    <w:p w14:paraId="03F7802A">
      <w:pPr>
        <w:snapToGrid w:val="0"/>
        <w:spacing w:line="520" w:lineRule="exact"/>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lang w:val="en-US" w:eastAsia="zh-CN"/>
        </w:rPr>
        <w:t>2.</w:t>
      </w:r>
      <w:r>
        <w:rPr>
          <w:rFonts w:hint="eastAsia" w:ascii="宋体" w:hAnsi="宋体" w:cs="宋体"/>
          <w:color w:val="auto"/>
          <w:kern w:val="0"/>
          <w:sz w:val="24"/>
          <w:highlight w:val="none"/>
        </w:rPr>
        <w:t>甲方应当正确使用项目后评价报告书，因甲方不当使用而造成的后果，与乙方无关。</w:t>
      </w:r>
    </w:p>
    <w:p w14:paraId="39B193C1">
      <w:pPr>
        <w:snapToGrid w:val="0"/>
        <w:spacing w:line="520" w:lineRule="exact"/>
        <w:ind w:firstLine="482" w:firstLineChars="200"/>
        <w:rPr>
          <w:rFonts w:ascii="宋体" w:hAnsi="宋体" w:cs="宋体"/>
          <w:b/>
          <w:bCs/>
          <w:color w:val="auto"/>
          <w:kern w:val="0"/>
          <w:sz w:val="24"/>
          <w:highlight w:val="none"/>
        </w:rPr>
      </w:pPr>
      <w:r>
        <w:rPr>
          <w:rFonts w:hint="eastAsia" w:ascii="宋体" w:hAnsi="宋体" w:cs="宋体"/>
          <w:b/>
          <w:bCs/>
          <w:color w:val="auto"/>
          <w:kern w:val="0"/>
          <w:sz w:val="24"/>
          <w:highlight w:val="none"/>
        </w:rPr>
        <w:t>七、违约责任</w:t>
      </w:r>
    </w:p>
    <w:p w14:paraId="46E59D78">
      <w:pPr>
        <w:snapToGrid w:val="0"/>
        <w:spacing w:line="520" w:lineRule="exact"/>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（一）甲方的违约责任</w:t>
      </w:r>
    </w:p>
    <w:p w14:paraId="27390928">
      <w:pPr>
        <w:snapToGrid w:val="0"/>
        <w:spacing w:line="520" w:lineRule="exact"/>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1.除本约定书另有规定外，甲方若无正当理由不按合同规定向乙方支付协议价款的，乙方可要求甲方支付协议价款总额</w:t>
      </w:r>
      <w:r>
        <w:rPr>
          <w:rFonts w:hint="eastAsia" w:ascii="宋体" w:hAnsi="宋体" w:cs="宋体"/>
          <w:color w:val="auto"/>
          <w:kern w:val="0"/>
          <w:sz w:val="24"/>
          <w:highlight w:val="none"/>
          <w:u w:val="single"/>
        </w:rPr>
        <w:t>10</w:t>
      </w:r>
      <w:r>
        <w:rPr>
          <w:rFonts w:hint="eastAsia" w:ascii="宋体" w:hAnsi="宋体" w:cs="宋体"/>
          <w:color w:val="auto"/>
          <w:kern w:val="0"/>
          <w:sz w:val="24"/>
          <w:highlight w:val="none"/>
        </w:rPr>
        <w:t>%的违约金。</w:t>
      </w:r>
    </w:p>
    <w:p w14:paraId="728B1F59">
      <w:pPr>
        <w:snapToGrid w:val="0"/>
        <w:spacing w:line="520" w:lineRule="exact"/>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2.因被评价单位不配合造成的评价工作无法开展，甲方承担相应的后果，且不以此认为乙方的工作未达到本合同的约定要求，对乙方已开展的工作和发生的费用应予以补偿。</w:t>
      </w:r>
    </w:p>
    <w:p w14:paraId="0BFFB993">
      <w:pPr>
        <w:snapToGrid w:val="0"/>
        <w:spacing w:line="520" w:lineRule="exact"/>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（二）乙方的违约责任</w:t>
      </w:r>
    </w:p>
    <w:p w14:paraId="70E9DED8">
      <w:pPr>
        <w:snapToGrid w:val="0"/>
        <w:spacing w:line="520" w:lineRule="exact"/>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1.乙方违反廉政纪律要求的，应向甲方支付</w:t>
      </w:r>
      <w:r>
        <w:rPr>
          <w:rFonts w:hint="eastAsia" w:ascii="宋体" w:hAnsi="宋体" w:cs="宋体"/>
          <w:color w:val="auto"/>
          <w:kern w:val="0"/>
          <w:sz w:val="24"/>
          <w:highlight w:val="none"/>
          <w:u w:val="single"/>
        </w:rPr>
        <w:t>5000</w:t>
      </w:r>
      <w:r>
        <w:rPr>
          <w:rFonts w:hint="eastAsia" w:ascii="宋体" w:hAnsi="宋体" w:cs="宋体"/>
          <w:color w:val="auto"/>
          <w:kern w:val="0"/>
          <w:sz w:val="24"/>
          <w:highlight w:val="none"/>
        </w:rPr>
        <w:t>元/次的违约金；</w:t>
      </w:r>
    </w:p>
    <w:p w14:paraId="582994D9">
      <w:pPr>
        <w:snapToGrid w:val="0"/>
        <w:spacing w:line="520" w:lineRule="exact"/>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2.乙方实际进点人员数量必须</w:t>
      </w:r>
      <w:r>
        <w:rPr>
          <w:rFonts w:hint="eastAsia" w:ascii="宋体" w:hAnsi="宋体" w:cs="宋体"/>
          <w:color w:val="auto"/>
          <w:sz w:val="24"/>
          <w:highlight w:val="none"/>
        </w:rPr>
        <w:t>满足项目后评价的需要</w:t>
      </w:r>
      <w:r>
        <w:rPr>
          <w:rFonts w:hint="eastAsia" w:ascii="宋体" w:hAnsi="宋体" w:cs="宋体"/>
          <w:color w:val="auto"/>
          <w:kern w:val="0"/>
          <w:sz w:val="24"/>
          <w:highlight w:val="none"/>
        </w:rPr>
        <w:t>，投入的进点人员原则上不予更换，更换时必须征得甲方书面同意，且更换的人员资质不得降低且不影响工作进度；对于更换的人员乙方按照</w:t>
      </w:r>
      <w:r>
        <w:rPr>
          <w:rFonts w:hint="eastAsia" w:ascii="宋体" w:hAnsi="宋体" w:cs="宋体"/>
          <w:color w:val="auto"/>
          <w:kern w:val="0"/>
          <w:sz w:val="24"/>
          <w:highlight w:val="none"/>
          <w:u w:val="single"/>
        </w:rPr>
        <w:t>1000</w:t>
      </w:r>
      <w:r>
        <w:rPr>
          <w:rFonts w:hint="eastAsia" w:ascii="宋体" w:hAnsi="宋体" w:cs="宋体"/>
          <w:color w:val="auto"/>
          <w:kern w:val="0"/>
          <w:sz w:val="24"/>
          <w:highlight w:val="none"/>
        </w:rPr>
        <w:t>元/人·次的标准向甲方支付违约金，未经甲方同意直接更换的，将按照</w:t>
      </w:r>
      <w:r>
        <w:rPr>
          <w:rFonts w:hint="eastAsia" w:ascii="宋体" w:hAnsi="宋体" w:cs="宋体"/>
          <w:color w:val="auto"/>
          <w:kern w:val="0"/>
          <w:sz w:val="24"/>
          <w:highlight w:val="none"/>
          <w:u w:val="single"/>
        </w:rPr>
        <w:t>5000</w:t>
      </w:r>
      <w:r>
        <w:rPr>
          <w:rFonts w:hint="eastAsia" w:ascii="宋体" w:hAnsi="宋体" w:cs="宋体"/>
          <w:color w:val="auto"/>
          <w:kern w:val="0"/>
          <w:sz w:val="24"/>
          <w:highlight w:val="none"/>
        </w:rPr>
        <w:t>元/人·次的标准向甲方支付违约金；</w:t>
      </w:r>
    </w:p>
    <w:p w14:paraId="736388F6">
      <w:pPr>
        <w:snapToGrid w:val="0"/>
        <w:spacing w:line="520" w:lineRule="exact"/>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3.由于乙方自身原因，导致不能按时向甲方提交项目后评价报告待评审稿或</w:t>
      </w:r>
      <w:r>
        <w:rPr>
          <w:rFonts w:hint="eastAsia" w:ascii="宋体" w:hAnsi="宋体" w:cs="宋体"/>
          <w:color w:val="auto"/>
          <w:sz w:val="24"/>
          <w:highlight w:val="none"/>
        </w:rPr>
        <w:t>项目后评价正式报告</w:t>
      </w:r>
      <w:r>
        <w:rPr>
          <w:rFonts w:hint="eastAsia" w:ascii="宋体" w:hAnsi="宋体" w:cs="宋体"/>
          <w:color w:val="auto"/>
          <w:kern w:val="0"/>
          <w:sz w:val="24"/>
          <w:highlight w:val="none"/>
        </w:rPr>
        <w:t>的，乙方应向甲方支付协议价款总额</w:t>
      </w:r>
      <w:r>
        <w:rPr>
          <w:rFonts w:hint="eastAsia" w:ascii="宋体" w:hAnsi="宋体" w:cs="宋体"/>
          <w:color w:val="auto"/>
          <w:kern w:val="0"/>
          <w:sz w:val="24"/>
          <w:highlight w:val="none"/>
          <w:u w:val="single"/>
        </w:rPr>
        <w:t>20</w:t>
      </w:r>
      <w:r>
        <w:rPr>
          <w:rFonts w:hint="eastAsia" w:ascii="宋体" w:hAnsi="宋体" w:cs="宋体"/>
          <w:color w:val="auto"/>
          <w:kern w:val="0"/>
          <w:sz w:val="24"/>
          <w:highlight w:val="none"/>
        </w:rPr>
        <w:t>%的违约金；</w:t>
      </w:r>
    </w:p>
    <w:p w14:paraId="7E0B40ED">
      <w:pPr>
        <w:snapToGrid w:val="0"/>
        <w:spacing w:line="520" w:lineRule="exact"/>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4.乙方存在其他违约行为的，应向甲方支付协议价款总额</w:t>
      </w:r>
      <w:r>
        <w:rPr>
          <w:rFonts w:hint="eastAsia" w:ascii="宋体" w:hAnsi="宋体" w:cs="宋体"/>
          <w:color w:val="auto"/>
          <w:kern w:val="0"/>
          <w:sz w:val="24"/>
          <w:highlight w:val="none"/>
          <w:u w:val="single"/>
        </w:rPr>
        <w:t>10</w:t>
      </w:r>
      <w:r>
        <w:rPr>
          <w:rFonts w:hint="eastAsia" w:ascii="宋体" w:hAnsi="宋体" w:cs="宋体"/>
          <w:color w:val="auto"/>
          <w:kern w:val="0"/>
          <w:sz w:val="24"/>
          <w:highlight w:val="none"/>
        </w:rPr>
        <w:t>%的违约金。</w:t>
      </w:r>
    </w:p>
    <w:p w14:paraId="64B4B04D">
      <w:pPr>
        <w:snapToGrid w:val="0"/>
        <w:spacing w:line="520" w:lineRule="exact"/>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乙方累计违约2次或违约行为发生后经甲方书面整改通知送达之日起10日内拒不整改的，甲方有权单方解除本约定书，不向乙方支付任何费用，甲方已支付的，乙方应当全额返还甲方，同时甲方有权要求乙方支付协议价款总额</w:t>
      </w:r>
      <w:r>
        <w:rPr>
          <w:rFonts w:hint="eastAsia" w:ascii="宋体" w:hAnsi="宋体" w:cs="宋体"/>
          <w:color w:val="auto"/>
          <w:kern w:val="0"/>
          <w:sz w:val="24"/>
          <w:highlight w:val="none"/>
          <w:u w:val="single"/>
        </w:rPr>
        <w:t xml:space="preserve"> 20 </w:t>
      </w:r>
      <w:r>
        <w:rPr>
          <w:rFonts w:hint="eastAsia" w:ascii="宋体" w:hAnsi="宋体" w:cs="宋体"/>
          <w:color w:val="auto"/>
          <w:kern w:val="0"/>
          <w:sz w:val="24"/>
          <w:highlight w:val="none"/>
        </w:rPr>
        <w:t>%的违约金。</w:t>
      </w:r>
    </w:p>
    <w:p w14:paraId="4640806A">
      <w:pPr>
        <w:snapToGrid w:val="0"/>
        <w:spacing w:line="520" w:lineRule="exact"/>
        <w:ind w:firstLine="482" w:firstLineChars="200"/>
        <w:rPr>
          <w:rFonts w:ascii="宋体" w:hAnsi="宋体" w:cs="宋体"/>
          <w:b/>
          <w:bCs/>
          <w:color w:val="auto"/>
          <w:sz w:val="24"/>
          <w:highlight w:val="none"/>
        </w:rPr>
      </w:pPr>
      <w:r>
        <w:rPr>
          <w:rFonts w:hint="eastAsia" w:ascii="宋体" w:hAnsi="宋体" w:cs="宋体"/>
          <w:b/>
          <w:color w:val="auto"/>
          <w:sz w:val="24"/>
          <w:highlight w:val="none"/>
        </w:rPr>
        <w:t>八、</w:t>
      </w:r>
      <w:r>
        <w:rPr>
          <w:rFonts w:hint="eastAsia" w:ascii="宋体" w:hAnsi="宋体" w:cs="宋体"/>
          <w:b/>
          <w:bCs/>
          <w:color w:val="auto"/>
          <w:sz w:val="24"/>
          <w:highlight w:val="none"/>
        </w:rPr>
        <w:t>通讯及送达</w:t>
      </w:r>
    </w:p>
    <w:p w14:paraId="65D1DDC5">
      <w:pPr>
        <w:snapToGrid w:val="0"/>
        <w:spacing w:line="520" w:lineRule="exact"/>
        <w:ind w:firstLine="480" w:firstLineChars="200"/>
        <w:rPr>
          <w:rFonts w:hint="eastAsia" w:ascii="宋体" w:hAnsi="宋体" w:cs="宋体"/>
          <w:bCs/>
          <w:color w:val="auto"/>
          <w:sz w:val="24"/>
          <w:highlight w:val="none"/>
        </w:rPr>
      </w:pPr>
      <w:r>
        <w:rPr>
          <w:rFonts w:hint="eastAsia" w:ascii="宋体" w:hAnsi="宋体" w:cs="宋体"/>
          <w:bCs/>
          <w:color w:val="auto"/>
          <w:sz w:val="24"/>
          <w:highlight w:val="none"/>
        </w:rPr>
        <w:t>经本合同各方协商一致,现就本合同中涉及各类通知、信函、协议等文件以及就合同发生纠纷时相关文件和法律文书送达时的送达地址及法律后果作如下约定:</w:t>
      </w:r>
    </w:p>
    <w:p w14:paraId="00DCC2C3">
      <w:pPr>
        <w:snapToGrid w:val="0"/>
        <w:spacing w:line="520" w:lineRule="exact"/>
        <w:ind w:firstLine="480" w:firstLineChars="200"/>
        <w:rPr>
          <w:rFonts w:hint="eastAsia" w:ascii="宋体" w:hAnsi="宋体" w:cs="宋体"/>
          <w:bCs/>
          <w:color w:val="auto"/>
          <w:sz w:val="24"/>
          <w:highlight w:val="none"/>
        </w:rPr>
      </w:pPr>
      <w:r>
        <w:rPr>
          <w:rFonts w:hint="eastAsia" w:ascii="宋体" w:hAnsi="宋体" w:cs="宋体"/>
          <w:bCs/>
          <w:color w:val="auto"/>
          <w:sz w:val="24"/>
          <w:highlight w:val="none"/>
        </w:rPr>
        <w:t>1.除本合同另有约定外，本合同下的所有通知、请求、要求和其他信息传递以及因本协议进入调解、诉讼或仲裁而涉及的各类文书均应通过书面形式做出，通过专人递送、特快专递或传真等方式发送至本合同首部所列明的各方地址。合同各方分别对本合同约定的各方地址、电话号码、传真号、电子邮箱号等真实性负责，并确认其有效性。</w:t>
      </w:r>
    </w:p>
    <w:p w14:paraId="404F72CB">
      <w:pPr>
        <w:snapToGrid w:val="0"/>
        <w:spacing w:line="520" w:lineRule="exact"/>
        <w:ind w:firstLine="480" w:firstLineChars="200"/>
        <w:rPr>
          <w:rFonts w:hint="eastAsia" w:ascii="宋体" w:hAnsi="宋体" w:cs="宋体"/>
          <w:bCs/>
          <w:color w:val="auto"/>
          <w:sz w:val="24"/>
          <w:highlight w:val="none"/>
        </w:rPr>
      </w:pPr>
      <w:r>
        <w:rPr>
          <w:rFonts w:hint="eastAsia" w:ascii="宋体" w:hAnsi="宋体" w:cs="宋体"/>
          <w:bCs/>
          <w:color w:val="auto"/>
          <w:sz w:val="24"/>
          <w:highlight w:val="none"/>
        </w:rPr>
        <w:t>2. 本合同各方一致同意：任何书面材料由专人递送的，收件方签收视为送达，收件方拒收的，送达人可采取拍照、录像方式记录送达过程，并将文书留置，视为送达；采用邮寄或快递方式的，自发件地邮戳记载之日起，满7日视为送达，如无人签收或拒收的，则文书退回之日视为送达之日；采用传真或电子邮件方式等现代通信的，在传送完成并收到正确回号或传真报告时视为送达。若一方指定的联系人、手机号码、电子邮箱、传真等出现变更、停机、故障、弃用、删除等无法接收的情况，应当及时书面告知；若不及时告知，相对方按原指定的联系人、手机号码、地址、电子邮箱、传真等发出相文书的，亦视为送达。</w:t>
      </w:r>
    </w:p>
    <w:p w14:paraId="09C41E6C">
      <w:pPr>
        <w:snapToGrid w:val="0"/>
        <w:spacing w:line="520" w:lineRule="exact"/>
        <w:ind w:firstLine="480" w:firstLineChars="200"/>
        <w:rPr>
          <w:rFonts w:hint="eastAsia" w:ascii="宋体" w:hAnsi="宋体" w:cs="宋体"/>
          <w:bCs/>
          <w:color w:val="auto"/>
          <w:sz w:val="24"/>
          <w:highlight w:val="none"/>
        </w:rPr>
      </w:pPr>
      <w:r>
        <w:rPr>
          <w:rFonts w:hint="eastAsia" w:ascii="宋体" w:hAnsi="宋体" w:cs="宋体"/>
          <w:bCs/>
          <w:color w:val="auto"/>
          <w:sz w:val="24"/>
          <w:highlight w:val="none"/>
        </w:rPr>
        <w:t>3. 本合同任何一方如欲变更通讯地址、联系方式、传真号或电子邮箱号，均应及时通知本合同其他相对方。在其他合同相对方依照本条规定收到另一方联系方式变更信息之前，另一方的原联系方式仍应被视为该方的有效联系方式。由于一方提供错误地址、联系方式、邮箱等信息或者未及时告知变更后联系方式导致相关文书未能送达或者被退回的，则文书退回之日视为送达之日。</w:t>
      </w:r>
    </w:p>
    <w:p w14:paraId="52EF1CAA">
      <w:pPr>
        <w:snapToGrid w:val="0"/>
        <w:spacing w:line="520" w:lineRule="exact"/>
        <w:ind w:firstLine="480" w:firstLineChars="200"/>
        <w:rPr>
          <w:rFonts w:hint="eastAsia" w:ascii="宋体" w:hAnsi="宋体" w:cs="宋体"/>
          <w:bCs/>
          <w:color w:val="auto"/>
          <w:sz w:val="24"/>
          <w:highlight w:val="none"/>
        </w:rPr>
      </w:pPr>
      <w:r>
        <w:rPr>
          <w:rFonts w:hint="eastAsia" w:ascii="宋体" w:hAnsi="宋体" w:cs="宋体"/>
          <w:bCs/>
          <w:color w:val="auto"/>
          <w:sz w:val="24"/>
          <w:highlight w:val="none"/>
        </w:rPr>
        <w:t>4. 本合同确定的通讯地址、联系方式、传真号或电子邮箱号及其变更程序，适用于本合同缔结后的全部流程，包括因本合同发生争议而进入仲裁或诉讼的司法程序，合同各方（含受理争议的人民法院及仲裁机构）均有权按照本合同确定的通讯地址、联系方式、传真号或电子邮箱号进行司法文书的传递与送达。</w:t>
      </w:r>
    </w:p>
    <w:p w14:paraId="63533B6A">
      <w:pPr>
        <w:snapToGrid w:val="0"/>
        <w:spacing w:line="520" w:lineRule="exact"/>
        <w:ind w:firstLine="482" w:firstLineChars="200"/>
        <w:rPr>
          <w:rFonts w:ascii="宋体" w:hAnsi="宋体" w:cs="宋体"/>
          <w:b/>
          <w:color w:val="auto"/>
          <w:sz w:val="24"/>
          <w:highlight w:val="none"/>
        </w:rPr>
      </w:pPr>
      <w:r>
        <w:rPr>
          <w:rFonts w:hint="eastAsia" w:ascii="宋体" w:hAnsi="宋体" w:cs="宋体"/>
          <w:b/>
          <w:color w:val="auto"/>
          <w:sz w:val="24"/>
          <w:highlight w:val="none"/>
        </w:rPr>
        <w:t>九、其他约定事项</w:t>
      </w:r>
    </w:p>
    <w:p w14:paraId="48CAB48A">
      <w:pPr>
        <w:snapToGrid w:val="0"/>
        <w:spacing w:line="520" w:lineRule="exact"/>
        <w:ind w:firstLine="480" w:firstLineChars="200"/>
        <w:rPr>
          <w:rFonts w:ascii="宋体" w:hAnsi="宋体" w:cs="宋体"/>
          <w:color w:val="auto"/>
          <w:sz w:val="24"/>
          <w:highlight w:val="none"/>
          <w:lang w:val="zh-CN"/>
        </w:rPr>
      </w:pPr>
      <w:r>
        <w:rPr>
          <w:rFonts w:hint="eastAsia" w:ascii="宋体" w:hAnsi="宋体" w:cs="宋体"/>
          <w:color w:val="auto"/>
          <w:sz w:val="24"/>
          <w:highlight w:val="none"/>
        </w:rPr>
        <w:t>1.本约定书未尽事宜由甲、乙双方协商解决，任何补充性合同文件均需双方法定代表人（负责人）</w:t>
      </w:r>
      <w:r>
        <w:rPr>
          <w:rFonts w:hint="eastAsia" w:ascii="宋体" w:hAnsi="宋体" w:cs="宋体"/>
          <w:color w:val="auto"/>
          <w:sz w:val="24"/>
          <w:highlight w:val="none"/>
          <w:lang w:val="zh-TW" w:eastAsia="zh-TW"/>
        </w:rPr>
        <w:t>或其授权的代理人签</w:t>
      </w:r>
      <w:r>
        <w:rPr>
          <w:rFonts w:hint="eastAsia" w:ascii="宋体" w:hAnsi="宋体" w:cs="宋体"/>
          <w:color w:val="auto"/>
          <w:sz w:val="24"/>
          <w:highlight w:val="none"/>
        </w:rPr>
        <w:t>名，并加盖</w:t>
      </w:r>
      <w:r>
        <w:rPr>
          <w:rFonts w:hint="eastAsia" w:ascii="宋体" w:hAnsi="宋体" w:cs="宋体"/>
          <w:color w:val="auto"/>
          <w:sz w:val="24"/>
          <w:highlight w:val="none"/>
          <w:lang w:val="zh-TW" w:eastAsia="zh-TW"/>
        </w:rPr>
        <w:t>单位</w:t>
      </w:r>
      <w:r>
        <w:rPr>
          <w:rFonts w:hint="eastAsia" w:ascii="宋体" w:hAnsi="宋体" w:cs="宋体"/>
          <w:color w:val="auto"/>
          <w:sz w:val="24"/>
          <w:highlight w:val="none"/>
          <w:lang w:val="en-US" w:eastAsia="zh-CN"/>
        </w:rPr>
        <w:t>印</w:t>
      </w:r>
      <w:r>
        <w:rPr>
          <w:rFonts w:hint="eastAsia" w:ascii="宋体" w:hAnsi="宋体" w:cs="宋体"/>
          <w:color w:val="auto"/>
          <w:sz w:val="24"/>
          <w:highlight w:val="none"/>
        </w:rPr>
        <w:t>章后方为有效</w:t>
      </w:r>
      <w:r>
        <w:rPr>
          <w:rFonts w:hint="eastAsia" w:ascii="宋体" w:hAnsi="宋体" w:cs="宋体"/>
          <w:color w:val="auto"/>
          <w:sz w:val="24"/>
          <w:highlight w:val="none"/>
          <w:lang w:val="zh-CN"/>
        </w:rPr>
        <w:t>。</w:t>
      </w:r>
    </w:p>
    <w:p w14:paraId="14D9CEC1">
      <w:pPr>
        <w:snapToGrid w:val="0"/>
        <w:spacing w:line="5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2.当甲、乙双方发生争议且协商不成时，由甲方所在地人民法院管辖。</w:t>
      </w:r>
    </w:p>
    <w:p w14:paraId="7CE8BCB3">
      <w:pPr>
        <w:snapToGrid w:val="0"/>
        <w:spacing w:line="5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3.本约定书自甲、乙双方法定代表人（负责人）或其授权的代理人签名并加盖单位印章之日起生效，约定事项全部完成后失效。</w:t>
      </w:r>
    </w:p>
    <w:p w14:paraId="34F81989">
      <w:pPr>
        <w:snapToGrid w:val="0"/>
        <w:spacing w:line="5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本约定书一式</w:t>
      </w:r>
      <w:r>
        <w:rPr>
          <w:rFonts w:hint="eastAsia" w:ascii="宋体" w:hAnsi="宋体" w:cs="宋体"/>
          <w:color w:val="auto"/>
          <w:sz w:val="24"/>
          <w:highlight w:val="none"/>
          <w:u w:val="single"/>
        </w:rPr>
        <w:t>四</w:t>
      </w:r>
      <w:r>
        <w:rPr>
          <w:rFonts w:hint="eastAsia" w:ascii="宋体" w:hAnsi="宋体" w:cs="宋体"/>
          <w:color w:val="auto"/>
          <w:sz w:val="24"/>
          <w:highlight w:val="none"/>
        </w:rPr>
        <w:t>份，甲、乙双方各执</w:t>
      </w:r>
      <w:r>
        <w:rPr>
          <w:rFonts w:hint="eastAsia" w:ascii="宋体" w:hAnsi="宋体" w:cs="宋体"/>
          <w:color w:val="auto"/>
          <w:sz w:val="24"/>
          <w:highlight w:val="none"/>
          <w:u w:val="single"/>
        </w:rPr>
        <w:t>两</w:t>
      </w:r>
      <w:r>
        <w:rPr>
          <w:rFonts w:hint="eastAsia" w:ascii="宋体" w:hAnsi="宋体" w:cs="宋体"/>
          <w:color w:val="auto"/>
          <w:sz w:val="24"/>
          <w:highlight w:val="none"/>
        </w:rPr>
        <w:t>份，具有同等法律效力。</w:t>
      </w:r>
    </w:p>
    <w:p w14:paraId="6E64A69D">
      <w:pPr>
        <w:pStyle w:val="2"/>
        <w:ind w:firstLine="480"/>
        <w:rPr>
          <w:rFonts w:ascii="宋体" w:hAnsi="宋体" w:cs="宋体"/>
          <w:color w:val="auto"/>
          <w:sz w:val="24"/>
          <w:szCs w:val="24"/>
          <w:highlight w:val="none"/>
        </w:rPr>
      </w:pPr>
    </w:p>
    <w:p w14:paraId="346D2F89">
      <w:pPr>
        <w:rPr>
          <w:rFonts w:ascii="宋体" w:hAnsi="宋体" w:cs="宋体"/>
          <w:color w:val="auto"/>
          <w:sz w:val="24"/>
          <w:szCs w:val="24"/>
          <w:highlight w:val="none"/>
        </w:rPr>
      </w:pPr>
    </w:p>
    <w:p w14:paraId="166473E6">
      <w:pPr>
        <w:pStyle w:val="2"/>
        <w:rPr>
          <w:rFonts w:ascii="宋体" w:hAnsi="宋体" w:cs="宋体"/>
          <w:color w:val="auto"/>
          <w:sz w:val="24"/>
          <w:szCs w:val="24"/>
          <w:highlight w:val="none"/>
        </w:rPr>
      </w:pPr>
    </w:p>
    <w:p w14:paraId="4CB4A551">
      <w:pPr>
        <w:rPr>
          <w:rFonts w:ascii="宋体" w:hAnsi="宋体" w:cs="宋体"/>
          <w:color w:val="auto"/>
          <w:sz w:val="24"/>
          <w:szCs w:val="24"/>
          <w:highlight w:val="none"/>
        </w:rPr>
      </w:pPr>
    </w:p>
    <w:p w14:paraId="31D7208C">
      <w:pPr>
        <w:pStyle w:val="2"/>
        <w:rPr>
          <w:rFonts w:ascii="宋体" w:hAnsi="宋体" w:cs="宋体"/>
          <w:color w:val="auto"/>
          <w:sz w:val="24"/>
          <w:szCs w:val="24"/>
          <w:highlight w:val="none"/>
        </w:rPr>
      </w:pPr>
    </w:p>
    <w:p w14:paraId="0B270D5F">
      <w:pPr>
        <w:rPr>
          <w:rFonts w:ascii="宋体" w:hAnsi="宋体" w:cs="宋体"/>
          <w:color w:val="auto"/>
          <w:sz w:val="24"/>
          <w:szCs w:val="24"/>
          <w:highlight w:val="none"/>
        </w:rPr>
      </w:pPr>
    </w:p>
    <w:p w14:paraId="366EEE56">
      <w:pPr>
        <w:pStyle w:val="2"/>
        <w:rPr>
          <w:rFonts w:ascii="宋体" w:hAnsi="宋体" w:cs="宋体"/>
          <w:color w:val="auto"/>
          <w:sz w:val="24"/>
          <w:szCs w:val="24"/>
          <w:highlight w:val="none"/>
        </w:rPr>
      </w:pPr>
    </w:p>
    <w:p w14:paraId="6EBEFAFA">
      <w:pPr>
        <w:rPr>
          <w:rFonts w:ascii="宋体" w:hAnsi="宋体" w:cs="宋体"/>
          <w:color w:val="auto"/>
          <w:sz w:val="24"/>
          <w:szCs w:val="24"/>
          <w:highlight w:val="none"/>
        </w:rPr>
      </w:pPr>
    </w:p>
    <w:p w14:paraId="6B77399C">
      <w:pPr>
        <w:pStyle w:val="2"/>
        <w:rPr>
          <w:rFonts w:ascii="宋体" w:hAnsi="宋体" w:cs="宋体"/>
          <w:color w:val="auto"/>
          <w:sz w:val="24"/>
          <w:szCs w:val="24"/>
          <w:highlight w:val="none"/>
        </w:rPr>
      </w:pPr>
    </w:p>
    <w:p w14:paraId="7B8ED2D7"/>
    <w:p w14:paraId="13751E49">
      <w:pPr>
        <w:pStyle w:val="2"/>
        <w:ind w:left="0" w:leftChars="0" w:firstLine="0" w:firstLineChars="0"/>
        <w:rPr>
          <w:rFonts w:ascii="宋体" w:hAnsi="宋体" w:cs="宋体"/>
          <w:color w:val="auto"/>
          <w:sz w:val="24"/>
          <w:szCs w:val="24"/>
          <w:highlight w:val="none"/>
        </w:rPr>
      </w:pPr>
    </w:p>
    <w:p w14:paraId="36C80AFC">
      <w:pPr>
        <w:snapToGrid w:val="0"/>
        <w:spacing w:line="520" w:lineRule="exact"/>
        <w:ind w:firstLine="240" w:firstLineChars="100"/>
        <w:rPr>
          <w:rFonts w:ascii="宋体" w:hAnsi="宋体" w:cs="宋体"/>
          <w:color w:val="auto"/>
          <w:sz w:val="24"/>
          <w:highlight w:val="none"/>
        </w:rPr>
      </w:pPr>
      <w:r>
        <w:rPr>
          <w:rFonts w:hint="eastAsia" w:ascii="宋体" w:hAnsi="宋体" w:cs="宋体"/>
          <w:color w:val="auto"/>
          <w:sz w:val="24"/>
          <w:highlight w:val="none"/>
        </w:rPr>
        <w:t>甲方（盖章）：安徽</w:t>
      </w:r>
      <w:r>
        <w:rPr>
          <w:rFonts w:hint="eastAsia" w:ascii="宋体" w:hAnsi="宋体" w:cs="宋体"/>
          <w:color w:val="auto"/>
          <w:sz w:val="24"/>
          <w:highlight w:val="none"/>
          <w:lang w:val="en-US" w:eastAsia="zh-CN"/>
        </w:rPr>
        <w:t>交控建设工程</w:t>
      </w:r>
      <w:r>
        <w:rPr>
          <w:rFonts w:hint="eastAsia" w:ascii="宋体" w:hAnsi="宋体" w:cs="宋体"/>
          <w:color w:val="auto"/>
          <w:sz w:val="24"/>
          <w:highlight w:val="none"/>
        </w:rPr>
        <w:t>集团有限公司</w:t>
      </w:r>
    </w:p>
    <w:p w14:paraId="47EFD110">
      <w:pPr>
        <w:tabs>
          <w:tab w:val="left" w:pos="6237"/>
        </w:tabs>
        <w:snapToGrid w:val="0"/>
        <w:spacing w:line="520" w:lineRule="exact"/>
        <w:ind w:firstLine="240" w:firstLineChars="100"/>
        <w:rPr>
          <w:rFonts w:ascii="宋体" w:hAnsi="宋体" w:cs="宋体"/>
          <w:color w:val="auto"/>
          <w:sz w:val="24"/>
          <w:highlight w:val="none"/>
        </w:rPr>
      </w:pPr>
      <w:r>
        <w:rPr>
          <w:rFonts w:hint="eastAsia" w:ascii="宋体" w:hAnsi="宋体" w:cs="宋体"/>
          <w:color w:val="auto"/>
          <w:sz w:val="24"/>
          <w:highlight w:val="none"/>
        </w:rPr>
        <w:t>法定代表人或其授权代理人（签名）：</w:t>
      </w:r>
    </w:p>
    <w:p w14:paraId="58326A87">
      <w:pPr>
        <w:snapToGrid w:val="0"/>
        <w:spacing w:line="520" w:lineRule="exact"/>
        <w:ind w:firstLine="240" w:firstLineChars="100"/>
        <w:rPr>
          <w:rFonts w:ascii="宋体" w:hAnsi="宋体" w:cs="宋体"/>
          <w:color w:val="auto"/>
          <w:sz w:val="24"/>
          <w:highlight w:val="none"/>
        </w:rPr>
      </w:pPr>
      <w:r>
        <w:rPr>
          <w:rFonts w:hint="eastAsia" w:ascii="宋体" w:hAnsi="宋体" w:cs="宋体"/>
          <w:color w:val="auto"/>
          <w:sz w:val="24"/>
          <w:highlight w:val="none"/>
        </w:rPr>
        <w:t>日期：       年   月   日</w:t>
      </w:r>
    </w:p>
    <w:p w14:paraId="2B2C168E">
      <w:pPr>
        <w:tabs>
          <w:tab w:val="left" w:pos="6237"/>
        </w:tabs>
        <w:snapToGrid w:val="0"/>
        <w:spacing w:line="520" w:lineRule="exact"/>
        <w:ind w:firstLine="240" w:firstLineChars="100"/>
        <w:rPr>
          <w:rFonts w:ascii="宋体" w:hAnsi="宋体" w:cs="宋体"/>
          <w:color w:val="auto"/>
          <w:sz w:val="24"/>
          <w:highlight w:val="none"/>
        </w:rPr>
      </w:pPr>
    </w:p>
    <w:p w14:paraId="2A9BAC57">
      <w:pPr>
        <w:pStyle w:val="2"/>
      </w:pPr>
    </w:p>
    <w:p w14:paraId="2D217C03">
      <w:pPr>
        <w:tabs>
          <w:tab w:val="left" w:pos="6237"/>
        </w:tabs>
        <w:snapToGrid w:val="0"/>
        <w:spacing w:line="520" w:lineRule="exact"/>
        <w:rPr>
          <w:rFonts w:ascii="宋体" w:hAnsi="宋体" w:cs="宋体"/>
          <w:color w:val="auto"/>
          <w:sz w:val="24"/>
          <w:highlight w:val="none"/>
        </w:rPr>
      </w:pPr>
    </w:p>
    <w:p w14:paraId="11B3A9C0">
      <w:pPr>
        <w:snapToGrid w:val="0"/>
        <w:spacing w:line="520" w:lineRule="exact"/>
        <w:ind w:firstLine="240" w:firstLineChars="100"/>
        <w:rPr>
          <w:rFonts w:ascii="宋体" w:hAnsi="宋体" w:cs="宋体"/>
          <w:color w:val="auto"/>
          <w:sz w:val="24"/>
          <w:highlight w:val="none"/>
        </w:rPr>
      </w:pPr>
      <w:r>
        <w:rPr>
          <w:rFonts w:hint="eastAsia" w:ascii="宋体" w:hAnsi="宋体" w:cs="宋体"/>
          <w:color w:val="auto"/>
          <w:sz w:val="24"/>
          <w:highlight w:val="none"/>
        </w:rPr>
        <w:t>乙方（盖章）： XX</w:t>
      </w:r>
    </w:p>
    <w:p w14:paraId="64D7B434">
      <w:pPr>
        <w:tabs>
          <w:tab w:val="left" w:pos="6237"/>
        </w:tabs>
        <w:snapToGrid w:val="0"/>
        <w:spacing w:line="520" w:lineRule="exact"/>
        <w:ind w:firstLine="240" w:firstLineChars="100"/>
        <w:rPr>
          <w:rFonts w:ascii="宋体" w:hAnsi="宋体" w:cs="宋体"/>
          <w:color w:val="auto"/>
          <w:sz w:val="24"/>
          <w:highlight w:val="none"/>
        </w:rPr>
      </w:pPr>
      <w:r>
        <w:rPr>
          <w:rFonts w:hint="eastAsia" w:ascii="宋体" w:hAnsi="宋体" w:cs="宋体"/>
          <w:color w:val="auto"/>
          <w:sz w:val="24"/>
          <w:highlight w:val="none"/>
        </w:rPr>
        <w:t>法定代表人（负责人）或其授权代理人（签名）：</w:t>
      </w:r>
    </w:p>
    <w:p w14:paraId="79F5DDA6">
      <w:pPr>
        <w:snapToGrid w:val="0"/>
        <w:spacing w:line="520" w:lineRule="exact"/>
        <w:ind w:firstLine="240" w:firstLineChars="100"/>
        <w:rPr>
          <w:rFonts w:hint="eastAsia" w:ascii="宋体" w:hAnsi="宋体" w:cs="宋体"/>
          <w:color w:val="auto"/>
          <w:sz w:val="24"/>
          <w:highlight w:val="none"/>
        </w:rPr>
        <w:sectPr>
          <w:headerReference r:id="rId5" w:type="default"/>
          <w:footerReference r:id="rId6" w:type="default"/>
          <w:footnotePr>
            <w:numFmt w:val="decimalEnclosedCircleChinese"/>
            <w:numRestart w:val="eachPage"/>
          </w:footnotePr>
          <w:pgSz w:w="12240" w:h="15840"/>
          <w:pgMar w:top="1417" w:right="1417" w:bottom="1417" w:left="1417" w:header="720" w:footer="720" w:gutter="0"/>
          <w:cols w:space="720" w:num="1"/>
          <w:docGrid w:linePitch="312" w:charSpace="0"/>
        </w:sectPr>
      </w:pPr>
      <w:r>
        <w:rPr>
          <w:rFonts w:hint="eastAsia" w:ascii="宋体" w:hAnsi="宋体" w:cs="宋体"/>
          <w:color w:val="auto"/>
          <w:sz w:val="24"/>
          <w:highlight w:val="none"/>
        </w:rPr>
        <w:t>日期：       年   月   日</w:t>
      </w:r>
    </w:p>
    <w:bookmarkEnd w:id="122"/>
    <w:bookmarkEnd w:id="123"/>
    <w:p w14:paraId="31FCEE54">
      <w:pPr>
        <w:rPr>
          <w:rFonts w:ascii="Times New Roman" w:hAnsi="Times New Roman" w:cs="Times New Roman"/>
          <w:color w:val="auto"/>
          <w:highlight w:val="none"/>
        </w:rPr>
      </w:pPr>
    </w:p>
    <w:p w14:paraId="37420E59">
      <w:pPr>
        <w:pStyle w:val="2"/>
        <w:rPr>
          <w:color w:val="auto"/>
          <w:highlight w:val="none"/>
        </w:rPr>
      </w:pPr>
    </w:p>
    <w:p w14:paraId="5D31ACAE">
      <w:pPr>
        <w:rPr>
          <w:rFonts w:ascii="Times New Roman" w:hAnsi="Times New Roman" w:cs="Times New Roman"/>
          <w:color w:val="auto"/>
          <w:highlight w:val="none"/>
        </w:rPr>
      </w:pPr>
    </w:p>
    <w:p w14:paraId="1CA2CDF2">
      <w:pPr>
        <w:pStyle w:val="6"/>
        <w:numPr>
          <w:ilvl w:val="0"/>
          <w:numId w:val="0"/>
        </w:numPr>
        <w:spacing w:before="240" w:after="240"/>
        <w:ind w:left="402"/>
        <w:rPr>
          <w:rFonts w:ascii="Times New Roman" w:hAnsi="Times New Roman" w:eastAsia="宋体" w:cs="Times New Roman"/>
          <w:color w:val="auto"/>
          <w:highlight w:val="none"/>
        </w:rPr>
      </w:pPr>
    </w:p>
    <w:p w14:paraId="79CF7FED">
      <w:pPr>
        <w:pStyle w:val="6"/>
        <w:numPr>
          <w:ilvl w:val="0"/>
          <w:numId w:val="0"/>
        </w:numPr>
        <w:spacing w:before="240" w:after="240"/>
        <w:ind w:left="402"/>
        <w:rPr>
          <w:rFonts w:ascii="Times New Roman" w:hAnsi="Times New Roman" w:eastAsia="宋体" w:cs="Times New Roman"/>
          <w:color w:val="auto"/>
          <w:highlight w:val="none"/>
        </w:rPr>
      </w:pPr>
    </w:p>
    <w:p w14:paraId="2AD688D9">
      <w:pPr>
        <w:pStyle w:val="6"/>
        <w:numPr>
          <w:ilvl w:val="0"/>
          <w:numId w:val="0"/>
        </w:numPr>
        <w:spacing w:before="240" w:after="240"/>
        <w:ind w:left="402"/>
        <w:rPr>
          <w:rFonts w:ascii="Times New Roman" w:hAnsi="Times New Roman" w:eastAsia="宋体" w:cs="Times New Roman"/>
          <w:color w:val="auto"/>
          <w:highlight w:val="none"/>
        </w:rPr>
      </w:pPr>
    </w:p>
    <w:p w14:paraId="1944D8EA">
      <w:pPr>
        <w:pStyle w:val="6"/>
        <w:numPr>
          <w:ilvl w:val="0"/>
          <w:numId w:val="0"/>
        </w:numPr>
        <w:spacing w:before="240" w:after="240"/>
        <w:ind w:left="402"/>
        <w:rPr>
          <w:rFonts w:ascii="Times New Roman" w:hAnsi="Times New Roman" w:eastAsia="宋体" w:cs="Times New Roman"/>
          <w:color w:val="auto"/>
          <w:highlight w:val="none"/>
        </w:rPr>
      </w:pPr>
    </w:p>
    <w:p w14:paraId="75C74F55">
      <w:pPr>
        <w:pStyle w:val="6"/>
        <w:numPr>
          <w:ilvl w:val="0"/>
          <w:numId w:val="0"/>
        </w:numPr>
        <w:spacing w:before="240" w:after="240"/>
        <w:ind w:left="402"/>
        <w:rPr>
          <w:rFonts w:ascii="Times New Roman" w:hAnsi="Times New Roman" w:eastAsia="宋体" w:cs="Times New Roman"/>
          <w:color w:val="auto"/>
          <w:highlight w:val="none"/>
        </w:rPr>
      </w:pPr>
      <w:bookmarkStart w:id="124" w:name="_Toc3007"/>
      <w:r>
        <w:rPr>
          <w:rFonts w:hint="eastAsia" w:ascii="Times New Roman" w:hAnsi="Times New Roman" w:eastAsia="宋体" w:cs="Times New Roman"/>
          <w:color w:val="auto"/>
          <w:highlight w:val="none"/>
        </w:rPr>
        <w:t xml:space="preserve">第五章 </w:t>
      </w:r>
      <w:r>
        <w:rPr>
          <w:rFonts w:ascii="Times New Roman" w:hAnsi="Times New Roman" w:eastAsia="宋体" w:cs="Times New Roman"/>
          <w:color w:val="auto"/>
          <w:highlight w:val="none"/>
        </w:rPr>
        <w:t>响应文件格式</w:t>
      </w:r>
      <w:bookmarkEnd w:id="124"/>
    </w:p>
    <w:p w14:paraId="478DB10F">
      <w:pPr>
        <w:rPr>
          <w:rFonts w:ascii="Times New Roman" w:hAnsi="Times New Roman" w:cs="Times New Roman"/>
          <w:color w:val="auto"/>
          <w:highlight w:val="none"/>
        </w:rPr>
      </w:pPr>
      <w:r>
        <w:rPr>
          <w:rFonts w:ascii="Times New Roman" w:hAnsi="Times New Roman" w:cs="Times New Roman"/>
          <w:color w:val="auto"/>
          <w:highlight w:val="none"/>
        </w:rPr>
        <w:br w:type="page"/>
      </w:r>
    </w:p>
    <w:p w14:paraId="3EBDC5BD">
      <w:pPr>
        <w:spacing w:line="440" w:lineRule="exact"/>
        <w:rPr>
          <w:rFonts w:ascii="Times New Roman" w:hAnsi="Times New Roman" w:eastAsia="黑体" w:cs="Times New Roman"/>
          <w:color w:val="auto"/>
          <w:sz w:val="20"/>
          <w:szCs w:val="20"/>
          <w:highlight w:val="none"/>
        </w:rPr>
      </w:pPr>
    </w:p>
    <w:p w14:paraId="3FE84E6E">
      <w:pPr>
        <w:spacing w:line="440" w:lineRule="exact"/>
        <w:jc w:val="center"/>
        <w:rPr>
          <w:rFonts w:hint="eastAsia" w:ascii="Times New Roman" w:hAnsi="Times New Roman" w:eastAsia="黑体" w:cs="Times New Roman"/>
          <w:color w:val="auto"/>
          <w:sz w:val="24"/>
          <w:highlight w:val="none"/>
          <w:lang w:val="en-US" w:eastAsia="zh-CN"/>
        </w:rPr>
      </w:pPr>
      <w:r>
        <w:rPr>
          <w:rFonts w:ascii="Times New Roman" w:hAnsi="Times New Roman" w:eastAsia="黑体" w:cs="Times New Roman"/>
          <w:color w:val="auto"/>
          <w:sz w:val="28"/>
          <w:szCs w:val="28"/>
          <w:highlight w:val="none"/>
          <w:u w:val="single"/>
        </w:rPr>
        <w:t xml:space="preserve">        </w:t>
      </w:r>
      <w:r>
        <w:rPr>
          <w:rFonts w:ascii="Times New Roman" w:hAnsi="Times New Roman" w:eastAsia="黑体" w:cs="Times New Roman"/>
          <w:color w:val="auto"/>
          <w:sz w:val="28"/>
          <w:szCs w:val="28"/>
          <w:highlight w:val="none"/>
        </w:rPr>
        <w:t>(项目名称)</w:t>
      </w:r>
    </w:p>
    <w:p w14:paraId="4BA65796">
      <w:pPr>
        <w:spacing w:line="440" w:lineRule="exact"/>
        <w:rPr>
          <w:rFonts w:ascii="Times New Roman" w:hAnsi="Times New Roman" w:eastAsia="黑体" w:cs="Times New Roman"/>
          <w:color w:val="auto"/>
          <w:sz w:val="20"/>
          <w:szCs w:val="20"/>
          <w:highlight w:val="none"/>
        </w:rPr>
      </w:pPr>
    </w:p>
    <w:p w14:paraId="5B125141">
      <w:pPr>
        <w:spacing w:line="440" w:lineRule="exact"/>
        <w:rPr>
          <w:rFonts w:ascii="Times New Roman" w:hAnsi="Times New Roman" w:eastAsia="黑体" w:cs="Times New Roman"/>
          <w:color w:val="auto"/>
          <w:sz w:val="40"/>
          <w:szCs w:val="40"/>
          <w:highlight w:val="none"/>
        </w:rPr>
      </w:pPr>
    </w:p>
    <w:p w14:paraId="5D90924F">
      <w:pPr>
        <w:spacing w:line="440" w:lineRule="exact"/>
        <w:jc w:val="center"/>
        <w:rPr>
          <w:rFonts w:ascii="Times New Roman" w:hAnsi="Times New Roman" w:eastAsia="黑体" w:cs="Times New Roman"/>
          <w:color w:val="auto"/>
          <w:sz w:val="40"/>
          <w:szCs w:val="40"/>
          <w:highlight w:val="none"/>
        </w:rPr>
      </w:pPr>
    </w:p>
    <w:p w14:paraId="06904856">
      <w:pPr>
        <w:spacing w:line="440" w:lineRule="exact"/>
        <w:jc w:val="center"/>
        <w:rPr>
          <w:rFonts w:ascii="Times New Roman" w:hAnsi="Times New Roman" w:eastAsia="黑体" w:cs="Times New Roman"/>
          <w:color w:val="auto"/>
          <w:sz w:val="40"/>
          <w:szCs w:val="40"/>
          <w:highlight w:val="none"/>
        </w:rPr>
      </w:pPr>
    </w:p>
    <w:p w14:paraId="7513B41F">
      <w:pPr>
        <w:spacing w:line="440" w:lineRule="exact"/>
        <w:jc w:val="center"/>
        <w:rPr>
          <w:rFonts w:ascii="Times New Roman" w:hAnsi="Times New Roman" w:eastAsia="黑体" w:cs="Times New Roman"/>
          <w:color w:val="auto"/>
          <w:sz w:val="40"/>
          <w:szCs w:val="40"/>
          <w:highlight w:val="none"/>
        </w:rPr>
      </w:pPr>
    </w:p>
    <w:p w14:paraId="40A5AD5D">
      <w:pPr>
        <w:jc w:val="center"/>
        <w:outlineLvl w:val="0"/>
        <w:rPr>
          <w:rFonts w:ascii="Times New Roman" w:hAnsi="Times New Roman" w:eastAsia="黑体" w:cs="Times New Roman"/>
          <w:color w:val="auto"/>
          <w:sz w:val="50"/>
          <w:szCs w:val="50"/>
          <w:highlight w:val="none"/>
        </w:rPr>
      </w:pPr>
      <w:bookmarkStart w:id="125" w:name="_Toc16672"/>
      <w:bookmarkStart w:id="126" w:name="_Toc27552_WPSOffice_Level1"/>
      <w:bookmarkStart w:id="127" w:name="_Toc1914_WPSOffice_Level1"/>
      <w:bookmarkStart w:id="128" w:name="_Toc17394_WPSOffice_Level1"/>
      <w:bookmarkStart w:id="129" w:name="_Toc14496_WPSOffice_Level1"/>
      <w:r>
        <w:rPr>
          <w:rFonts w:ascii="Times New Roman" w:hAnsi="Times New Roman" w:eastAsia="黑体" w:cs="Times New Roman"/>
          <w:color w:val="auto"/>
          <w:sz w:val="50"/>
          <w:szCs w:val="50"/>
          <w:highlight w:val="none"/>
        </w:rPr>
        <w:t>响  应  文  件</w:t>
      </w:r>
      <w:bookmarkEnd w:id="125"/>
      <w:bookmarkEnd w:id="126"/>
      <w:bookmarkEnd w:id="127"/>
      <w:bookmarkEnd w:id="128"/>
      <w:bookmarkEnd w:id="129"/>
    </w:p>
    <w:p w14:paraId="72FC7CF5">
      <w:pPr>
        <w:spacing w:line="440" w:lineRule="exact"/>
        <w:rPr>
          <w:rFonts w:ascii="Times New Roman" w:hAnsi="Times New Roman" w:eastAsia="黑体" w:cs="Times New Roman"/>
          <w:color w:val="auto"/>
          <w:sz w:val="20"/>
          <w:szCs w:val="20"/>
          <w:highlight w:val="none"/>
        </w:rPr>
      </w:pPr>
    </w:p>
    <w:p w14:paraId="0E9998B9">
      <w:pPr>
        <w:spacing w:line="440" w:lineRule="exact"/>
        <w:rPr>
          <w:rFonts w:ascii="Times New Roman" w:hAnsi="Times New Roman" w:eastAsia="黑体" w:cs="Times New Roman"/>
          <w:color w:val="auto"/>
          <w:sz w:val="20"/>
          <w:szCs w:val="20"/>
          <w:highlight w:val="none"/>
        </w:rPr>
      </w:pPr>
    </w:p>
    <w:p w14:paraId="01375629">
      <w:pPr>
        <w:spacing w:line="440" w:lineRule="exact"/>
        <w:rPr>
          <w:rFonts w:ascii="Times New Roman" w:hAnsi="Times New Roman" w:eastAsia="黑体" w:cs="Times New Roman"/>
          <w:color w:val="auto"/>
          <w:sz w:val="20"/>
          <w:szCs w:val="20"/>
          <w:highlight w:val="none"/>
        </w:rPr>
      </w:pPr>
    </w:p>
    <w:p w14:paraId="0B8437D1">
      <w:pPr>
        <w:spacing w:line="440" w:lineRule="exact"/>
        <w:rPr>
          <w:rFonts w:ascii="Times New Roman" w:hAnsi="Times New Roman" w:eastAsia="黑体" w:cs="Times New Roman"/>
          <w:color w:val="auto"/>
          <w:sz w:val="20"/>
          <w:szCs w:val="20"/>
          <w:highlight w:val="none"/>
        </w:rPr>
      </w:pPr>
    </w:p>
    <w:p w14:paraId="597CBAA9">
      <w:pPr>
        <w:spacing w:line="440" w:lineRule="exact"/>
        <w:rPr>
          <w:rFonts w:ascii="Times New Roman" w:hAnsi="Times New Roman" w:eastAsia="黑体" w:cs="Times New Roman"/>
          <w:color w:val="auto"/>
          <w:sz w:val="20"/>
          <w:szCs w:val="20"/>
          <w:highlight w:val="none"/>
        </w:rPr>
      </w:pPr>
    </w:p>
    <w:p w14:paraId="5C321E3D">
      <w:pPr>
        <w:spacing w:line="440" w:lineRule="exact"/>
        <w:rPr>
          <w:rFonts w:ascii="Times New Roman" w:hAnsi="Times New Roman" w:eastAsia="黑体" w:cs="Times New Roman"/>
          <w:color w:val="auto"/>
          <w:sz w:val="20"/>
          <w:szCs w:val="20"/>
          <w:highlight w:val="none"/>
        </w:rPr>
      </w:pPr>
    </w:p>
    <w:p w14:paraId="4F5560FC">
      <w:pPr>
        <w:spacing w:line="440" w:lineRule="exact"/>
        <w:rPr>
          <w:rFonts w:ascii="Times New Roman" w:hAnsi="Times New Roman" w:eastAsia="黑体" w:cs="Times New Roman"/>
          <w:color w:val="auto"/>
          <w:sz w:val="20"/>
          <w:szCs w:val="20"/>
          <w:highlight w:val="none"/>
        </w:rPr>
      </w:pPr>
    </w:p>
    <w:p w14:paraId="4CB84164">
      <w:pPr>
        <w:spacing w:line="440" w:lineRule="exact"/>
        <w:rPr>
          <w:rFonts w:ascii="Times New Roman" w:hAnsi="Times New Roman" w:eastAsia="黑体" w:cs="Times New Roman"/>
          <w:color w:val="auto"/>
          <w:sz w:val="20"/>
          <w:szCs w:val="20"/>
          <w:highlight w:val="none"/>
        </w:rPr>
      </w:pPr>
    </w:p>
    <w:p w14:paraId="0EA14EAF">
      <w:pPr>
        <w:spacing w:line="440" w:lineRule="exact"/>
        <w:rPr>
          <w:rFonts w:ascii="Times New Roman" w:hAnsi="Times New Roman" w:eastAsia="黑体" w:cs="Times New Roman"/>
          <w:color w:val="auto"/>
          <w:sz w:val="20"/>
          <w:szCs w:val="20"/>
          <w:highlight w:val="none"/>
        </w:rPr>
      </w:pPr>
    </w:p>
    <w:p w14:paraId="5895ABC7">
      <w:pPr>
        <w:spacing w:line="440" w:lineRule="exact"/>
        <w:rPr>
          <w:rFonts w:ascii="Times New Roman" w:hAnsi="Times New Roman" w:eastAsia="黑体" w:cs="Times New Roman"/>
          <w:color w:val="auto"/>
          <w:sz w:val="20"/>
          <w:szCs w:val="20"/>
          <w:highlight w:val="none"/>
        </w:rPr>
      </w:pPr>
    </w:p>
    <w:p w14:paraId="51E99F74">
      <w:pPr>
        <w:spacing w:line="440" w:lineRule="exact"/>
        <w:rPr>
          <w:rFonts w:ascii="Times New Roman" w:hAnsi="Times New Roman" w:eastAsia="黑体" w:cs="Times New Roman"/>
          <w:color w:val="auto"/>
          <w:sz w:val="20"/>
          <w:szCs w:val="20"/>
          <w:highlight w:val="none"/>
        </w:rPr>
      </w:pPr>
    </w:p>
    <w:p w14:paraId="59BC4343">
      <w:pPr>
        <w:spacing w:line="440" w:lineRule="exact"/>
        <w:rPr>
          <w:rFonts w:ascii="Times New Roman" w:hAnsi="Times New Roman" w:eastAsia="黑体" w:cs="Times New Roman"/>
          <w:color w:val="auto"/>
          <w:sz w:val="20"/>
          <w:szCs w:val="20"/>
          <w:highlight w:val="none"/>
        </w:rPr>
      </w:pPr>
    </w:p>
    <w:p w14:paraId="545666A2">
      <w:pPr>
        <w:spacing w:line="440" w:lineRule="exact"/>
        <w:jc w:val="center"/>
        <w:rPr>
          <w:rFonts w:ascii="Times New Roman" w:hAnsi="Times New Roman" w:eastAsia="黑体" w:cs="Times New Roman"/>
          <w:color w:val="auto"/>
          <w:sz w:val="28"/>
          <w:szCs w:val="28"/>
          <w:highlight w:val="none"/>
        </w:rPr>
      </w:pPr>
      <w:bookmarkStart w:id="130" w:name="_Toc5520_WPSOffice_Level2"/>
      <w:bookmarkStart w:id="131" w:name="_Toc25232_WPSOffice_Level2"/>
      <w:r>
        <w:rPr>
          <w:rFonts w:ascii="Times New Roman" w:hAnsi="Times New Roman" w:eastAsia="黑体" w:cs="Times New Roman"/>
          <w:color w:val="auto"/>
          <w:sz w:val="28"/>
          <w:szCs w:val="28"/>
          <w:highlight w:val="none"/>
        </w:rPr>
        <w:t>供应商：</w:t>
      </w:r>
      <w:r>
        <w:rPr>
          <w:rFonts w:ascii="Times New Roman" w:hAnsi="Times New Roman" w:eastAsia="黑体" w:cs="Times New Roman"/>
          <w:color w:val="auto"/>
          <w:sz w:val="28"/>
          <w:szCs w:val="28"/>
          <w:highlight w:val="none"/>
          <w:u w:val="single"/>
        </w:rPr>
        <w:t xml:space="preserve">            (全称、盖单位章)</w:t>
      </w:r>
      <w:bookmarkEnd w:id="130"/>
      <w:bookmarkEnd w:id="131"/>
    </w:p>
    <w:p w14:paraId="29E9CEED">
      <w:pPr>
        <w:spacing w:line="440" w:lineRule="exact"/>
        <w:ind w:firstLine="2158" w:firstLineChars="771"/>
        <w:rPr>
          <w:rFonts w:ascii="Times New Roman" w:hAnsi="Times New Roman" w:eastAsia="黑体" w:cs="Times New Roman"/>
          <w:color w:val="auto"/>
          <w:sz w:val="28"/>
          <w:szCs w:val="28"/>
          <w:highlight w:val="none"/>
        </w:rPr>
      </w:pPr>
    </w:p>
    <w:p w14:paraId="4A8A4282">
      <w:pPr>
        <w:spacing w:line="440" w:lineRule="exact"/>
        <w:jc w:val="center"/>
        <w:rPr>
          <w:rFonts w:ascii="Times New Roman" w:hAnsi="Times New Roman" w:eastAsia="黑体" w:cs="Times New Roman"/>
          <w:color w:val="auto"/>
          <w:sz w:val="28"/>
          <w:szCs w:val="28"/>
          <w:highlight w:val="none"/>
        </w:rPr>
      </w:pPr>
      <w:bookmarkStart w:id="132" w:name="_Toc20076_WPSOffice_Level2"/>
      <w:bookmarkStart w:id="133" w:name="_Toc31577_WPSOffice_Level2"/>
      <w:r>
        <w:rPr>
          <w:rFonts w:ascii="Times New Roman" w:hAnsi="Times New Roman" w:eastAsia="黑体" w:cs="Times New Roman"/>
          <w:color w:val="auto"/>
          <w:sz w:val="28"/>
          <w:szCs w:val="28"/>
          <w:highlight w:val="none"/>
        </w:rPr>
        <w:t>年月日</w:t>
      </w:r>
      <w:bookmarkEnd w:id="132"/>
      <w:bookmarkEnd w:id="133"/>
    </w:p>
    <w:p w14:paraId="38A7DCA4">
      <w:pPr>
        <w:spacing w:line="440" w:lineRule="exact"/>
        <w:rPr>
          <w:rFonts w:ascii="Times New Roman" w:hAnsi="Times New Roman" w:eastAsia="黑体" w:cs="Times New Roman"/>
          <w:color w:val="auto"/>
          <w:sz w:val="28"/>
          <w:szCs w:val="28"/>
          <w:highlight w:val="none"/>
        </w:rPr>
      </w:pPr>
    </w:p>
    <w:p w14:paraId="324E2AA6">
      <w:pPr>
        <w:tabs>
          <w:tab w:val="left" w:pos="3060"/>
        </w:tabs>
        <w:topLinePunct/>
        <w:spacing w:line="400" w:lineRule="atLeast"/>
        <w:outlineLvl w:val="0"/>
        <w:rPr>
          <w:rFonts w:ascii="黑体" w:hAnsi="黑体" w:eastAsia="黑体"/>
          <w:color w:val="auto"/>
          <w:sz w:val="28"/>
          <w:szCs w:val="28"/>
          <w:highlight w:val="none"/>
        </w:rPr>
      </w:pPr>
      <w:r>
        <w:rPr>
          <w:rFonts w:ascii="Times New Roman" w:hAnsi="Times New Roman" w:eastAsia="黑体" w:cs="Times New Roman"/>
          <w:color w:val="auto"/>
          <w:sz w:val="20"/>
          <w:szCs w:val="20"/>
          <w:highlight w:val="none"/>
        </w:rPr>
        <w:br w:type="page"/>
      </w:r>
      <w:bookmarkStart w:id="134" w:name="_Toc1071"/>
      <w:bookmarkStart w:id="135" w:name="_Toc447188029"/>
      <w:bookmarkStart w:id="136" w:name="_Toc197934561"/>
      <w:bookmarkStart w:id="137" w:name="_Toc521537232"/>
      <w:r>
        <w:rPr>
          <w:rFonts w:hint="eastAsia" w:ascii="黑体" w:hAnsi="黑体" w:eastAsia="黑体"/>
          <w:color w:val="auto"/>
          <w:sz w:val="28"/>
          <w:szCs w:val="28"/>
          <w:highlight w:val="none"/>
        </w:rPr>
        <w:t>响应文件信息摘录表</w:t>
      </w:r>
      <w:bookmarkEnd w:id="134"/>
    </w:p>
    <w:p w14:paraId="642414D1">
      <w:pPr>
        <w:tabs>
          <w:tab w:val="left" w:pos="3060"/>
        </w:tabs>
        <w:topLinePunct/>
        <w:spacing w:line="400" w:lineRule="atLeast"/>
        <w:jc w:val="left"/>
        <w:rPr>
          <w:rFonts w:ascii="宋体" w:hAnsi="宋体" w:cs="宋体"/>
          <w:color w:val="auto"/>
          <w:sz w:val="24"/>
          <w:highlight w:val="none"/>
        </w:rPr>
      </w:pPr>
      <w:r>
        <w:rPr>
          <w:rFonts w:hint="eastAsia" w:ascii="宋体" w:hAnsi="宋体" w:cs="宋体"/>
          <w:color w:val="auto"/>
          <w:sz w:val="24"/>
          <w:highlight w:val="none"/>
        </w:rPr>
        <w:t>供应商名称：</w:t>
      </w:r>
    </w:p>
    <w:p w14:paraId="2712AB9A">
      <w:pPr>
        <w:jc w:val="left"/>
        <w:rPr>
          <w:rFonts w:ascii="仿宋_GB2312" w:hAnsi="Tahoma" w:eastAsia="仿宋_GB2312"/>
          <w:color w:val="auto"/>
          <w:sz w:val="22"/>
          <w:szCs w:val="21"/>
          <w:highlight w:val="none"/>
        </w:rPr>
      </w:pPr>
    </w:p>
    <w:tbl>
      <w:tblPr>
        <w:tblStyle w:val="25"/>
        <w:tblW w:w="9611"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174"/>
        <w:gridCol w:w="1366"/>
        <w:gridCol w:w="945"/>
        <w:gridCol w:w="617"/>
        <w:gridCol w:w="3836"/>
        <w:gridCol w:w="1673"/>
      </w:tblGrid>
      <w:tr w14:paraId="65156A4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2" w:hRule="atLeast"/>
          <w:tblHeader/>
          <w:jc w:val="center"/>
        </w:trPr>
        <w:tc>
          <w:tcPr>
            <w:tcW w:w="1174" w:type="dxa"/>
            <w:vAlign w:val="center"/>
          </w:tcPr>
          <w:p w14:paraId="348E978F">
            <w:pPr>
              <w:jc w:val="center"/>
              <w:rPr>
                <w:rFonts w:ascii="黑体" w:hAnsi="黑体" w:eastAsia="黑体"/>
                <w:color w:val="auto"/>
                <w:sz w:val="22"/>
                <w:szCs w:val="22"/>
                <w:highlight w:val="none"/>
              </w:rPr>
            </w:pPr>
            <w:bookmarkStart w:id="138" w:name="_Toc447188032"/>
            <w:bookmarkStart w:id="139" w:name="_Toc516969098"/>
            <w:bookmarkStart w:id="140" w:name="_Toc521537235"/>
            <w:bookmarkStart w:id="141" w:name="_Toc197934563"/>
            <w:r>
              <w:rPr>
                <w:rFonts w:hint="eastAsia" w:hAnsi="宋体"/>
                <w:color w:val="auto"/>
                <w:sz w:val="22"/>
                <w:szCs w:val="21"/>
                <w:highlight w:val="none"/>
              </w:rPr>
              <w:t>内</w:t>
            </w:r>
            <w:bookmarkEnd w:id="135"/>
            <w:bookmarkEnd w:id="136"/>
            <w:bookmarkEnd w:id="137"/>
            <w:r>
              <w:rPr>
                <w:rFonts w:hint="eastAsia" w:hAnsi="宋体"/>
                <w:color w:val="auto"/>
                <w:sz w:val="22"/>
                <w:szCs w:val="21"/>
                <w:highlight w:val="none"/>
              </w:rPr>
              <w:t>容</w:t>
            </w:r>
          </w:p>
        </w:tc>
        <w:tc>
          <w:tcPr>
            <w:tcW w:w="6764" w:type="dxa"/>
            <w:gridSpan w:val="4"/>
            <w:vAlign w:val="center"/>
          </w:tcPr>
          <w:p w14:paraId="5BF3AFA4">
            <w:pPr>
              <w:jc w:val="center"/>
              <w:rPr>
                <w:color w:val="auto"/>
                <w:sz w:val="22"/>
                <w:szCs w:val="22"/>
                <w:highlight w:val="none"/>
              </w:rPr>
            </w:pPr>
            <w:r>
              <w:rPr>
                <w:rFonts w:hint="eastAsia" w:hAnsi="宋体"/>
                <w:color w:val="auto"/>
                <w:sz w:val="22"/>
                <w:szCs w:val="21"/>
                <w:highlight w:val="none"/>
              </w:rPr>
              <w:t>详细信息</w:t>
            </w:r>
          </w:p>
        </w:tc>
        <w:tc>
          <w:tcPr>
            <w:tcW w:w="1673" w:type="dxa"/>
            <w:vAlign w:val="center"/>
          </w:tcPr>
          <w:p w14:paraId="16C7D0DF">
            <w:pPr>
              <w:jc w:val="center"/>
              <w:rPr>
                <w:rFonts w:hAnsi="宋体"/>
                <w:color w:val="auto"/>
                <w:sz w:val="22"/>
                <w:szCs w:val="21"/>
                <w:highlight w:val="none"/>
              </w:rPr>
            </w:pPr>
            <w:r>
              <w:rPr>
                <w:rFonts w:hint="eastAsia" w:hAnsi="宋体"/>
                <w:color w:val="auto"/>
                <w:sz w:val="22"/>
                <w:szCs w:val="21"/>
                <w:highlight w:val="none"/>
              </w:rPr>
              <w:t>页码</w:t>
            </w:r>
          </w:p>
        </w:tc>
      </w:tr>
      <w:tr w14:paraId="1901332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1174" w:type="dxa"/>
            <w:vMerge w:val="restart"/>
            <w:vAlign w:val="center"/>
          </w:tcPr>
          <w:p w14:paraId="32F52DA6">
            <w:pPr>
              <w:jc w:val="center"/>
              <w:rPr>
                <w:rFonts w:ascii="黑体" w:hAnsi="黑体" w:eastAsia="黑体"/>
                <w:color w:val="auto"/>
                <w:sz w:val="22"/>
                <w:szCs w:val="22"/>
                <w:highlight w:val="none"/>
              </w:rPr>
            </w:pPr>
            <w:r>
              <w:rPr>
                <w:rFonts w:hint="eastAsia" w:hAnsi="宋体"/>
                <w:color w:val="auto"/>
                <w:sz w:val="22"/>
                <w:szCs w:val="21"/>
                <w:highlight w:val="none"/>
              </w:rPr>
              <w:t>基础信息</w:t>
            </w:r>
          </w:p>
        </w:tc>
        <w:tc>
          <w:tcPr>
            <w:tcW w:w="2311" w:type="dxa"/>
            <w:gridSpan w:val="2"/>
            <w:vAlign w:val="center"/>
          </w:tcPr>
          <w:p w14:paraId="7CB80119">
            <w:pPr>
              <w:jc w:val="center"/>
              <w:rPr>
                <w:rFonts w:hAnsi="宋体"/>
                <w:color w:val="auto"/>
                <w:szCs w:val="21"/>
                <w:highlight w:val="none"/>
              </w:rPr>
            </w:pPr>
            <w:r>
              <w:rPr>
                <w:rFonts w:hint="eastAsia" w:hAnsi="宋体"/>
                <w:color w:val="auto"/>
                <w:sz w:val="22"/>
                <w:szCs w:val="21"/>
                <w:highlight w:val="none"/>
              </w:rPr>
              <w:t>注册地址</w:t>
            </w:r>
          </w:p>
        </w:tc>
        <w:tc>
          <w:tcPr>
            <w:tcW w:w="4453" w:type="dxa"/>
            <w:gridSpan w:val="2"/>
            <w:vAlign w:val="center"/>
          </w:tcPr>
          <w:p w14:paraId="67862FEE">
            <w:pPr>
              <w:jc w:val="left"/>
              <w:rPr>
                <w:rFonts w:hAnsi="宋体"/>
                <w:color w:val="auto"/>
                <w:szCs w:val="21"/>
                <w:highlight w:val="none"/>
              </w:rPr>
            </w:pPr>
          </w:p>
        </w:tc>
        <w:tc>
          <w:tcPr>
            <w:tcW w:w="1673" w:type="dxa"/>
            <w:vAlign w:val="center"/>
          </w:tcPr>
          <w:p w14:paraId="33FC4C98">
            <w:pPr>
              <w:jc w:val="left"/>
              <w:rPr>
                <w:rFonts w:hAnsi="宋体"/>
                <w:color w:val="auto"/>
                <w:szCs w:val="21"/>
                <w:highlight w:val="none"/>
              </w:rPr>
            </w:pPr>
          </w:p>
        </w:tc>
      </w:tr>
      <w:tr w14:paraId="5975312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1174" w:type="dxa"/>
            <w:vMerge w:val="continue"/>
            <w:vAlign w:val="center"/>
          </w:tcPr>
          <w:p w14:paraId="641ACF03">
            <w:pPr>
              <w:widowControl/>
              <w:jc w:val="left"/>
              <w:rPr>
                <w:rFonts w:ascii="黑体" w:hAnsi="黑体" w:eastAsia="黑体"/>
                <w:color w:val="auto"/>
                <w:sz w:val="22"/>
                <w:szCs w:val="22"/>
                <w:highlight w:val="none"/>
              </w:rPr>
            </w:pPr>
          </w:p>
        </w:tc>
        <w:tc>
          <w:tcPr>
            <w:tcW w:w="2311" w:type="dxa"/>
            <w:gridSpan w:val="2"/>
            <w:vAlign w:val="center"/>
          </w:tcPr>
          <w:p w14:paraId="0F8BE0AC">
            <w:pPr>
              <w:jc w:val="center"/>
              <w:rPr>
                <w:rFonts w:hAnsi="宋体"/>
                <w:color w:val="auto"/>
                <w:szCs w:val="21"/>
                <w:highlight w:val="none"/>
              </w:rPr>
            </w:pPr>
            <w:r>
              <w:rPr>
                <w:rFonts w:hint="eastAsia" w:hAnsi="宋体"/>
                <w:color w:val="auto"/>
                <w:sz w:val="22"/>
                <w:szCs w:val="21"/>
                <w:highlight w:val="none"/>
              </w:rPr>
              <w:t>法定代表人</w:t>
            </w:r>
          </w:p>
        </w:tc>
        <w:tc>
          <w:tcPr>
            <w:tcW w:w="4453" w:type="dxa"/>
            <w:gridSpan w:val="2"/>
            <w:vAlign w:val="center"/>
          </w:tcPr>
          <w:p w14:paraId="2A5E621E">
            <w:pPr>
              <w:jc w:val="left"/>
              <w:rPr>
                <w:rFonts w:hAnsi="宋体"/>
                <w:color w:val="auto"/>
                <w:szCs w:val="21"/>
                <w:highlight w:val="none"/>
              </w:rPr>
            </w:pPr>
            <w:r>
              <w:rPr>
                <w:rFonts w:hint="eastAsia" w:hAnsi="宋体"/>
                <w:color w:val="auto"/>
                <w:sz w:val="22"/>
                <w:szCs w:val="21"/>
                <w:highlight w:val="none"/>
              </w:rPr>
              <w:t>（姓名）</w:t>
            </w:r>
          </w:p>
        </w:tc>
        <w:tc>
          <w:tcPr>
            <w:tcW w:w="1673" w:type="dxa"/>
            <w:vAlign w:val="center"/>
          </w:tcPr>
          <w:p w14:paraId="1C79BD38">
            <w:pPr>
              <w:jc w:val="left"/>
              <w:rPr>
                <w:rFonts w:hAnsi="宋体"/>
                <w:color w:val="auto"/>
                <w:sz w:val="22"/>
                <w:szCs w:val="21"/>
                <w:highlight w:val="none"/>
              </w:rPr>
            </w:pPr>
          </w:p>
        </w:tc>
      </w:tr>
      <w:tr w14:paraId="4410FFD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1174" w:type="dxa"/>
            <w:vMerge w:val="continue"/>
            <w:vAlign w:val="center"/>
          </w:tcPr>
          <w:p w14:paraId="0C66D4B6">
            <w:pPr>
              <w:widowControl/>
              <w:jc w:val="left"/>
              <w:rPr>
                <w:rFonts w:ascii="黑体" w:hAnsi="黑体" w:eastAsia="黑体"/>
                <w:color w:val="auto"/>
                <w:sz w:val="22"/>
                <w:szCs w:val="22"/>
                <w:highlight w:val="none"/>
              </w:rPr>
            </w:pPr>
          </w:p>
        </w:tc>
        <w:tc>
          <w:tcPr>
            <w:tcW w:w="2311" w:type="dxa"/>
            <w:gridSpan w:val="2"/>
            <w:vAlign w:val="center"/>
          </w:tcPr>
          <w:p w14:paraId="0BE9C553">
            <w:pPr>
              <w:jc w:val="center"/>
              <w:rPr>
                <w:rFonts w:hAnsi="宋体"/>
                <w:color w:val="auto"/>
                <w:szCs w:val="21"/>
                <w:highlight w:val="none"/>
              </w:rPr>
            </w:pPr>
            <w:r>
              <w:rPr>
                <w:rFonts w:hint="eastAsia" w:hAnsi="宋体"/>
                <w:color w:val="auto"/>
                <w:sz w:val="22"/>
                <w:szCs w:val="21"/>
                <w:highlight w:val="none"/>
              </w:rPr>
              <w:t>注册资本</w:t>
            </w:r>
          </w:p>
        </w:tc>
        <w:tc>
          <w:tcPr>
            <w:tcW w:w="4453" w:type="dxa"/>
            <w:gridSpan w:val="2"/>
            <w:vAlign w:val="center"/>
          </w:tcPr>
          <w:p w14:paraId="17D853EF">
            <w:pPr>
              <w:jc w:val="left"/>
              <w:rPr>
                <w:rFonts w:hAnsi="宋体"/>
                <w:color w:val="auto"/>
                <w:szCs w:val="21"/>
                <w:highlight w:val="none"/>
              </w:rPr>
            </w:pPr>
          </w:p>
        </w:tc>
        <w:tc>
          <w:tcPr>
            <w:tcW w:w="1673" w:type="dxa"/>
            <w:vAlign w:val="center"/>
          </w:tcPr>
          <w:p w14:paraId="08F04B1B">
            <w:pPr>
              <w:jc w:val="left"/>
              <w:rPr>
                <w:rFonts w:hAnsi="宋体"/>
                <w:color w:val="auto"/>
                <w:szCs w:val="21"/>
                <w:highlight w:val="none"/>
              </w:rPr>
            </w:pPr>
          </w:p>
        </w:tc>
      </w:tr>
      <w:tr w14:paraId="480E0BB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1174" w:type="dxa"/>
            <w:vMerge w:val="continue"/>
            <w:vAlign w:val="center"/>
          </w:tcPr>
          <w:p w14:paraId="09D9C582">
            <w:pPr>
              <w:widowControl/>
              <w:jc w:val="left"/>
              <w:rPr>
                <w:rFonts w:ascii="黑体" w:hAnsi="黑体" w:eastAsia="黑体"/>
                <w:color w:val="auto"/>
                <w:sz w:val="22"/>
                <w:szCs w:val="22"/>
                <w:highlight w:val="none"/>
              </w:rPr>
            </w:pPr>
          </w:p>
        </w:tc>
        <w:tc>
          <w:tcPr>
            <w:tcW w:w="2311" w:type="dxa"/>
            <w:gridSpan w:val="2"/>
            <w:vAlign w:val="center"/>
          </w:tcPr>
          <w:p w14:paraId="255C0643">
            <w:pPr>
              <w:jc w:val="center"/>
              <w:rPr>
                <w:rFonts w:hAnsi="宋体"/>
                <w:color w:val="auto"/>
                <w:szCs w:val="21"/>
                <w:highlight w:val="none"/>
              </w:rPr>
            </w:pPr>
            <w:r>
              <w:rPr>
                <w:rFonts w:hint="eastAsia" w:hAnsi="宋体"/>
                <w:color w:val="auto"/>
                <w:sz w:val="22"/>
                <w:szCs w:val="21"/>
                <w:highlight w:val="none"/>
              </w:rPr>
              <w:t>企业性质/成立时间</w:t>
            </w:r>
          </w:p>
        </w:tc>
        <w:tc>
          <w:tcPr>
            <w:tcW w:w="4453" w:type="dxa"/>
            <w:gridSpan w:val="2"/>
            <w:vAlign w:val="center"/>
          </w:tcPr>
          <w:p w14:paraId="59DC9CCF">
            <w:pPr>
              <w:jc w:val="left"/>
              <w:rPr>
                <w:rFonts w:hAnsi="宋体"/>
                <w:color w:val="auto"/>
                <w:szCs w:val="21"/>
                <w:highlight w:val="none"/>
              </w:rPr>
            </w:pPr>
          </w:p>
        </w:tc>
        <w:tc>
          <w:tcPr>
            <w:tcW w:w="1673" w:type="dxa"/>
            <w:vAlign w:val="center"/>
          </w:tcPr>
          <w:p w14:paraId="74ECB2CD">
            <w:pPr>
              <w:jc w:val="left"/>
              <w:rPr>
                <w:rFonts w:hAnsi="宋体"/>
                <w:color w:val="auto"/>
                <w:szCs w:val="21"/>
                <w:highlight w:val="none"/>
              </w:rPr>
            </w:pPr>
          </w:p>
        </w:tc>
      </w:tr>
      <w:tr w14:paraId="546CFEC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1174" w:type="dxa"/>
            <w:vMerge w:val="continue"/>
            <w:vAlign w:val="center"/>
          </w:tcPr>
          <w:p w14:paraId="6C5F5C7F">
            <w:pPr>
              <w:widowControl/>
              <w:jc w:val="left"/>
              <w:rPr>
                <w:rFonts w:ascii="黑体" w:hAnsi="黑体" w:eastAsia="黑体"/>
                <w:color w:val="auto"/>
                <w:sz w:val="22"/>
                <w:szCs w:val="22"/>
                <w:highlight w:val="none"/>
              </w:rPr>
            </w:pPr>
          </w:p>
        </w:tc>
        <w:tc>
          <w:tcPr>
            <w:tcW w:w="2311" w:type="dxa"/>
            <w:gridSpan w:val="2"/>
            <w:vAlign w:val="center"/>
          </w:tcPr>
          <w:p w14:paraId="19097E67">
            <w:pPr>
              <w:jc w:val="center"/>
              <w:rPr>
                <w:rFonts w:hAnsi="宋体"/>
                <w:color w:val="auto"/>
                <w:szCs w:val="21"/>
                <w:highlight w:val="none"/>
              </w:rPr>
            </w:pPr>
            <w:r>
              <w:rPr>
                <w:rFonts w:hint="eastAsia" w:hAnsi="宋体"/>
                <w:color w:val="auto"/>
                <w:sz w:val="22"/>
                <w:szCs w:val="21"/>
                <w:highlight w:val="none"/>
              </w:rPr>
              <w:t>营业执照内容</w:t>
            </w:r>
          </w:p>
        </w:tc>
        <w:tc>
          <w:tcPr>
            <w:tcW w:w="4453" w:type="dxa"/>
            <w:gridSpan w:val="2"/>
            <w:vAlign w:val="center"/>
          </w:tcPr>
          <w:p w14:paraId="5302868F">
            <w:pPr>
              <w:jc w:val="left"/>
              <w:rPr>
                <w:rFonts w:hAnsi="宋体"/>
                <w:color w:val="auto"/>
                <w:szCs w:val="21"/>
                <w:highlight w:val="none"/>
              </w:rPr>
            </w:pPr>
          </w:p>
        </w:tc>
        <w:tc>
          <w:tcPr>
            <w:tcW w:w="1673" w:type="dxa"/>
            <w:vAlign w:val="center"/>
          </w:tcPr>
          <w:p w14:paraId="65C694BB">
            <w:pPr>
              <w:jc w:val="left"/>
              <w:rPr>
                <w:rFonts w:hAnsi="宋体"/>
                <w:color w:val="auto"/>
                <w:szCs w:val="21"/>
                <w:highlight w:val="none"/>
              </w:rPr>
            </w:pPr>
          </w:p>
        </w:tc>
      </w:tr>
      <w:tr w14:paraId="77EC017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1174" w:type="dxa"/>
            <w:vMerge w:val="continue"/>
            <w:vAlign w:val="center"/>
          </w:tcPr>
          <w:p w14:paraId="46E0AC35">
            <w:pPr>
              <w:widowControl/>
              <w:jc w:val="left"/>
              <w:rPr>
                <w:rFonts w:ascii="黑体" w:hAnsi="黑体" w:eastAsia="黑体"/>
                <w:color w:val="auto"/>
                <w:sz w:val="22"/>
                <w:szCs w:val="22"/>
                <w:highlight w:val="none"/>
              </w:rPr>
            </w:pPr>
          </w:p>
        </w:tc>
        <w:tc>
          <w:tcPr>
            <w:tcW w:w="2311" w:type="dxa"/>
            <w:gridSpan w:val="2"/>
            <w:vAlign w:val="center"/>
          </w:tcPr>
          <w:p w14:paraId="4E8C7B8A">
            <w:pPr>
              <w:jc w:val="center"/>
              <w:rPr>
                <w:rFonts w:hAnsi="宋体"/>
                <w:color w:val="auto"/>
                <w:szCs w:val="21"/>
                <w:highlight w:val="none"/>
              </w:rPr>
            </w:pPr>
            <w:r>
              <w:rPr>
                <w:rFonts w:hint="eastAsia" w:hAnsi="宋体"/>
                <w:color w:val="auto"/>
                <w:sz w:val="22"/>
                <w:szCs w:val="21"/>
                <w:highlight w:val="none"/>
              </w:rPr>
              <w:t>基本账户开户银行和账号</w:t>
            </w:r>
          </w:p>
        </w:tc>
        <w:tc>
          <w:tcPr>
            <w:tcW w:w="4453" w:type="dxa"/>
            <w:gridSpan w:val="2"/>
            <w:vAlign w:val="center"/>
          </w:tcPr>
          <w:p w14:paraId="0418ABC6">
            <w:pPr>
              <w:jc w:val="left"/>
              <w:rPr>
                <w:rFonts w:hAnsi="宋体"/>
                <w:color w:val="auto"/>
                <w:szCs w:val="21"/>
                <w:highlight w:val="none"/>
              </w:rPr>
            </w:pPr>
          </w:p>
        </w:tc>
        <w:tc>
          <w:tcPr>
            <w:tcW w:w="1673" w:type="dxa"/>
            <w:vAlign w:val="center"/>
          </w:tcPr>
          <w:p w14:paraId="3DB2C8BB">
            <w:pPr>
              <w:jc w:val="left"/>
              <w:rPr>
                <w:rFonts w:hAnsi="宋体"/>
                <w:color w:val="auto"/>
                <w:szCs w:val="21"/>
                <w:highlight w:val="none"/>
              </w:rPr>
            </w:pPr>
          </w:p>
        </w:tc>
      </w:tr>
      <w:tr w14:paraId="455DE42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61" w:hRule="atLeast"/>
          <w:jc w:val="center"/>
        </w:trPr>
        <w:tc>
          <w:tcPr>
            <w:tcW w:w="1174" w:type="dxa"/>
            <w:vMerge w:val="restart"/>
            <w:vAlign w:val="center"/>
          </w:tcPr>
          <w:p w14:paraId="26624985">
            <w:pPr>
              <w:jc w:val="center"/>
              <w:rPr>
                <w:rFonts w:ascii="黑体" w:hAnsi="黑体" w:eastAsia="黑体"/>
                <w:color w:val="auto"/>
                <w:sz w:val="22"/>
                <w:szCs w:val="22"/>
                <w:highlight w:val="none"/>
              </w:rPr>
            </w:pPr>
            <w:r>
              <w:rPr>
                <w:rFonts w:hint="eastAsia" w:ascii="黑体" w:hAnsi="黑体" w:eastAsia="黑体"/>
                <w:color w:val="auto"/>
                <w:szCs w:val="21"/>
                <w:highlight w:val="none"/>
              </w:rPr>
              <w:t>企业业绩</w:t>
            </w:r>
          </w:p>
        </w:tc>
        <w:tc>
          <w:tcPr>
            <w:tcW w:w="1366" w:type="dxa"/>
            <w:vAlign w:val="center"/>
          </w:tcPr>
          <w:p w14:paraId="1ADA31F9">
            <w:pPr>
              <w:jc w:val="center"/>
              <w:rPr>
                <w:color w:val="auto"/>
                <w:sz w:val="22"/>
                <w:szCs w:val="22"/>
                <w:highlight w:val="none"/>
              </w:rPr>
            </w:pPr>
            <w:r>
              <w:rPr>
                <w:rFonts w:hint="eastAsia"/>
                <w:color w:val="auto"/>
                <w:sz w:val="22"/>
                <w:szCs w:val="22"/>
                <w:highlight w:val="none"/>
              </w:rPr>
              <w:t>业绩一</w:t>
            </w:r>
          </w:p>
        </w:tc>
        <w:tc>
          <w:tcPr>
            <w:tcW w:w="5398" w:type="dxa"/>
            <w:gridSpan w:val="3"/>
            <w:vAlign w:val="center"/>
          </w:tcPr>
          <w:p w14:paraId="5CA73514">
            <w:pPr>
              <w:jc w:val="left"/>
              <w:rPr>
                <w:color w:val="auto"/>
                <w:sz w:val="22"/>
                <w:szCs w:val="22"/>
                <w:highlight w:val="none"/>
              </w:rPr>
            </w:pPr>
            <w:r>
              <w:rPr>
                <w:rFonts w:hint="eastAsia"/>
                <w:color w:val="auto"/>
                <w:sz w:val="22"/>
                <w:szCs w:val="22"/>
                <w:highlight w:val="none"/>
              </w:rPr>
              <w:t>业绩名称：</w:t>
            </w:r>
          </w:p>
          <w:p w14:paraId="4025D292">
            <w:pPr>
              <w:jc w:val="left"/>
              <w:rPr>
                <w:rFonts w:hAnsi="宋体"/>
                <w:color w:val="auto"/>
                <w:sz w:val="22"/>
                <w:szCs w:val="21"/>
                <w:highlight w:val="none"/>
              </w:rPr>
            </w:pPr>
            <w:r>
              <w:rPr>
                <w:rFonts w:hint="eastAsia" w:hAnsi="宋体"/>
                <w:color w:val="auto"/>
                <w:sz w:val="22"/>
                <w:szCs w:val="21"/>
                <w:highlight w:val="none"/>
              </w:rPr>
              <w:t>主要内容：</w:t>
            </w:r>
          </w:p>
          <w:p w14:paraId="7AD11704">
            <w:pPr>
              <w:jc w:val="left"/>
              <w:rPr>
                <w:color w:val="auto"/>
                <w:sz w:val="22"/>
                <w:szCs w:val="22"/>
                <w:highlight w:val="none"/>
              </w:rPr>
            </w:pPr>
            <w:r>
              <w:rPr>
                <w:rFonts w:hint="eastAsia"/>
                <w:color w:val="auto"/>
                <w:sz w:val="22"/>
                <w:szCs w:val="22"/>
                <w:highlight w:val="none"/>
              </w:rPr>
              <w:t>金额：</w:t>
            </w:r>
          </w:p>
          <w:p w14:paraId="4D7C62BB">
            <w:pPr>
              <w:rPr>
                <w:color w:val="auto"/>
                <w:sz w:val="22"/>
                <w:szCs w:val="22"/>
                <w:highlight w:val="none"/>
              </w:rPr>
            </w:pPr>
            <w:r>
              <w:rPr>
                <w:rFonts w:hint="eastAsia"/>
                <w:color w:val="auto"/>
                <w:sz w:val="22"/>
                <w:szCs w:val="22"/>
                <w:highlight w:val="none"/>
              </w:rPr>
              <w:t>时间：</w:t>
            </w:r>
          </w:p>
        </w:tc>
        <w:tc>
          <w:tcPr>
            <w:tcW w:w="1673" w:type="dxa"/>
            <w:vAlign w:val="center"/>
          </w:tcPr>
          <w:p w14:paraId="630653BC">
            <w:pPr>
              <w:rPr>
                <w:color w:val="auto"/>
                <w:sz w:val="22"/>
                <w:szCs w:val="22"/>
                <w:highlight w:val="none"/>
              </w:rPr>
            </w:pPr>
          </w:p>
        </w:tc>
      </w:tr>
      <w:tr w14:paraId="0E70C8C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61" w:hRule="atLeast"/>
          <w:jc w:val="center"/>
        </w:trPr>
        <w:tc>
          <w:tcPr>
            <w:tcW w:w="1174" w:type="dxa"/>
            <w:vMerge w:val="continue"/>
            <w:vAlign w:val="center"/>
          </w:tcPr>
          <w:p w14:paraId="5970C330">
            <w:pPr>
              <w:widowControl/>
              <w:jc w:val="left"/>
              <w:rPr>
                <w:rFonts w:ascii="黑体" w:hAnsi="黑体" w:eastAsia="黑体"/>
                <w:color w:val="auto"/>
                <w:sz w:val="22"/>
                <w:szCs w:val="22"/>
                <w:highlight w:val="none"/>
              </w:rPr>
            </w:pPr>
          </w:p>
        </w:tc>
        <w:tc>
          <w:tcPr>
            <w:tcW w:w="1366" w:type="dxa"/>
            <w:vAlign w:val="center"/>
          </w:tcPr>
          <w:p w14:paraId="3980FE04">
            <w:pPr>
              <w:jc w:val="center"/>
              <w:rPr>
                <w:color w:val="auto"/>
                <w:sz w:val="22"/>
                <w:szCs w:val="22"/>
                <w:highlight w:val="none"/>
              </w:rPr>
            </w:pPr>
            <w:r>
              <w:rPr>
                <w:rFonts w:hint="eastAsia"/>
                <w:color w:val="auto"/>
                <w:sz w:val="22"/>
                <w:szCs w:val="22"/>
                <w:highlight w:val="none"/>
              </w:rPr>
              <w:t>...</w:t>
            </w:r>
          </w:p>
        </w:tc>
        <w:tc>
          <w:tcPr>
            <w:tcW w:w="5398" w:type="dxa"/>
            <w:gridSpan w:val="3"/>
            <w:vAlign w:val="center"/>
          </w:tcPr>
          <w:p w14:paraId="613A9FE3">
            <w:pPr>
              <w:rPr>
                <w:color w:val="auto"/>
                <w:sz w:val="22"/>
                <w:szCs w:val="22"/>
                <w:highlight w:val="none"/>
              </w:rPr>
            </w:pPr>
          </w:p>
        </w:tc>
        <w:tc>
          <w:tcPr>
            <w:tcW w:w="1673" w:type="dxa"/>
            <w:vAlign w:val="center"/>
          </w:tcPr>
          <w:p w14:paraId="60B6B5FC">
            <w:pPr>
              <w:rPr>
                <w:color w:val="auto"/>
                <w:sz w:val="22"/>
                <w:szCs w:val="22"/>
                <w:highlight w:val="none"/>
              </w:rPr>
            </w:pPr>
          </w:p>
        </w:tc>
      </w:tr>
      <w:tr w14:paraId="7B69DBA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1174" w:type="dxa"/>
            <w:vMerge w:val="continue"/>
            <w:vAlign w:val="center"/>
          </w:tcPr>
          <w:p w14:paraId="0B473A7B">
            <w:pPr>
              <w:widowControl/>
              <w:jc w:val="left"/>
              <w:rPr>
                <w:rFonts w:ascii="黑体" w:hAnsi="黑体" w:eastAsia="黑体"/>
                <w:color w:val="auto"/>
                <w:sz w:val="22"/>
                <w:szCs w:val="22"/>
                <w:highlight w:val="none"/>
              </w:rPr>
            </w:pPr>
          </w:p>
        </w:tc>
        <w:tc>
          <w:tcPr>
            <w:tcW w:w="6764" w:type="dxa"/>
            <w:gridSpan w:val="4"/>
            <w:vAlign w:val="center"/>
          </w:tcPr>
          <w:p w14:paraId="16C0F26A">
            <w:pPr>
              <w:ind w:left="330" w:hanging="330" w:hangingChars="150"/>
              <w:rPr>
                <w:color w:val="auto"/>
                <w:sz w:val="22"/>
                <w:szCs w:val="22"/>
                <w:highlight w:val="none"/>
              </w:rPr>
            </w:pPr>
            <w:r>
              <w:rPr>
                <w:rFonts w:eastAsia="黑体"/>
                <w:color w:val="auto"/>
                <w:sz w:val="22"/>
                <w:szCs w:val="22"/>
                <w:highlight w:val="none"/>
              </w:rPr>
              <w:t>业绩自评分：分</w:t>
            </w:r>
          </w:p>
        </w:tc>
        <w:tc>
          <w:tcPr>
            <w:tcW w:w="1673" w:type="dxa"/>
            <w:vAlign w:val="center"/>
          </w:tcPr>
          <w:p w14:paraId="6BDEB22C">
            <w:pPr>
              <w:ind w:left="330" w:hanging="330" w:hangingChars="150"/>
              <w:rPr>
                <w:rFonts w:eastAsia="黑体"/>
                <w:color w:val="auto"/>
                <w:sz w:val="22"/>
                <w:szCs w:val="22"/>
                <w:highlight w:val="none"/>
              </w:rPr>
            </w:pPr>
          </w:p>
        </w:tc>
      </w:tr>
      <w:tr w14:paraId="2C5F39E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1174" w:type="dxa"/>
            <w:vMerge w:val="restart"/>
            <w:vAlign w:val="center"/>
          </w:tcPr>
          <w:p w14:paraId="71EAF1A3">
            <w:pPr>
              <w:widowControl/>
              <w:jc w:val="left"/>
              <w:rPr>
                <w:rFonts w:ascii="黑体" w:hAnsi="黑体" w:eastAsia="黑体"/>
                <w:color w:val="auto"/>
                <w:sz w:val="22"/>
                <w:szCs w:val="22"/>
                <w:highlight w:val="none"/>
              </w:rPr>
            </w:pPr>
            <w:r>
              <w:rPr>
                <w:rFonts w:hint="eastAsia" w:ascii="黑体" w:hAnsi="黑体" w:eastAsia="黑体"/>
                <w:color w:val="auto"/>
                <w:sz w:val="22"/>
                <w:szCs w:val="22"/>
                <w:highlight w:val="none"/>
              </w:rPr>
              <w:t>项目负责人业绩</w:t>
            </w:r>
          </w:p>
        </w:tc>
        <w:tc>
          <w:tcPr>
            <w:tcW w:w="1366" w:type="dxa"/>
            <w:vAlign w:val="center"/>
          </w:tcPr>
          <w:p w14:paraId="4187F226">
            <w:pPr>
              <w:jc w:val="center"/>
              <w:rPr>
                <w:rFonts w:eastAsia="黑体"/>
                <w:color w:val="auto"/>
                <w:sz w:val="22"/>
                <w:szCs w:val="22"/>
                <w:highlight w:val="none"/>
              </w:rPr>
            </w:pPr>
            <w:r>
              <w:rPr>
                <w:rFonts w:hint="eastAsia"/>
                <w:color w:val="auto"/>
                <w:sz w:val="22"/>
                <w:szCs w:val="22"/>
                <w:highlight w:val="none"/>
              </w:rPr>
              <w:t>业绩一</w:t>
            </w:r>
          </w:p>
        </w:tc>
        <w:tc>
          <w:tcPr>
            <w:tcW w:w="5398" w:type="dxa"/>
            <w:gridSpan w:val="3"/>
            <w:vAlign w:val="center"/>
          </w:tcPr>
          <w:p w14:paraId="6AB6DE49">
            <w:pPr>
              <w:jc w:val="left"/>
              <w:rPr>
                <w:color w:val="auto"/>
                <w:sz w:val="22"/>
                <w:szCs w:val="22"/>
                <w:highlight w:val="none"/>
              </w:rPr>
            </w:pPr>
            <w:r>
              <w:rPr>
                <w:rFonts w:hint="eastAsia"/>
                <w:color w:val="auto"/>
                <w:sz w:val="22"/>
                <w:szCs w:val="22"/>
                <w:highlight w:val="none"/>
              </w:rPr>
              <w:t>业绩名称：</w:t>
            </w:r>
          </w:p>
          <w:p w14:paraId="2F169076">
            <w:pPr>
              <w:jc w:val="left"/>
              <w:rPr>
                <w:rFonts w:hAnsi="宋体"/>
                <w:color w:val="auto"/>
                <w:sz w:val="22"/>
                <w:szCs w:val="21"/>
                <w:highlight w:val="none"/>
              </w:rPr>
            </w:pPr>
            <w:r>
              <w:rPr>
                <w:rFonts w:hint="eastAsia" w:hAnsi="宋体"/>
                <w:color w:val="auto"/>
                <w:sz w:val="22"/>
                <w:szCs w:val="21"/>
                <w:highlight w:val="none"/>
              </w:rPr>
              <w:t>主要内容：</w:t>
            </w:r>
          </w:p>
          <w:p w14:paraId="05ABD404">
            <w:pPr>
              <w:jc w:val="left"/>
              <w:rPr>
                <w:color w:val="auto"/>
                <w:sz w:val="22"/>
                <w:szCs w:val="22"/>
                <w:highlight w:val="none"/>
              </w:rPr>
            </w:pPr>
            <w:r>
              <w:rPr>
                <w:rFonts w:hint="eastAsia"/>
                <w:color w:val="auto"/>
                <w:sz w:val="22"/>
                <w:szCs w:val="22"/>
                <w:highlight w:val="none"/>
              </w:rPr>
              <w:t>金额：</w:t>
            </w:r>
          </w:p>
          <w:p w14:paraId="5DF5F0C0">
            <w:pPr>
              <w:rPr>
                <w:rFonts w:eastAsia="黑体"/>
                <w:color w:val="auto"/>
                <w:sz w:val="22"/>
                <w:szCs w:val="22"/>
                <w:highlight w:val="none"/>
              </w:rPr>
            </w:pPr>
            <w:r>
              <w:rPr>
                <w:rFonts w:hint="eastAsia"/>
                <w:color w:val="auto"/>
                <w:sz w:val="22"/>
                <w:szCs w:val="22"/>
                <w:highlight w:val="none"/>
              </w:rPr>
              <w:t>时间：</w:t>
            </w:r>
          </w:p>
        </w:tc>
        <w:tc>
          <w:tcPr>
            <w:tcW w:w="1673" w:type="dxa"/>
            <w:vAlign w:val="center"/>
          </w:tcPr>
          <w:p w14:paraId="75C7D1E2">
            <w:pPr>
              <w:ind w:left="330" w:hanging="330" w:hangingChars="150"/>
              <w:rPr>
                <w:rFonts w:eastAsia="黑体"/>
                <w:color w:val="auto"/>
                <w:sz w:val="22"/>
                <w:szCs w:val="22"/>
                <w:highlight w:val="none"/>
              </w:rPr>
            </w:pPr>
          </w:p>
        </w:tc>
      </w:tr>
      <w:tr w14:paraId="6BD89A1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1174" w:type="dxa"/>
            <w:vMerge w:val="continue"/>
            <w:vAlign w:val="center"/>
          </w:tcPr>
          <w:p w14:paraId="6EC885C2">
            <w:pPr>
              <w:widowControl/>
              <w:jc w:val="left"/>
              <w:rPr>
                <w:rFonts w:ascii="黑体" w:hAnsi="黑体" w:eastAsia="黑体"/>
                <w:color w:val="auto"/>
                <w:sz w:val="22"/>
                <w:szCs w:val="22"/>
                <w:highlight w:val="none"/>
              </w:rPr>
            </w:pPr>
          </w:p>
        </w:tc>
        <w:tc>
          <w:tcPr>
            <w:tcW w:w="1366" w:type="dxa"/>
            <w:vAlign w:val="center"/>
          </w:tcPr>
          <w:p w14:paraId="635D2217">
            <w:pPr>
              <w:jc w:val="center"/>
              <w:rPr>
                <w:rFonts w:eastAsia="黑体"/>
                <w:color w:val="auto"/>
                <w:sz w:val="22"/>
                <w:szCs w:val="22"/>
                <w:highlight w:val="none"/>
              </w:rPr>
            </w:pPr>
            <w:r>
              <w:rPr>
                <w:rFonts w:hint="eastAsia"/>
                <w:color w:val="auto"/>
                <w:sz w:val="22"/>
                <w:szCs w:val="22"/>
                <w:highlight w:val="none"/>
              </w:rPr>
              <w:t>...</w:t>
            </w:r>
          </w:p>
        </w:tc>
        <w:tc>
          <w:tcPr>
            <w:tcW w:w="5398" w:type="dxa"/>
            <w:gridSpan w:val="3"/>
            <w:vAlign w:val="center"/>
          </w:tcPr>
          <w:p w14:paraId="173D886B">
            <w:pPr>
              <w:rPr>
                <w:rFonts w:eastAsia="黑体"/>
                <w:color w:val="auto"/>
                <w:sz w:val="22"/>
                <w:szCs w:val="22"/>
                <w:highlight w:val="none"/>
              </w:rPr>
            </w:pPr>
          </w:p>
        </w:tc>
        <w:tc>
          <w:tcPr>
            <w:tcW w:w="1673" w:type="dxa"/>
            <w:vAlign w:val="center"/>
          </w:tcPr>
          <w:p w14:paraId="444AF71C">
            <w:pPr>
              <w:ind w:left="330" w:hanging="330" w:hangingChars="150"/>
              <w:rPr>
                <w:rFonts w:eastAsia="黑体"/>
                <w:color w:val="auto"/>
                <w:sz w:val="22"/>
                <w:szCs w:val="22"/>
                <w:highlight w:val="none"/>
              </w:rPr>
            </w:pPr>
          </w:p>
        </w:tc>
      </w:tr>
      <w:tr w14:paraId="19E50BA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1174" w:type="dxa"/>
            <w:vMerge w:val="continue"/>
            <w:vAlign w:val="center"/>
          </w:tcPr>
          <w:p w14:paraId="726750A0">
            <w:pPr>
              <w:widowControl/>
              <w:jc w:val="left"/>
              <w:rPr>
                <w:rFonts w:ascii="黑体" w:hAnsi="黑体" w:eastAsia="黑体"/>
                <w:color w:val="auto"/>
                <w:sz w:val="22"/>
                <w:szCs w:val="22"/>
                <w:highlight w:val="none"/>
              </w:rPr>
            </w:pPr>
          </w:p>
        </w:tc>
        <w:tc>
          <w:tcPr>
            <w:tcW w:w="8437" w:type="dxa"/>
            <w:gridSpan w:val="5"/>
            <w:vAlign w:val="center"/>
          </w:tcPr>
          <w:p w14:paraId="7D61C406">
            <w:pPr>
              <w:ind w:left="330" w:hanging="330" w:hangingChars="150"/>
              <w:rPr>
                <w:rFonts w:eastAsia="黑体"/>
                <w:color w:val="auto"/>
                <w:sz w:val="22"/>
                <w:szCs w:val="22"/>
                <w:highlight w:val="none"/>
              </w:rPr>
            </w:pPr>
            <w:r>
              <w:rPr>
                <w:rFonts w:hint="eastAsia" w:ascii="黑体" w:hAnsi="黑体" w:eastAsia="黑体"/>
                <w:color w:val="auto"/>
                <w:sz w:val="22"/>
                <w:szCs w:val="22"/>
                <w:highlight w:val="none"/>
              </w:rPr>
              <w:t>项目负责人业绩</w:t>
            </w:r>
            <w:r>
              <w:rPr>
                <w:rFonts w:eastAsia="黑体"/>
                <w:color w:val="auto"/>
                <w:sz w:val="22"/>
                <w:szCs w:val="22"/>
                <w:highlight w:val="none"/>
              </w:rPr>
              <w:t>自评分：分</w:t>
            </w:r>
          </w:p>
        </w:tc>
      </w:tr>
      <w:tr w14:paraId="23E1172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1174" w:type="dxa"/>
            <w:vMerge w:val="restart"/>
            <w:vAlign w:val="center"/>
          </w:tcPr>
          <w:p w14:paraId="032B4F0F">
            <w:pPr>
              <w:widowControl/>
              <w:jc w:val="left"/>
              <w:rPr>
                <w:rFonts w:ascii="黑体" w:hAnsi="黑体" w:eastAsia="黑体"/>
                <w:color w:val="auto"/>
                <w:sz w:val="22"/>
                <w:szCs w:val="22"/>
                <w:highlight w:val="none"/>
              </w:rPr>
            </w:pPr>
            <w:r>
              <w:rPr>
                <w:rFonts w:hint="eastAsia" w:ascii="黑体" w:hAnsi="黑体" w:eastAsia="黑体"/>
                <w:color w:val="auto"/>
                <w:sz w:val="22"/>
                <w:szCs w:val="21"/>
                <w:highlight w:val="none"/>
              </w:rPr>
              <w:t>团队配置</w:t>
            </w:r>
          </w:p>
        </w:tc>
        <w:tc>
          <w:tcPr>
            <w:tcW w:w="1366" w:type="dxa"/>
            <w:vMerge w:val="restart"/>
            <w:vAlign w:val="center"/>
          </w:tcPr>
          <w:p w14:paraId="006FAB8B">
            <w:pPr>
              <w:jc w:val="center"/>
              <w:rPr>
                <w:color w:val="auto"/>
                <w:sz w:val="22"/>
                <w:szCs w:val="22"/>
                <w:highlight w:val="none"/>
              </w:rPr>
            </w:pPr>
            <w:r>
              <w:rPr>
                <w:rFonts w:hint="eastAsia"/>
                <w:color w:val="auto"/>
                <w:sz w:val="22"/>
                <w:szCs w:val="22"/>
                <w:highlight w:val="none"/>
              </w:rPr>
              <w:t>团队配置</w:t>
            </w:r>
          </w:p>
        </w:tc>
        <w:tc>
          <w:tcPr>
            <w:tcW w:w="1562" w:type="dxa"/>
            <w:gridSpan w:val="2"/>
            <w:vAlign w:val="center"/>
          </w:tcPr>
          <w:p w14:paraId="59601A5E">
            <w:pPr>
              <w:jc w:val="center"/>
              <w:rPr>
                <w:rFonts w:hAnsi="宋体"/>
                <w:color w:val="auto"/>
                <w:sz w:val="22"/>
                <w:szCs w:val="21"/>
                <w:highlight w:val="none"/>
              </w:rPr>
            </w:pPr>
            <w:r>
              <w:rPr>
                <w:rFonts w:hint="eastAsia" w:hAnsi="宋体"/>
                <w:color w:val="auto"/>
                <w:sz w:val="22"/>
                <w:szCs w:val="21"/>
                <w:highlight w:val="none"/>
              </w:rPr>
              <w:t>人员一</w:t>
            </w:r>
          </w:p>
        </w:tc>
        <w:tc>
          <w:tcPr>
            <w:tcW w:w="3836" w:type="dxa"/>
            <w:vAlign w:val="center"/>
          </w:tcPr>
          <w:p w14:paraId="483549DE">
            <w:pPr>
              <w:rPr>
                <w:color w:val="auto"/>
                <w:sz w:val="22"/>
                <w:szCs w:val="22"/>
                <w:highlight w:val="none"/>
              </w:rPr>
            </w:pPr>
            <w:r>
              <w:rPr>
                <w:rFonts w:hint="eastAsia"/>
                <w:color w:val="auto"/>
                <w:sz w:val="22"/>
                <w:szCs w:val="22"/>
                <w:highlight w:val="none"/>
              </w:rPr>
              <w:t>姓名：</w:t>
            </w:r>
          </w:p>
          <w:p w14:paraId="5A1A0F25">
            <w:pPr>
              <w:rPr>
                <w:rFonts w:hAnsi="宋体"/>
                <w:color w:val="auto"/>
                <w:sz w:val="22"/>
                <w:szCs w:val="21"/>
                <w:highlight w:val="none"/>
              </w:rPr>
            </w:pPr>
            <w:r>
              <w:rPr>
                <w:rFonts w:hint="eastAsia"/>
                <w:color w:val="auto"/>
                <w:sz w:val="22"/>
                <w:szCs w:val="22"/>
                <w:highlight w:val="none"/>
              </w:rPr>
              <w:t>职称：</w:t>
            </w:r>
            <w:r>
              <w:rPr>
                <w:rFonts w:hint="eastAsia" w:hAnsi="宋体"/>
                <w:color w:val="auto"/>
                <w:sz w:val="22"/>
                <w:szCs w:val="21"/>
                <w:highlight w:val="none"/>
              </w:rPr>
              <w:t>：</w:t>
            </w:r>
          </w:p>
          <w:p w14:paraId="7D9109C5">
            <w:pPr>
              <w:rPr>
                <w:rFonts w:hAnsi="宋体"/>
                <w:color w:val="auto"/>
                <w:sz w:val="22"/>
                <w:szCs w:val="21"/>
                <w:highlight w:val="none"/>
              </w:rPr>
            </w:pPr>
            <w:r>
              <w:rPr>
                <w:rFonts w:hint="eastAsia"/>
                <w:color w:val="auto"/>
                <w:sz w:val="22"/>
                <w:szCs w:val="22"/>
                <w:highlight w:val="none"/>
              </w:rPr>
              <w:t>......</w:t>
            </w:r>
          </w:p>
        </w:tc>
        <w:tc>
          <w:tcPr>
            <w:tcW w:w="1673" w:type="dxa"/>
            <w:vAlign w:val="center"/>
          </w:tcPr>
          <w:p w14:paraId="258B1BFD">
            <w:pPr>
              <w:rPr>
                <w:color w:val="auto"/>
                <w:sz w:val="22"/>
                <w:szCs w:val="22"/>
                <w:highlight w:val="none"/>
              </w:rPr>
            </w:pPr>
          </w:p>
        </w:tc>
      </w:tr>
      <w:tr w14:paraId="29B3443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174" w:type="dxa"/>
            <w:vMerge w:val="continue"/>
            <w:vAlign w:val="center"/>
          </w:tcPr>
          <w:p w14:paraId="58728B35">
            <w:pPr>
              <w:widowControl/>
              <w:jc w:val="left"/>
              <w:rPr>
                <w:rFonts w:ascii="黑体" w:hAnsi="黑体" w:eastAsia="黑体"/>
                <w:color w:val="auto"/>
                <w:sz w:val="22"/>
                <w:szCs w:val="21"/>
                <w:highlight w:val="none"/>
              </w:rPr>
            </w:pPr>
          </w:p>
        </w:tc>
        <w:tc>
          <w:tcPr>
            <w:tcW w:w="1366" w:type="dxa"/>
            <w:vMerge w:val="continue"/>
            <w:vAlign w:val="center"/>
          </w:tcPr>
          <w:p w14:paraId="4D337A44">
            <w:pPr>
              <w:jc w:val="left"/>
              <w:rPr>
                <w:color w:val="auto"/>
                <w:sz w:val="22"/>
                <w:szCs w:val="22"/>
                <w:highlight w:val="none"/>
              </w:rPr>
            </w:pPr>
          </w:p>
        </w:tc>
        <w:tc>
          <w:tcPr>
            <w:tcW w:w="1562" w:type="dxa"/>
            <w:gridSpan w:val="2"/>
            <w:vAlign w:val="center"/>
          </w:tcPr>
          <w:p w14:paraId="2C667EC1">
            <w:pPr>
              <w:jc w:val="center"/>
              <w:rPr>
                <w:rFonts w:hAnsi="宋体"/>
                <w:color w:val="auto"/>
                <w:sz w:val="22"/>
                <w:szCs w:val="21"/>
                <w:highlight w:val="none"/>
              </w:rPr>
            </w:pPr>
            <w:r>
              <w:rPr>
                <w:rFonts w:hint="eastAsia" w:hAnsi="宋体"/>
                <w:color w:val="auto"/>
                <w:sz w:val="22"/>
                <w:szCs w:val="21"/>
                <w:highlight w:val="none"/>
              </w:rPr>
              <w:t>人员二</w:t>
            </w:r>
          </w:p>
        </w:tc>
        <w:tc>
          <w:tcPr>
            <w:tcW w:w="3836" w:type="dxa"/>
            <w:vAlign w:val="center"/>
          </w:tcPr>
          <w:p w14:paraId="1F85F100">
            <w:pPr>
              <w:rPr>
                <w:color w:val="auto"/>
                <w:sz w:val="22"/>
                <w:szCs w:val="22"/>
                <w:highlight w:val="none"/>
              </w:rPr>
            </w:pPr>
            <w:r>
              <w:rPr>
                <w:rFonts w:hint="eastAsia"/>
                <w:color w:val="auto"/>
                <w:sz w:val="22"/>
                <w:szCs w:val="22"/>
                <w:highlight w:val="none"/>
              </w:rPr>
              <w:t>姓名：</w:t>
            </w:r>
          </w:p>
          <w:p w14:paraId="66FBBC0C">
            <w:pPr>
              <w:rPr>
                <w:rFonts w:hAnsi="宋体"/>
                <w:color w:val="auto"/>
                <w:sz w:val="22"/>
                <w:szCs w:val="21"/>
                <w:highlight w:val="none"/>
              </w:rPr>
            </w:pPr>
            <w:r>
              <w:rPr>
                <w:rFonts w:hint="eastAsia"/>
                <w:color w:val="auto"/>
                <w:sz w:val="22"/>
                <w:szCs w:val="22"/>
                <w:highlight w:val="none"/>
              </w:rPr>
              <w:t>职称：</w:t>
            </w:r>
            <w:r>
              <w:rPr>
                <w:rFonts w:hint="eastAsia" w:hAnsi="宋体"/>
                <w:color w:val="auto"/>
                <w:sz w:val="22"/>
                <w:szCs w:val="21"/>
                <w:highlight w:val="none"/>
              </w:rPr>
              <w:t>：</w:t>
            </w:r>
          </w:p>
          <w:p w14:paraId="319F9830">
            <w:pPr>
              <w:rPr>
                <w:color w:val="auto"/>
                <w:sz w:val="22"/>
                <w:szCs w:val="22"/>
                <w:highlight w:val="none"/>
              </w:rPr>
            </w:pPr>
            <w:r>
              <w:rPr>
                <w:rFonts w:hint="eastAsia"/>
                <w:color w:val="auto"/>
                <w:sz w:val="22"/>
                <w:szCs w:val="22"/>
                <w:highlight w:val="none"/>
              </w:rPr>
              <w:t>......</w:t>
            </w:r>
          </w:p>
        </w:tc>
        <w:tc>
          <w:tcPr>
            <w:tcW w:w="1673" w:type="dxa"/>
            <w:vAlign w:val="center"/>
          </w:tcPr>
          <w:p w14:paraId="37D41C56">
            <w:pPr>
              <w:rPr>
                <w:color w:val="auto"/>
                <w:sz w:val="22"/>
                <w:szCs w:val="22"/>
                <w:highlight w:val="none"/>
              </w:rPr>
            </w:pPr>
          </w:p>
        </w:tc>
      </w:tr>
      <w:tr w14:paraId="53AE1F8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174" w:type="dxa"/>
            <w:vMerge w:val="continue"/>
            <w:vAlign w:val="center"/>
          </w:tcPr>
          <w:p w14:paraId="35E29F99">
            <w:pPr>
              <w:widowControl/>
              <w:jc w:val="left"/>
              <w:rPr>
                <w:rFonts w:ascii="黑体" w:hAnsi="黑体" w:eastAsia="黑体"/>
                <w:color w:val="auto"/>
                <w:sz w:val="22"/>
                <w:szCs w:val="21"/>
                <w:highlight w:val="none"/>
              </w:rPr>
            </w:pPr>
          </w:p>
        </w:tc>
        <w:tc>
          <w:tcPr>
            <w:tcW w:w="1366" w:type="dxa"/>
            <w:vMerge w:val="continue"/>
            <w:vAlign w:val="center"/>
          </w:tcPr>
          <w:p w14:paraId="4EFC01D1">
            <w:pPr>
              <w:jc w:val="left"/>
              <w:rPr>
                <w:color w:val="auto"/>
                <w:sz w:val="22"/>
                <w:szCs w:val="22"/>
                <w:highlight w:val="none"/>
              </w:rPr>
            </w:pPr>
          </w:p>
        </w:tc>
        <w:tc>
          <w:tcPr>
            <w:tcW w:w="1562" w:type="dxa"/>
            <w:gridSpan w:val="2"/>
            <w:vAlign w:val="center"/>
          </w:tcPr>
          <w:p w14:paraId="450854FE">
            <w:pPr>
              <w:jc w:val="center"/>
              <w:rPr>
                <w:rFonts w:hAnsi="宋体"/>
                <w:color w:val="auto"/>
                <w:sz w:val="22"/>
                <w:szCs w:val="21"/>
                <w:highlight w:val="none"/>
              </w:rPr>
            </w:pPr>
            <w:r>
              <w:rPr>
                <w:rFonts w:hint="eastAsia"/>
                <w:color w:val="auto"/>
                <w:sz w:val="22"/>
                <w:szCs w:val="22"/>
                <w:highlight w:val="none"/>
              </w:rPr>
              <w:t>...</w:t>
            </w:r>
          </w:p>
        </w:tc>
        <w:tc>
          <w:tcPr>
            <w:tcW w:w="3836" w:type="dxa"/>
            <w:vAlign w:val="center"/>
          </w:tcPr>
          <w:p w14:paraId="5CBEBA96">
            <w:pPr>
              <w:rPr>
                <w:color w:val="auto"/>
                <w:sz w:val="22"/>
                <w:szCs w:val="22"/>
                <w:highlight w:val="none"/>
              </w:rPr>
            </w:pPr>
            <w:r>
              <w:rPr>
                <w:rFonts w:hint="eastAsia"/>
                <w:color w:val="auto"/>
                <w:sz w:val="22"/>
                <w:szCs w:val="22"/>
                <w:highlight w:val="none"/>
              </w:rPr>
              <w:t>...</w:t>
            </w:r>
          </w:p>
        </w:tc>
        <w:tc>
          <w:tcPr>
            <w:tcW w:w="1673" w:type="dxa"/>
            <w:vAlign w:val="center"/>
          </w:tcPr>
          <w:p w14:paraId="286B5FEA">
            <w:pPr>
              <w:rPr>
                <w:color w:val="auto"/>
                <w:sz w:val="22"/>
                <w:szCs w:val="22"/>
                <w:highlight w:val="none"/>
              </w:rPr>
            </w:pPr>
          </w:p>
        </w:tc>
      </w:tr>
      <w:tr w14:paraId="5CDC8EF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1174" w:type="dxa"/>
            <w:vMerge w:val="continue"/>
            <w:vAlign w:val="center"/>
          </w:tcPr>
          <w:p w14:paraId="6EE9DCBD">
            <w:pPr>
              <w:widowControl/>
              <w:jc w:val="left"/>
              <w:rPr>
                <w:rFonts w:ascii="黑体" w:hAnsi="黑体" w:eastAsia="黑体"/>
                <w:color w:val="auto"/>
                <w:sz w:val="22"/>
                <w:szCs w:val="22"/>
                <w:highlight w:val="none"/>
              </w:rPr>
            </w:pPr>
          </w:p>
        </w:tc>
        <w:tc>
          <w:tcPr>
            <w:tcW w:w="1366" w:type="dxa"/>
            <w:vMerge w:val="continue"/>
            <w:vAlign w:val="center"/>
          </w:tcPr>
          <w:p w14:paraId="32B4D0BC">
            <w:pPr>
              <w:jc w:val="left"/>
              <w:rPr>
                <w:color w:val="auto"/>
                <w:sz w:val="22"/>
                <w:szCs w:val="22"/>
                <w:highlight w:val="none"/>
              </w:rPr>
            </w:pPr>
          </w:p>
        </w:tc>
        <w:tc>
          <w:tcPr>
            <w:tcW w:w="5398" w:type="dxa"/>
            <w:gridSpan w:val="3"/>
            <w:vAlign w:val="center"/>
          </w:tcPr>
          <w:p w14:paraId="4CD371D9">
            <w:pPr>
              <w:rPr>
                <w:color w:val="auto"/>
                <w:sz w:val="22"/>
                <w:szCs w:val="22"/>
                <w:highlight w:val="none"/>
              </w:rPr>
            </w:pPr>
            <w:r>
              <w:rPr>
                <w:rFonts w:hint="eastAsia" w:eastAsia="黑体"/>
                <w:color w:val="auto"/>
                <w:sz w:val="22"/>
                <w:szCs w:val="22"/>
                <w:highlight w:val="none"/>
              </w:rPr>
              <w:t>团队配置</w:t>
            </w:r>
            <w:r>
              <w:rPr>
                <w:rFonts w:eastAsia="黑体"/>
                <w:color w:val="auto"/>
                <w:sz w:val="22"/>
                <w:szCs w:val="22"/>
                <w:highlight w:val="none"/>
              </w:rPr>
              <w:t>自评分：分</w:t>
            </w:r>
          </w:p>
        </w:tc>
        <w:tc>
          <w:tcPr>
            <w:tcW w:w="1673" w:type="dxa"/>
            <w:vAlign w:val="center"/>
          </w:tcPr>
          <w:p w14:paraId="1DA8DA5F">
            <w:pPr>
              <w:rPr>
                <w:rFonts w:eastAsia="黑体"/>
                <w:color w:val="auto"/>
                <w:sz w:val="22"/>
                <w:szCs w:val="22"/>
                <w:highlight w:val="none"/>
              </w:rPr>
            </w:pPr>
          </w:p>
        </w:tc>
      </w:tr>
      <w:tr w14:paraId="0CEEB6D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1174" w:type="dxa"/>
            <w:vAlign w:val="center"/>
          </w:tcPr>
          <w:p w14:paraId="51F82649">
            <w:pPr>
              <w:jc w:val="center"/>
              <w:rPr>
                <w:rFonts w:ascii="黑体" w:hAnsi="黑体" w:eastAsia="黑体"/>
                <w:color w:val="auto"/>
                <w:szCs w:val="21"/>
                <w:highlight w:val="none"/>
              </w:rPr>
            </w:pPr>
            <w:r>
              <w:rPr>
                <w:rFonts w:hint="eastAsia" w:ascii="黑体" w:hAnsi="黑体" w:eastAsia="黑体"/>
                <w:color w:val="auto"/>
                <w:szCs w:val="21"/>
                <w:highlight w:val="none"/>
              </w:rPr>
              <w:t>服务方案</w:t>
            </w:r>
          </w:p>
        </w:tc>
        <w:tc>
          <w:tcPr>
            <w:tcW w:w="1366" w:type="dxa"/>
            <w:vAlign w:val="center"/>
          </w:tcPr>
          <w:p w14:paraId="0C501E59">
            <w:pPr>
              <w:jc w:val="center"/>
              <w:rPr>
                <w:rFonts w:ascii="黑体" w:hAnsi="黑体" w:eastAsia="黑体"/>
                <w:color w:val="auto"/>
                <w:szCs w:val="21"/>
                <w:highlight w:val="none"/>
              </w:rPr>
            </w:pPr>
          </w:p>
        </w:tc>
        <w:tc>
          <w:tcPr>
            <w:tcW w:w="5398" w:type="dxa"/>
            <w:gridSpan w:val="3"/>
            <w:vAlign w:val="center"/>
          </w:tcPr>
          <w:p w14:paraId="362CCDA4">
            <w:pPr>
              <w:jc w:val="left"/>
              <w:rPr>
                <w:color w:val="auto"/>
                <w:sz w:val="22"/>
                <w:szCs w:val="21"/>
                <w:highlight w:val="none"/>
              </w:rPr>
            </w:pPr>
          </w:p>
        </w:tc>
        <w:tc>
          <w:tcPr>
            <w:tcW w:w="1673" w:type="dxa"/>
            <w:vAlign w:val="center"/>
          </w:tcPr>
          <w:p w14:paraId="4DBEE1EB">
            <w:pPr>
              <w:jc w:val="left"/>
              <w:rPr>
                <w:color w:val="auto"/>
                <w:sz w:val="22"/>
                <w:szCs w:val="21"/>
                <w:highlight w:val="none"/>
              </w:rPr>
            </w:pPr>
          </w:p>
        </w:tc>
      </w:tr>
      <w:tr w14:paraId="3EC708D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23" w:hRule="atLeast"/>
          <w:jc w:val="center"/>
        </w:trPr>
        <w:tc>
          <w:tcPr>
            <w:tcW w:w="1174" w:type="dxa"/>
            <w:vAlign w:val="center"/>
          </w:tcPr>
          <w:p w14:paraId="3B0EA231">
            <w:pPr>
              <w:jc w:val="center"/>
              <w:rPr>
                <w:rFonts w:ascii="黑体" w:hAnsi="黑体" w:eastAsia="黑体"/>
                <w:color w:val="auto"/>
                <w:szCs w:val="21"/>
                <w:highlight w:val="none"/>
              </w:rPr>
            </w:pPr>
            <w:r>
              <w:rPr>
                <w:rFonts w:hint="eastAsia" w:ascii="黑体" w:hAnsi="黑体" w:eastAsia="黑体"/>
                <w:color w:val="auto"/>
                <w:szCs w:val="21"/>
                <w:highlight w:val="none"/>
              </w:rPr>
              <w:t>服务承诺</w:t>
            </w:r>
          </w:p>
        </w:tc>
        <w:tc>
          <w:tcPr>
            <w:tcW w:w="1366" w:type="dxa"/>
            <w:vAlign w:val="center"/>
          </w:tcPr>
          <w:p w14:paraId="63FF5A14">
            <w:pPr>
              <w:jc w:val="center"/>
              <w:rPr>
                <w:rFonts w:ascii="黑体" w:hAnsi="黑体" w:eastAsia="黑体"/>
                <w:color w:val="auto"/>
                <w:szCs w:val="21"/>
                <w:highlight w:val="none"/>
              </w:rPr>
            </w:pPr>
          </w:p>
        </w:tc>
        <w:tc>
          <w:tcPr>
            <w:tcW w:w="5398" w:type="dxa"/>
            <w:gridSpan w:val="3"/>
            <w:vAlign w:val="center"/>
          </w:tcPr>
          <w:p w14:paraId="2B60DA83">
            <w:pPr>
              <w:jc w:val="left"/>
              <w:rPr>
                <w:color w:val="auto"/>
                <w:sz w:val="22"/>
                <w:szCs w:val="21"/>
                <w:highlight w:val="none"/>
              </w:rPr>
            </w:pPr>
          </w:p>
        </w:tc>
        <w:tc>
          <w:tcPr>
            <w:tcW w:w="1673" w:type="dxa"/>
            <w:vAlign w:val="center"/>
          </w:tcPr>
          <w:p w14:paraId="7C089EF2">
            <w:pPr>
              <w:jc w:val="left"/>
              <w:rPr>
                <w:color w:val="auto"/>
                <w:sz w:val="22"/>
                <w:szCs w:val="21"/>
                <w:highlight w:val="none"/>
              </w:rPr>
            </w:pPr>
          </w:p>
        </w:tc>
      </w:tr>
    </w:tbl>
    <w:p w14:paraId="7C0939C7">
      <w:pPr>
        <w:jc w:val="center"/>
        <w:rPr>
          <w:rFonts w:ascii="宋体" w:hAnsi="宋体"/>
          <w:b/>
          <w:bCs/>
          <w:color w:val="auto"/>
          <w:sz w:val="28"/>
          <w:szCs w:val="32"/>
          <w:highlight w:val="none"/>
        </w:rPr>
        <w:sectPr>
          <w:footnotePr>
            <w:numFmt w:val="decimalEnclosedCircleChinese"/>
            <w:numRestart w:val="eachPage"/>
          </w:footnotePr>
          <w:pgSz w:w="12240" w:h="15840"/>
          <w:pgMar w:top="1417" w:right="1417" w:bottom="1417" w:left="1417" w:header="720" w:footer="720" w:gutter="0"/>
          <w:cols w:space="720" w:num="1"/>
          <w:docGrid w:linePitch="312" w:charSpace="0"/>
        </w:sectPr>
      </w:pPr>
    </w:p>
    <w:p w14:paraId="6447BBB8">
      <w:pPr>
        <w:numPr>
          <w:ilvl w:val="0"/>
          <w:numId w:val="4"/>
        </w:numPr>
        <w:jc w:val="center"/>
        <w:outlineLvl w:val="0"/>
        <w:rPr>
          <w:rFonts w:ascii="宋体" w:hAnsi="宋体"/>
          <w:b/>
          <w:bCs/>
          <w:color w:val="auto"/>
          <w:sz w:val="28"/>
          <w:szCs w:val="32"/>
          <w:highlight w:val="none"/>
        </w:rPr>
      </w:pPr>
      <w:bookmarkStart w:id="142" w:name="_Toc9503"/>
      <w:r>
        <w:rPr>
          <w:rFonts w:hint="eastAsia" w:ascii="宋体" w:hAnsi="宋体"/>
          <w:b/>
          <w:bCs/>
          <w:color w:val="auto"/>
          <w:sz w:val="28"/>
          <w:szCs w:val="32"/>
          <w:highlight w:val="none"/>
          <w:u w:val="single"/>
          <w:lang w:val="en-US" w:eastAsia="zh-CN"/>
        </w:rPr>
        <w:t xml:space="preserve"> </w:t>
      </w:r>
      <w:r>
        <w:rPr>
          <w:rFonts w:hint="eastAsia" w:ascii="宋体" w:hAnsi="宋体"/>
          <w:b/>
          <w:bCs/>
          <w:color w:val="auto"/>
          <w:sz w:val="28"/>
          <w:szCs w:val="32"/>
          <w:highlight w:val="none"/>
        </w:rPr>
        <w:t>报价函</w:t>
      </w:r>
      <w:bookmarkEnd w:id="138"/>
      <w:bookmarkEnd w:id="139"/>
      <w:bookmarkEnd w:id="140"/>
      <w:bookmarkEnd w:id="142"/>
    </w:p>
    <w:p w14:paraId="5E31DBE3">
      <w:pPr>
        <w:spacing w:line="360" w:lineRule="auto"/>
        <w:rPr>
          <w:rFonts w:ascii="宋体" w:hAnsi="宋体"/>
          <w:b/>
          <w:color w:val="auto"/>
          <w:sz w:val="24"/>
          <w:szCs w:val="32"/>
          <w:highlight w:val="none"/>
          <w:u w:val="single"/>
        </w:rPr>
      </w:pPr>
      <w:r>
        <w:rPr>
          <w:rFonts w:hint="eastAsia" w:ascii="宋体" w:hAnsi="宋体"/>
          <w:b/>
          <w:color w:val="auto"/>
          <w:sz w:val="24"/>
          <w:szCs w:val="32"/>
          <w:highlight w:val="none"/>
        </w:rPr>
        <w:t>致：</w:t>
      </w:r>
      <w:r>
        <w:rPr>
          <w:rFonts w:hint="eastAsia" w:ascii="宋体" w:hAnsi="宋体"/>
          <w:b/>
          <w:color w:val="auto"/>
          <w:sz w:val="24"/>
          <w:szCs w:val="32"/>
          <w:highlight w:val="none"/>
          <w:u w:val="single"/>
        </w:rPr>
        <w:t xml:space="preserve">             (采购人）</w:t>
      </w:r>
    </w:p>
    <w:p w14:paraId="1A3D11EC">
      <w:pPr>
        <w:spacing w:line="360" w:lineRule="auto"/>
        <w:ind w:firstLine="480" w:firstLineChars="200"/>
        <w:rPr>
          <w:rFonts w:ascii="宋体" w:hAnsi="宋体"/>
          <w:color w:val="auto"/>
          <w:sz w:val="24"/>
          <w:szCs w:val="32"/>
          <w:highlight w:val="none"/>
        </w:rPr>
      </w:pPr>
      <w:r>
        <w:rPr>
          <w:rFonts w:hint="eastAsia" w:ascii="宋体" w:hAnsi="宋体"/>
          <w:color w:val="auto"/>
          <w:sz w:val="24"/>
          <w:szCs w:val="32"/>
          <w:highlight w:val="none"/>
        </w:rPr>
        <w:t xml:space="preserve">根据贵方“ </w:t>
      </w:r>
      <w:r>
        <w:rPr>
          <w:rFonts w:hint="eastAsia" w:ascii="宋体" w:hAnsi="宋体"/>
          <w:color w:val="auto"/>
          <w:sz w:val="24"/>
          <w:szCs w:val="32"/>
          <w:highlight w:val="none"/>
          <w:u w:val="single"/>
          <w:lang w:eastAsia="zh-CN"/>
        </w:rPr>
        <w:t xml:space="preserve">全椒经纬壹品、淮北朔湖东苑及瑞俪花都项目投资后评价服务 </w:t>
      </w:r>
      <w:r>
        <w:rPr>
          <w:rFonts w:hint="eastAsia" w:ascii="宋体" w:hAnsi="宋体"/>
          <w:color w:val="auto"/>
          <w:sz w:val="24"/>
          <w:szCs w:val="32"/>
          <w:highlight w:val="none"/>
        </w:rPr>
        <w:t>”的询比公告，正式授权下述</w:t>
      </w:r>
      <w:r>
        <w:rPr>
          <w:rFonts w:hint="eastAsia" w:ascii="宋体" w:hAnsi="宋体"/>
          <w:color w:val="auto"/>
          <w:sz w:val="24"/>
          <w:szCs w:val="32"/>
          <w:highlight w:val="none"/>
          <w:u w:val="single"/>
        </w:rPr>
        <w:t xml:space="preserve">   　  </w:t>
      </w:r>
      <w:r>
        <w:rPr>
          <w:rFonts w:hint="eastAsia" w:ascii="宋体" w:hAnsi="宋体"/>
          <w:color w:val="auto"/>
          <w:sz w:val="24"/>
          <w:szCs w:val="32"/>
          <w:highlight w:val="none"/>
        </w:rPr>
        <w:t>（姓名）代表供应商</w:t>
      </w:r>
      <w:r>
        <w:rPr>
          <w:rFonts w:hint="eastAsia" w:ascii="宋体" w:hAnsi="宋体"/>
          <w:color w:val="auto"/>
          <w:sz w:val="24"/>
          <w:szCs w:val="32"/>
          <w:highlight w:val="none"/>
          <w:u w:val="single"/>
        </w:rPr>
        <w:t xml:space="preserve">        　   </w:t>
      </w:r>
      <w:r>
        <w:rPr>
          <w:rFonts w:hint="eastAsia" w:ascii="宋体" w:hAnsi="宋体"/>
          <w:color w:val="auto"/>
          <w:sz w:val="24"/>
          <w:szCs w:val="32"/>
          <w:highlight w:val="none"/>
        </w:rPr>
        <w:t>提交响应文件。</w:t>
      </w:r>
    </w:p>
    <w:p w14:paraId="3E4A8818">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1、我单位经研究询比文件和有关资料后，愿意以</w:t>
      </w:r>
      <w:r>
        <w:rPr>
          <w:rFonts w:ascii="Times New Roman" w:hAnsi="Times New Roman" w:cs="Times New Roman"/>
          <w:color w:val="auto"/>
          <w:sz w:val="24"/>
          <w:highlight w:val="none"/>
        </w:rPr>
        <w:t>愿意以人民币(大写</w:t>
      </w:r>
      <w:r>
        <w:rPr>
          <w:rFonts w:hint="eastAsia" w:ascii="Times New Roman" w:hAnsi="Times New Roman" w:cs="Times New Roman"/>
          <w:color w:val="auto"/>
          <w:sz w:val="24"/>
          <w:highlight w:val="none"/>
        </w:rPr>
        <w:t>：</w:t>
      </w:r>
      <w:r>
        <w:rPr>
          <w:rFonts w:hint="eastAsia" w:ascii="宋体" w:hAnsi="宋体"/>
          <w:color w:val="auto"/>
          <w:sz w:val="24"/>
          <w:szCs w:val="32"/>
          <w:highlight w:val="none"/>
          <w:u w:val="single"/>
        </w:rPr>
        <w:t xml:space="preserve">        　  </w:t>
      </w:r>
      <w:r>
        <w:rPr>
          <w:rFonts w:ascii="Times New Roman" w:hAnsi="Times New Roman" w:cs="Times New Roman"/>
          <w:color w:val="auto"/>
          <w:sz w:val="24"/>
          <w:highlight w:val="none"/>
        </w:rPr>
        <w:t>)(小写：¥</w:t>
      </w:r>
      <w:r>
        <w:rPr>
          <w:rFonts w:hint="eastAsia" w:ascii="宋体" w:hAnsi="宋体"/>
          <w:color w:val="auto"/>
          <w:sz w:val="24"/>
          <w:szCs w:val="32"/>
          <w:highlight w:val="none"/>
          <w:u w:val="single"/>
        </w:rPr>
        <w:t xml:space="preserve">        　  </w:t>
      </w:r>
      <w:r>
        <w:rPr>
          <w:rFonts w:ascii="Times New Roman" w:hAnsi="Times New Roman" w:cs="Times New Roman"/>
          <w:color w:val="auto"/>
          <w:sz w:val="24"/>
          <w:highlight w:val="none"/>
        </w:rPr>
        <w:t>)的总报价</w:t>
      </w:r>
      <w:r>
        <w:rPr>
          <w:rFonts w:hint="eastAsia" w:ascii="宋体" w:hAnsi="宋体" w:cs="宋体"/>
          <w:color w:val="auto"/>
          <w:sz w:val="24"/>
          <w:highlight w:val="none"/>
        </w:rPr>
        <w:t>承接</w:t>
      </w:r>
      <w:r>
        <w:rPr>
          <w:rFonts w:hint="eastAsia" w:ascii="宋体" w:hAnsi="宋体" w:cs="宋体"/>
          <w:color w:val="auto"/>
          <w:sz w:val="24"/>
          <w:highlight w:val="none"/>
          <w:u w:val="single"/>
          <w:lang w:eastAsia="zh-CN"/>
        </w:rPr>
        <w:t>全椒经纬壹品、淮北朔湖东苑及瑞俪花都项目投资后评价服务</w:t>
      </w:r>
      <w:r>
        <w:rPr>
          <w:rFonts w:hint="eastAsia" w:ascii="宋体" w:hAnsi="宋体" w:cs="宋体"/>
          <w:color w:val="auto"/>
          <w:sz w:val="24"/>
          <w:highlight w:val="none"/>
          <w:u w:val="none"/>
          <w:lang w:val="en-US" w:eastAsia="zh-CN"/>
        </w:rPr>
        <w:t>项目（</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none"/>
          <w:lang w:val="en-US" w:eastAsia="zh-CN"/>
        </w:rPr>
        <w:t>）标段</w:t>
      </w:r>
      <w:r>
        <w:rPr>
          <w:rFonts w:hint="eastAsia" w:ascii="宋体" w:hAnsi="宋体" w:cs="宋体"/>
          <w:color w:val="auto"/>
          <w:sz w:val="24"/>
          <w:highlight w:val="none"/>
        </w:rPr>
        <w:t>，按合同约定实施和完成相关服务。</w:t>
      </w:r>
    </w:p>
    <w:p w14:paraId="3BF0BA74">
      <w:pPr>
        <w:spacing w:line="360" w:lineRule="auto"/>
        <w:ind w:firstLine="480" w:firstLineChars="200"/>
        <w:rPr>
          <w:rFonts w:hAnsi="宋体" w:cs="宋体"/>
          <w:color w:val="auto"/>
          <w:sz w:val="24"/>
          <w:highlight w:val="none"/>
          <w:u w:val="single"/>
        </w:rPr>
      </w:pPr>
      <w:r>
        <w:rPr>
          <w:rFonts w:hint="eastAsia" w:ascii="宋体" w:hAnsi="宋体" w:cs="宋体"/>
          <w:color w:val="auto"/>
          <w:sz w:val="24"/>
          <w:highlight w:val="none"/>
        </w:rPr>
        <w:t>2、我单位拟派的项目负责人为：</w:t>
      </w:r>
      <w:r>
        <w:rPr>
          <w:rFonts w:hint="eastAsia" w:ascii="宋体" w:hAnsi="宋体"/>
          <w:color w:val="auto"/>
          <w:sz w:val="24"/>
          <w:szCs w:val="32"/>
          <w:highlight w:val="none"/>
          <w:u w:val="single"/>
        </w:rPr>
        <w:t xml:space="preserve">   　  </w:t>
      </w:r>
      <w:r>
        <w:rPr>
          <w:rFonts w:hint="eastAsia" w:ascii="宋体" w:hAnsi="宋体"/>
          <w:color w:val="auto"/>
          <w:sz w:val="24"/>
          <w:szCs w:val="32"/>
          <w:highlight w:val="none"/>
        </w:rPr>
        <w:t>，</w:t>
      </w:r>
      <w:r>
        <w:rPr>
          <w:rFonts w:hint="eastAsia" w:ascii="Times New Roman" w:hAnsi="Times New Roman" w:cs="Times New Roman"/>
          <w:color w:val="auto"/>
          <w:sz w:val="24"/>
          <w:highlight w:val="none"/>
        </w:rPr>
        <w:t>服务期：</w:t>
      </w:r>
      <w:r>
        <w:rPr>
          <w:rFonts w:hint="eastAsia" w:ascii="宋体" w:hAnsi="宋体"/>
          <w:color w:val="auto"/>
          <w:sz w:val="24"/>
          <w:szCs w:val="32"/>
          <w:highlight w:val="none"/>
          <w:u w:val="single"/>
        </w:rPr>
        <w:t xml:space="preserve">   　  </w:t>
      </w:r>
      <w:r>
        <w:rPr>
          <w:rFonts w:hint="eastAsia" w:hAnsi="宋体" w:cs="宋体"/>
          <w:color w:val="auto"/>
          <w:sz w:val="24"/>
          <w:highlight w:val="none"/>
        </w:rPr>
        <w:t>。</w:t>
      </w:r>
    </w:p>
    <w:p w14:paraId="1D9EB667">
      <w:pPr>
        <w:spacing w:line="360" w:lineRule="auto"/>
        <w:ind w:firstLine="480" w:firstLineChars="200"/>
        <w:rPr>
          <w:rFonts w:hAnsi="宋体" w:cs="宋体"/>
          <w:color w:val="auto"/>
          <w:sz w:val="24"/>
          <w:highlight w:val="none"/>
        </w:rPr>
      </w:pPr>
      <w:r>
        <w:rPr>
          <w:rFonts w:hint="eastAsia" w:hAnsi="宋体" w:cs="宋体"/>
          <w:color w:val="auto"/>
          <w:sz w:val="24"/>
          <w:highlight w:val="none"/>
        </w:rPr>
        <w:t>3、我单位承诺严格按照采购人满足审计要求到岗。</w:t>
      </w:r>
    </w:p>
    <w:p w14:paraId="415E2ACB">
      <w:pPr>
        <w:spacing w:line="360" w:lineRule="auto"/>
        <w:ind w:firstLine="480" w:firstLineChars="200"/>
        <w:rPr>
          <w:rFonts w:ascii="宋体" w:hAnsi="宋体" w:cs="宋体"/>
          <w:color w:val="auto"/>
          <w:sz w:val="24"/>
          <w:highlight w:val="none"/>
        </w:rPr>
      </w:pPr>
      <w:r>
        <w:rPr>
          <w:rFonts w:hint="eastAsia" w:hAnsi="宋体" w:cs="宋体"/>
          <w:color w:val="auto"/>
          <w:sz w:val="24"/>
          <w:highlight w:val="none"/>
        </w:rPr>
        <w:t>4、</w:t>
      </w:r>
      <w:r>
        <w:rPr>
          <w:rFonts w:hint="eastAsia" w:ascii="宋体" w:hAnsi="宋体" w:cs="宋体"/>
          <w:color w:val="auto"/>
          <w:sz w:val="24"/>
          <w:highlight w:val="none"/>
        </w:rPr>
        <w:t>我单位将严格按审计人员执业守则、国家相关法律法规、规范及采购人审定的审计方案、实施细则进行业务，保证服务质量和咨询成果质量。</w:t>
      </w:r>
    </w:p>
    <w:p w14:paraId="531CA7B5">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5、询比文件、本响应文件和中选通知书将构成约束我们双方的合同。</w:t>
      </w:r>
    </w:p>
    <w:p w14:paraId="07B88114">
      <w:pPr>
        <w:spacing w:line="360" w:lineRule="auto"/>
        <w:ind w:firstLine="480" w:firstLineChars="200"/>
        <w:rPr>
          <w:rFonts w:ascii="宋体" w:hAnsi="宋体"/>
          <w:color w:val="auto"/>
          <w:sz w:val="24"/>
          <w:szCs w:val="32"/>
          <w:highlight w:val="none"/>
          <w:u w:val="single"/>
        </w:rPr>
      </w:pPr>
      <w:r>
        <w:rPr>
          <w:rFonts w:hint="eastAsia" w:hAnsi="宋体" w:cs="宋体"/>
          <w:color w:val="auto"/>
          <w:sz w:val="24"/>
          <w:highlight w:val="none"/>
        </w:rPr>
        <w:t>6</w:t>
      </w:r>
      <w:r>
        <w:rPr>
          <w:rFonts w:hint="eastAsia" w:ascii="宋体" w:hAnsi="宋体"/>
          <w:color w:val="auto"/>
          <w:sz w:val="24"/>
          <w:szCs w:val="32"/>
          <w:highlight w:val="none"/>
        </w:rPr>
        <w:t>、与本报价有关的通讯地址：</w:t>
      </w:r>
    </w:p>
    <w:p w14:paraId="7D44E4CA">
      <w:pPr>
        <w:spacing w:line="360" w:lineRule="auto"/>
        <w:ind w:firstLine="630"/>
        <w:rPr>
          <w:rFonts w:ascii="宋体" w:hAnsi="宋体"/>
          <w:color w:val="auto"/>
          <w:sz w:val="24"/>
          <w:szCs w:val="32"/>
          <w:highlight w:val="none"/>
        </w:rPr>
      </w:pPr>
      <w:r>
        <w:rPr>
          <w:rFonts w:hint="eastAsia" w:ascii="宋体" w:hAnsi="宋体"/>
          <w:color w:val="auto"/>
          <w:sz w:val="24"/>
          <w:szCs w:val="32"/>
          <w:highlight w:val="none"/>
        </w:rPr>
        <w:t>电    话：</w:t>
      </w:r>
      <w:r>
        <w:rPr>
          <w:rFonts w:hint="eastAsia" w:ascii="宋体" w:hAnsi="宋体"/>
          <w:color w:val="auto"/>
          <w:sz w:val="24"/>
          <w:szCs w:val="32"/>
          <w:highlight w:val="none"/>
          <w:u w:val="single"/>
        </w:rPr>
        <w:t xml:space="preserve">   　  </w:t>
      </w:r>
    </w:p>
    <w:p w14:paraId="0BDE5249">
      <w:pPr>
        <w:spacing w:line="360" w:lineRule="auto"/>
        <w:ind w:firstLine="630"/>
        <w:rPr>
          <w:rFonts w:ascii="宋体" w:hAnsi="宋体"/>
          <w:color w:val="auto"/>
          <w:sz w:val="24"/>
          <w:szCs w:val="32"/>
          <w:highlight w:val="none"/>
          <w:u w:val="single"/>
        </w:rPr>
      </w:pPr>
      <w:r>
        <w:rPr>
          <w:rFonts w:hint="eastAsia" w:ascii="宋体" w:hAnsi="宋体"/>
          <w:color w:val="auto"/>
          <w:sz w:val="24"/>
          <w:szCs w:val="32"/>
          <w:highlight w:val="none"/>
        </w:rPr>
        <w:t>传    真：</w:t>
      </w:r>
      <w:r>
        <w:rPr>
          <w:rFonts w:hint="eastAsia" w:ascii="宋体" w:hAnsi="宋体"/>
          <w:color w:val="auto"/>
          <w:sz w:val="24"/>
          <w:szCs w:val="32"/>
          <w:highlight w:val="none"/>
          <w:u w:val="single"/>
        </w:rPr>
        <w:t xml:space="preserve">   　  </w:t>
      </w:r>
    </w:p>
    <w:p w14:paraId="430A30B7">
      <w:pPr>
        <w:spacing w:line="360" w:lineRule="auto"/>
        <w:ind w:firstLine="630"/>
        <w:rPr>
          <w:rFonts w:ascii="宋体" w:hAnsi="宋体"/>
          <w:color w:val="auto"/>
          <w:sz w:val="24"/>
          <w:szCs w:val="32"/>
          <w:highlight w:val="none"/>
          <w:u w:val="single"/>
        </w:rPr>
      </w:pPr>
      <w:r>
        <w:rPr>
          <w:rFonts w:hint="eastAsia" w:ascii="宋体" w:hAnsi="宋体"/>
          <w:color w:val="auto"/>
          <w:sz w:val="24"/>
          <w:szCs w:val="32"/>
          <w:highlight w:val="none"/>
        </w:rPr>
        <w:t>供应商（公章）：</w:t>
      </w:r>
      <w:r>
        <w:rPr>
          <w:rFonts w:hint="eastAsia" w:ascii="宋体" w:hAnsi="宋体"/>
          <w:color w:val="auto"/>
          <w:sz w:val="24"/>
          <w:szCs w:val="32"/>
          <w:highlight w:val="none"/>
          <w:u w:val="single"/>
        </w:rPr>
        <w:t xml:space="preserve">   　  </w:t>
      </w:r>
    </w:p>
    <w:p w14:paraId="44C14933">
      <w:pPr>
        <w:tabs>
          <w:tab w:val="left" w:pos="630"/>
        </w:tabs>
        <w:spacing w:line="360" w:lineRule="auto"/>
        <w:ind w:firstLine="630"/>
        <w:rPr>
          <w:rFonts w:ascii="宋体" w:hAnsi="宋体"/>
          <w:color w:val="auto"/>
          <w:sz w:val="24"/>
          <w:szCs w:val="32"/>
          <w:highlight w:val="none"/>
        </w:rPr>
      </w:pPr>
      <w:r>
        <w:rPr>
          <w:rFonts w:hint="eastAsia" w:ascii="宋体" w:hAnsi="宋体"/>
          <w:color w:val="auto"/>
          <w:sz w:val="24"/>
          <w:szCs w:val="32"/>
          <w:highlight w:val="none"/>
        </w:rPr>
        <w:t>日    期：</w:t>
      </w:r>
      <w:r>
        <w:rPr>
          <w:rFonts w:hint="eastAsia" w:ascii="宋体" w:hAnsi="宋体"/>
          <w:color w:val="auto"/>
          <w:sz w:val="24"/>
          <w:szCs w:val="32"/>
          <w:highlight w:val="none"/>
          <w:u w:val="single"/>
        </w:rPr>
        <w:t xml:space="preserve">   　  </w:t>
      </w:r>
    </w:p>
    <w:p w14:paraId="09C7CFD4">
      <w:pPr>
        <w:tabs>
          <w:tab w:val="left" w:pos="630"/>
        </w:tabs>
        <w:spacing w:line="360" w:lineRule="auto"/>
        <w:ind w:firstLine="630"/>
        <w:rPr>
          <w:rFonts w:ascii="宋体" w:hAnsi="宋体"/>
          <w:color w:val="auto"/>
          <w:sz w:val="24"/>
          <w:szCs w:val="32"/>
          <w:highlight w:val="none"/>
        </w:rPr>
      </w:pPr>
    </w:p>
    <w:p w14:paraId="18D49A1D">
      <w:pPr>
        <w:tabs>
          <w:tab w:val="left" w:pos="630"/>
        </w:tabs>
        <w:spacing w:line="360" w:lineRule="auto"/>
        <w:ind w:firstLine="630"/>
        <w:rPr>
          <w:rFonts w:ascii="宋体" w:hAnsi="宋体"/>
          <w:color w:val="auto"/>
          <w:sz w:val="24"/>
          <w:szCs w:val="32"/>
          <w:highlight w:val="none"/>
        </w:rPr>
        <w:sectPr>
          <w:footnotePr>
            <w:numFmt w:val="decimalEnclosedCircleChinese"/>
            <w:numRestart w:val="eachPage"/>
          </w:footnotePr>
          <w:pgSz w:w="12240" w:h="15840"/>
          <w:pgMar w:top="1417" w:right="1417" w:bottom="1417" w:left="1417" w:header="720" w:footer="720" w:gutter="0"/>
          <w:cols w:space="720" w:num="1"/>
          <w:docGrid w:linePitch="312" w:charSpace="0"/>
        </w:sectPr>
      </w:pPr>
    </w:p>
    <w:bookmarkEnd w:id="141"/>
    <w:p w14:paraId="48A1CED9">
      <w:pPr>
        <w:spacing w:line="440" w:lineRule="exact"/>
        <w:jc w:val="center"/>
        <w:rPr>
          <w:rFonts w:ascii="Times New Roman" w:hAnsi="Times New Roman" w:eastAsia="黑体" w:cs="Times New Roman"/>
          <w:color w:val="auto"/>
          <w:sz w:val="28"/>
          <w:szCs w:val="28"/>
          <w:highlight w:val="none"/>
        </w:rPr>
      </w:pPr>
      <w:bookmarkStart w:id="143" w:name="_Toc2279"/>
      <w:bookmarkStart w:id="144" w:name="_Toc239560969"/>
      <w:bookmarkStart w:id="145" w:name="_Toc250447933"/>
      <w:bookmarkStart w:id="146" w:name="_Toc521537236"/>
      <w:bookmarkStart w:id="147" w:name="_Toc447188033"/>
      <w:bookmarkStart w:id="148" w:name="_Toc231279113"/>
      <w:bookmarkStart w:id="149" w:name="_Toc259119894"/>
      <w:r>
        <w:rPr>
          <w:rFonts w:hint="eastAsia" w:ascii="Times New Roman" w:hAnsi="Times New Roman" w:eastAsia="黑体" w:cs="Times New Roman"/>
          <w:color w:val="auto"/>
          <w:sz w:val="28"/>
          <w:szCs w:val="28"/>
          <w:highlight w:val="none"/>
        </w:rPr>
        <w:t>1-2</w:t>
      </w:r>
      <w:r>
        <w:rPr>
          <w:rFonts w:ascii="Times New Roman" w:hAnsi="Times New Roman" w:eastAsia="黑体" w:cs="Times New Roman"/>
          <w:color w:val="auto"/>
          <w:sz w:val="28"/>
          <w:szCs w:val="28"/>
          <w:highlight w:val="none"/>
        </w:rPr>
        <w:t>已标价</w:t>
      </w:r>
      <w:r>
        <w:rPr>
          <w:rFonts w:hint="eastAsia" w:ascii="Times New Roman" w:hAnsi="Times New Roman" w:eastAsia="黑体" w:cs="Times New Roman"/>
          <w:color w:val="auto"/>
          <w:sz w:val="28"/>
          <w:szCs w:val="28"/>
          <w:highlight w:val="none"/>
        </w:rPr>
        <w:t>的报价清单</w:t>
      </w:r>
    </w:p>
    <w:tbl>
      <w:tblPr>
        <w:tblStyle w:val="26"/>
        <w:tblW w:w="4905" w:type="pct"/>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2402"/>
        <w:gridCol w:w="3374"/>
        <w:gridCol w:w="2702"/>
        <w:gridCol w:w="961"/>
      </w:tblGrid>
      <w:tr w14:paraId="4556732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272" w:type="pct"/>
          </w:tcPr>
          <w:p w14:paraId="342DF154">
            <w:pPr>
              <w:spacing w:line="440" w:lineRule="exact"/>
              <w:jc w:val="center"/>
              <w:rPr>
                <w:rFonts w:ascii="Times New Roman" w:hAnsi="Times New Roman" w:eastAsia="黑体" w:cs="Times New Roman"/>
                <w:color w:val="auto"/>
                <w:sz w:val="24"/>
                <w:highlight w:val="none"/>
              </w:rPr>
            </w:pPr>
            <w:r>
              <w:rPr>
                <w:rFonts w:ascii="Times New Roman" w:hAnsi="Times New Roman" w:eastAsia="黑体" w:cs="Times New Roman"/>
                <w:color w:val="auto"/>
                <w:sz w:val="24"/>
                <w:highlight w:val="none"/>
              </w:rPr>
              <w:t>序号</w:t>
            </w:r>
          </w:p>
        </w:tc>
        <w:tc>
          <w:tcPr>
            <w:tcW w:w="1787" w:type="pct"/>
          </w:tcPr>
          <w:p w14:paraId="701E489B">
            <w:pPr>
              <w:spacing w:line="440" w:lineRule="exact"/>
              <w:jc w:val="center"/>
              <w:rPr>
                <w:rFonts w:ascii="Times New Roman" w:hAnsi="Times New Roman" w:eastAsia="黑体" w:cs="Times New Roman"/>
                <w:color w:val="auto"/>
                <w:sz w:val="24"/>
                <w:highlight w:val="none"/>
              </w:rPr>
            </w:pPr>
            <w:r>
              <w:rPr>
                <w:rFonts w:ascii="Times New Roman" w:hAnsi="Times New Roman" w:eastAsia="黑体" w:cs="Times New Roman"/>
                <w:color w:val="auto"/>
                <w:sz w:val="24"/>
                <w:highlight w:val="none"/>
              </w:rPr>
              <w:t>合同内容</w:t>
            </w:r>
          </w:p>
        </w:tc>
        <w:tc>
          <w:tcPr>
            <w:tcW w:w="1431" w:type="pct"/>
          </w:tcPr>
          <w:p w14:paraId="135F6ACC">
            <w:pPr>
              <w:spacing w:line="440" w:lineRule="exact"/>
              <w:jc w:val="center"/>
              <w:rPr>
                <w:rFonts w:ascii="Times New Roman" w:hAnsi="Times New Roman" w:eastAsia="黑体" w:cs="Times New Roman"/>
                <w:color w:val="auto"/>
                <w:sz w:val="24"/>
                <w:highlight w:val="none"/>
              </w:rPr>
            </w:pPr>
            <w:r>
              <w:rPr>
                <w:rFonts w:ascii="Times New Roman" w:hAnsi="Times New Roman" w:eastAsia="黑体" w:cs="Times New Roman"/>
                <w:color w:val="auto"/>
                <w:sz w:val="24"/>
                <w:highlight w:val="none"/>
              </w:rPr>
              <w:t>金额（元）</w:t>
            </w:r>
          </w:p>
        </w:tc>
        <w:tc>
          <w:tcPr>
            <w:tcW w:w="509" w:type="pct"/>
          </w:tcPr>
          <w:p w14:paraId="28F365ED">
            <w:pPr>
              <w:spacing w:line="440" w:lineRule="exact"/>
              <w:jc w:val="center"/>
              <w:rPr>
                <w:rFonts w:ascii="Times New Roman" w:hAnsi="Times New Roman" w:eastAsia="黑体" w:cs="Times New Roman"/>
                <w:color w:val="auto"/>
                <w:sz w:val="24"/>
                <w:highlight w:val="none"/>
              </w:rPr>
            </w:pPr>
            <w:r>
              <w:rPr>
                <w:rFonts w:ascii="Times New Roman" w:hAnsi="Times New Roman" w:eastAsia="黑体" w:cs="Times New Roman"/>
                <w:color w:val="auto"/>
                <w:sz w:val="24"/>
                <w:highlight w:val="none"/>
              </w:rPr>
              <w:t>备注</w:t>
            </w:r>
          </w:p>
        </w:tc>
      </w:tr>
      <w:tr w14:paraId="43D9196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272" w:type="pct"/>
            <w:vAlign w:val="center"/>
          </w:tcPr>
          <w:p w14:paraId="2085166D">
            <w:pPr>
              <w:spacing w:line="440" w:lineRule="exact"/>
              <w:jc w:val="center"/>
              <w:rPr>
                <w:rFonts w:ascii="Times New Roman" w:hAnsi="Times New Roman" w:cs="Times New Roman" w:eastAsiaTheme="minorEastAsia"/>
                <w:color w:val="auto"/>
                <w:sz w:val="24"/>
                <w:highlight w:val="none"/>
              </w:rPr>
            </w:pPr>
            <w:r>
              <w:rPr>
                <w:rFonts w:ascii="Times New Roman" w:hAnsi="Times New Roman" w:cs="Times New Roman" w:eastAsiaTheme="minorEastAsia"/>
                <w:color w:val="auto"/>
                <w:sz w:val="24"/>
                <w:highlight w:val="none"/>
              </w:rPr>
              <w:t>1</w:t>
            </w:r>
          </w:p>
        </w:tc>
        <w:tc>
          <w:tcPr>
            <w:tcW w:w="1787" w:type="pct"/>
            <w:vAlign w:val="center"/>
          </w:tcPr>
          <w:p w14:paraId="6CCDDC00">
            <w:pPr>
              <w:spacing w:line="440" w:lineRule="exact"/>
              <w:jc w:val="center"/>
              <w:rPr>
                <w:rFonts w:hint="eastAsia" w:ascii="Times New Roman" w:cs="Times New Roman" w:hAnsiTheme="minorEastAsia" w:eastAsiaTheme="minorEastAsia"/>
                <w:color w:val="auto"/>
                <w:sz w:val="24"/>
                <w:highlight w:val="none"/>
                <w:u w:val="single"/>
                <w:lang w:eastAsia="zh-CN"/>
              </w:rPr>
            </w:pPr>
            <w:r>
              <w:rPr>
                <w:rFonts w:hint="eastAsia" w:ascii="Times New Roman" w:cs="Times New Roman" w:hAnsiTheme="minorEastAsia" w:eastAsiaTheme="minorEastAsia"/>
                <w:color w:val="auto"/>
                <w:sz w:val="24"/>
                <w:highlight w:val="none"/>
                <w:u w:val="single"/>
                <w:lang w:eastAsia="zh-CN"/>
              </w:rPr>
              <w:t>全椒经纬壹品、淮北朔湖东苑及瑞俪花都项目</w:t>
            </w:r>
          </w:p>
          <w:p w14:paraId="39C88284">
            <w:pPr>
              <w:spacing w:line="440" w:lineRule="exact"/>
              <w:jc w:val="center"/>
              <w:rPr>
                <w:rFonts w:ascii="Times New Roman" w:hAnsi="Times New Roman" w:cs="Times New Roman" w:eastAsiaTheme="minorEastAsia"/>
                <w:color w:val="auto"/>
                <w:sz w:val="24"/>
                <w:highlight w:val="none"/>
              </w:rPr>
            </w:pPr>
            <w:r>
              <w:rPr>
                <w:rFonts w:hint="eastAsia" w:ascii="Times New Roman" w:cs="Times New Roman" w:hAnsiTheme="minorEastAsia" w:eastAsiaTheme="minorEastAsia"/>
                <w:color w:val="auto"/>
                <w:sz w:val="24"/>
                <w:highlight w:val="none"/>
                <w:u w:val="single"/>
                <w:lang w:eastAsia="zh-CN"/>
              </w:rPr>
              <w:t>投资后评价服务</w:t>
            </w:r>
          </w:p>
        </w:tc>
        <w:tc>
          <w:tcPr>
            <w:tcW w:w="1431" w:type="pct"/>
            <w:vAlign w:val="center"/>
          </w:tcPr>
          <w:p w14:paraId="4218581F">
            <w:pPr>
              <w:spacing w:line="440" w:lineRule="exact"/>
              <w:jc w:val="center"/>
              <w:rPr>
                <w:rFonts w:ascii="Times New Roman" w:hAnsi="Times New Roman" w:cs="Times New Roman" w:eastAsiaTheme="minorEastAsia"/>
                <w:color w:val="auto"/>
                <w:sz w:val="24"/>
                <w:highlight w:val="none"/>
              </w:rPr>
            </w:pPr>
          </w:p>
        </w:tc>
        <w:tc>
          <w:tcPr>
            <w:tcW w:w="509" w:type="pct"/>
            <w:vAlign w:val="center"/>
          </w:tcPr>
          <w:p w14:paraId="5B62BA8D">
            <w:pPr>
              <w:spacing w:line="440" w:lineRule="exact"/>
              <w:jc w:val="center"/>
              <w:rPr>
                <w:rFonts w:ascii="Times New Roman" w:hAnsi="Times New Roman" w:cs="Times New Roman" w:eastAsiaTheme="minorEastAsia"/>
                <w:color w:val="auto"/>
                <w:sz w:val="24"/>
                <w:highlight w:val="none"/>
              </w:rPr>
            </w:pPr>
          </w:p>
        </w:tc>
      </w:tr>
    </w:tbl>
    <w:p w14:paraId="525D3017">
      <w:pPr>
        <w:rPr>
          <w:rFonts w:ascii="宋体" w:hAnsi="宋体"/>
          <w:b/>
          <w:bCs/>
          <w:color w:val="auto"/>
          <w:sz w:val="28"/>
          <w:szCs w:val="32"/>
          <w:highlight w:val="none"/>
        </w:rPr>
      </w:pPr>
    </w:p>
    <w:p w14:paraId="4A7164B9">
      <w:pPr>
        <w:rPr>
          <w:rFonts w:ascii="宋体" w:hAnsi="宋体"/>
          <w:b/>
          <w:bCs/>
          <w:color w:val="auto"/>
          <w:sz w:val="28"/>
          <w:szCs w:val="32"/>
          <w:highlight w:val="none"/>
        </w:rPr>
      </w:pPr>
      <w:r>
        <w:rPr>
          <w:rFonts w:hint="eastAsia" w:ascii="宋体" w:hAnsi="宋体"/>
          <w:b/>
          <w:bCs/>
          <w:color w:val="auto"/>
          <w:sz w:val="28"/>
          <w:szCs w:val="32"/>
          <w:highlight w:val="none"/>
        </w:rPr>
        <w:br w:type="page"/>
      </w:r>
    </w:p>
    <w:p w14:paraId="3905CB2F">
      <w:pPr>
        <w:jc w:val="center"/>
        <w:outlineLvl w:val="0"/>
        <w:rPr>
          <w:rFonts w:ascii="宋体" w:hAnsi="宋体"/>
          <w:b/>
          <w:bCs/>
          <w:color w:val="auto"/>
          <w:sz w:val="28"/>
          <w:szCs w:val="32"/>
          <w:highlight w:val="none"/>
        </w:rPr>
      </w:pPr>
      <w:r>
        <w:rPr>
          <w:rFonts w:hint="eastAsia" w:ascii="宋体" w:hAnsi="宋体"/>
          <w:b/>
          <w:bCs/>
          <w:color w:val="auto"/>
          <w:sz w:val="28"/>
          <w:szCs w:val="32"/>
          <w:highlight w:val="none"/>
        </w:rPr>
        <w:t>二．响应授权书</w:t>
      </w:r>
      <w:bookmarkEnd w:id="143"/>
    </w:p>
    <w:p w14:paraId="0D207C03">
      <w:pPr>
        <w:rPr>
          <w:rFonts w:ascii="宋体" w:hAnsi="宋体"/>
          <w:b/>
          <w:bCs/>
          <w:color w:val="auto"/>
          <w:sz w:val="28"/>
          <w:szCs w:val="32"/>
          <w:highlight w:val="none"/>
        </w:rPr>
      </w:pPr>
    </w:p>
    <w:p w14:paraId="63F74219">
      <w:pPr>
        <w:snapToGrid w:val="0"/>
        <w:spacing w:line="360" w:lineRule="auto"/>
        <w:ind w:firstLine="480" w:firstLineChars="200"/>
        <w:jc w:val="left"/>
        <w:rPr>
          <w:rFonts w:ascii="宋体" w:hAnsi="宋体"/>
          <w:color w:val="auto"/>
          <w:sz w:val="24"/>
          <w:szCs w:val="28"/>
          <w:highlight w:val="none"/>
        </w:rPr>
      </w:pPr>
      <w:r>
        <w:rPr>
          <w:rFonts w:hint="eastAsia" w:ascii="宋体" w:hAnsi="宋体"/>
          <w:color w:val="auto"/>
          <w:sz w:val="24"/>
          <w:szCs w:val="28"/>
          <w:highlight w:val="none"/>
        </w:rPr>
        <w:t>本授权书声明：</w:t>
      </w:r>
      <w:r>
        <w:rPr>
          <w:rFonts w:hint="eastAsia" w:ascii="宋体" w:hAnsi="宋体"/>
          <w:color w:val="auto"/>
          <w:sz w:val="24"/>
          <w:szCs w:val="32"/>
          <w:highlight w:val="none"/>
          <w:u w:val="single"/>
        </w:rPr>
        <w:t xml:space="preserve">   　  </w:t>
      </w:r>
      <w:r>
        <w:rPr>
          <w:rFonts w:hint="eastAsia" w:ascii="宋体" w:hAnsi="宋体"/>
          <w:color w:val="auto"/>
          <w:sz w:val="24"/>
          <w:szCs w:val="28"/>
          <w:highlight w:val="none"/>
        </w:rPr>
        <w:t>公司授权本公司</w:t>
      </w:r>
      <w:r>
        <w:rPr>
          <w:rFonts w:hint="eastAsia" w:ascii="宋体" w:hAnsi="宋体"/>
          <w:color w:val="auto"/>
          <w:sz w:val="24"/>
          <w:szCs w:val="32"/>
          <w:highlight w:val="none"/>
          <w:u w:val="single"/>
        </w:rPr>
        <w:t xml:space="preserve">   　  </w:t>
      </w:r>
      <w:r>
        <w:rPr>
          <w:rFonts w:hint="eastAsia" w:ascii="宋体" w:hAnsi="宋体"/>
          <w:color w:val="auto"/>
          <w:sz w:val="24"/>
          <w:szCs w:val="28"/>
          <w:highlight w:val="none"/>
        </w:rPr>
        <w:t>（供应商授权代表姓名、职务）代表本公司参加</w:t>
      </w:r>
      <w:r>
        <w:rPr>
          <w:rFonts w:hint="eastAsia" w:ascii="宋体" w:hAnsi="宋体"/>
          <w:color w:val="auto"/>
          <w:sz w:val="24"/>
          <w:szCs w:val="28"/>
          <w:highlight w:val="none"/>
          <w:u w:val="single"/>
          <w:lang w:eastAsia="zh-CN"/>
        </w:rPr>
        <w:t>全椒经纬壹品、淮北朔湖东苑及瑞俪花都项目投资后评价服务</w:t>
      </w:r>
      <w:r>
        <w:rPr>
          <w:rFonts w:hint="eastAsia" w:ascii="宋体" w:hAnsi="宋体"/>
          <w:bCs/>
          <w:color w:val="auto"/>
          <w:sz w:val="24"/>
          <w:szCs w:val="28"/>
          <w:highlight w:val="none"/>
        </w:rPr>
        <w:t>采购活动</w:t>
      </w:r>
      <w:r>
        <w:rPr>
          <w:rFonts w:hint="eastAsia" w:ascii="宋体" w:hAnsi="宋体"/>
          <w:color w:val="auto"/>
          <w:sz w:val="24"/>
          <w:szCs w:val="28"/>
          <w:highlight w:val="none"/>
        </w:rPr>
        <w:t>，全权代表本公司处理响应过程的一切事宜，包括但不限于：参与响应、谈判、签约等。供应商授权代表在响应过程中所签署的一切文件和处理与之有关的一切事务，本公司均予以认可并对此承担责任。供应商授权代表无转委托权。特此授权。</w:t>
      </w:r>
    </w:p>
    <w:p w14:paraId="29FAA95C">
      <w:pPr>
        <w:snapToGrid w:val="0"/>
        <w:spacing w:line="360" w:lineRule="auto"/>
        <w:ind w:firstLine="480" w:firstLineChars="200"/>
        <w:jc w:val="left"/>
        <w:rPr>
          <w:rFonts w:ascii="宋体" w:hAnsi="宋体"/>
          <w:color w:val="auto"/>
          <w:sz w:val="24"/>
          <w:szCs w:val="28"/>
          <w:highlight w:val="none"/>
        </w:rPr>
      </w:pPr>
      <w:r>
        <w:rPr>
          <w:rFonts w:hint="eastAsia" w:ascii="宋体" w:hAnsi="宋体"/>
          <w:color w:val="auto"/>
          <w:sz w:val="24"/>
          <w:szCs w:val="28"/>
          <w:highlight w:val="none"/>
        </w:rPr>
        <w:t>本授权书自出具之日起生效。</w:t>
      </w:r>
    </w:p>
    <w:p w14:paraId="6712B375">
      <w:pPr>
        <w:spacing w:line="360" w:lineRule="auto"/>
        <w:ind w:firstLine="645"/>
        <w:rPr>
          <w:rFonts w:ascii="宋体" w:hAnsi="宋体"/>
          <w:color w:val="auto"/>
          <w:sz w:val="24"/>
          <w:szCs w:val="28"/>
          <w:highlight w:val="none"/>
        </w:rPr>
      </w:pPr>
      <w:r>
        <w:rPr>
          <w:rFonts w:hint="eastAsia" w:ascii="宋体" w:hAnsi="宋体"/>
          <w:color w:val="auto"/>
          <w:sz w:val="24"/>
          <w:szCs w:val="28"/>
          <w:highlight w:val="none"/>
        </w:rPr>
        <w:t>特此声明。</w:t>
      </w:r>
    </w:p>
    <w:p w14:paraId="33047FB1">
      <w:pPr>
        <w:spacing w:line="360" w:lineRule="auto"/>
        <w:rPr>
          <w:rFonts w:ascii="宋体" w:hAnsi="宋体"/>
          <w:color w:val="auto"/>
          <w:sz w:val="24"/>
          <w:szCs w:val="28"/>
          <w:highlight w:val="none"/>
        </w:rPr>
      </w:pPr>
      <w:r>
        <w:rPr>
          <w:rFonts w:hint="eastAsia" w:ascii="宋体" w:hAnsi="宋体"/>
          <w:color w:val="auto"/>
          <w:sz w:val="24"/>
          <w:szCs w:val="28"/>
          <w:highlight w:val="none"/>
        </w:rPr>
        <w:t>供应商授权代表姓名：</w:t>
      </w:r>
      <w:r>
        <w:rPr>
          <w:rFonts w:hint="eastAsia" w:ascii="宋体" w:hAnsi="宋体"/>
          <w:color w:val="auto"/>
          <w:sz w:val="24"/>
          <w:szCs w:val="32"/>
          <w:highlight w:val="none"/>
          <w:u w:val="single"/>
        </w:rPr>
        <w:t xml:space="preserve">   　  </w:t>
      </w:r>
    </w:p>
    <w:p w14:paraId="52B8C3B2">
      <w:pPr>
        <w:spacing w:line="360" w:lineRule="auto"/>
        <w:rPr>
          <w:rFonts w:ascii="宋体" w:hAnsi="宋体"/>
          <w:color w:val="auto"/>
          <w:sz w:val="24"/>
          <w:szCs w:val="28"/>
          <w:highlight w:val="none"/>
        </w:rPr>
      </w:pPr>
      <w:r>
        <w:rPr>
          <w:rFonts w:hint="eastAsia" w:ascii="宋体" w:hAnsi="宋体"/>
          <w:color w:val="auto"/>
          <w:sz w:val="24"/>
          <w:szCs w:val="28"/>
          <w:highlight w:val="none"/>
        </w:rPr>
        <w:t>性别：</w:t>
      </w:r>
      <w:r>
        <w:rPr>
          <w:rFonts w:hint="eastAsia" w:ascii="宋体" w:hAnsi="宋体"/>
          <w:color w:val="auto"/>
          <w:sz w:val="24"/>
          <w:szCs w:val="32"/>
          <w:highlight w:val="none"/>
          <w:u w:val="single"/>
        </w:rPr>
        <w:t xml:space="preserve">   　  </w:t>
      </w:r>
    </w:p>
    <w:p w14:paraId="3FB8785B">
      <w:pPr>
        <w:spacing w:line="360" w:lineRule="auto"/>
        <w:rPr>
          <w:rFonts w:ascii="宋体" w:hAnsi="宋体"/>
          <w:color w:val="auto"/>
          <w:sz w:val="24"/>
          <w:szCs w:val="28"/>
          <w:highlight w:val="none"/>
        </w:rPr>
      </w:pPr>
      <w:r>
        <w:rPr>
          <w:rFonts w:hint="eastAsia" w:ascii="宋体" w:hAnsi="宋体"/>
          <w:color w:val="auto"/>
          <w:sz w:val="24"/>
          <w:szCs w:val="28"/>
          <w:highlight w:val="none"/>
        </w:rPr>
        <w:t>身份证号：</w:t>
      </w:r>
      <w:r>
        <w:rPr>
          <w:rFonts w:hint="eastAsia" w:ascii="宋体" w:hAnsi="宋体"/>
          <w:color w:val="auto"/>
          <w:sz w:val="24"/>
          <w:szCs w:val="32"/>
          <w:highlight w:val="none"/>
          <w:u w:val="single"/>
        </w:rPr>
        <w:t xml:space="preserve">   　  </w:t>
      </w:r>
    </w:p>
    <w:p w14:paraId="6A02E976">
      <w:pPr>
        <w:spacing w:line="360" w:lineRule="auto"/>
        <w:rPr>
          <w:rFonts w:ascii="宋体" w:hAnsi="宋体"/>
          <w:color w:val="auto"/>
          <w:sz w:val="24"/>
          <w:szCs w:val="28"/>
          <w:highlight w:val="none"/>
        </w:rPr>
      </w:pPr>
    </w:p>
    <w:p w14:paraId="6FD238C6">
      <w:pPr>
        <w:spacing w:line="360" w:lineRule="auto"/>
        <w:rPr>
          <w:rFonts w:ascii="宋体" w:hAnsi="宋体"/>
          <w:color w:val="auto"/>
          <w:sz w:val="24"/>
          <w:szCs w:val="28"/>
          <w:highlight w:val="none"/>
        </w:rPr>
      </w:pPr>
    </w:p>
    <w:p w14:paraId="22604567">
      <w:pPr>
        <w:spacing w:line="360" w:lineRule="auto"/>
        <w:rPr>
          <w:rFonts w:ascii="宋体" w:hAnsi="宋体"/>
          <w:color w:val="auto"/>
          <w:sz w:val="24"/>
          <w:szCs w:val="28"/>
          <w:highlight w:val="none"/>
        </w:rPr>
      </w:pPr>
    </w:p>
    <w:p w14:paraId="1D66F1F3">
      <w:pPr>
        <w:spacing w:line="360" w:lineRule="auto"/>
        <w:rPr>
          <w:rFonts w:ascii="宋体" w:hAnsi="宋体"/>
          <w:b/>
          <w:bCs/>
          <w:color w:val="auto"/>
          <w:sz w:val="24"/>
          <w:szCs w:val="28"/>
          <w:highlight w:val="none"/>
        </w:rPr>
      </w:pPr>
      <w:r>
        <w:rPr>
          <w:rFonts w:hint="eastAsia" w:ascii="宋体" w:hAnsi="宋体"/>
          <w:b/>
          <w:bCs/>
          <w:color w:val="auto"/>
          <w:sz w:val="24"/>
          <w:szCs w:val="28"/>
          <w:highlight w:val="none"/>
        </w:rPr>
        <w:t>供应商（公章）：</w:t>
      </w:r>
      <w:r>
        <w:rPr>
          <w:rFonts w:hint="eastAsia" w:ascii="宋体" w:hAnsi="宋体"/>
          <w:color w:val="auto"/>
          <w:sz w:val="24"/>
          <w:szCs w:val="32"/>
          <w:highlight w:val="none"/>
          <w:u w:val="single"/>
        </w:rPr>
        <w:t xml:space="preserve">   　  </w:t>
      </w:r>
    </w:p>
    <w:p w14:paraId="7421ED9F">
      <w:pPr>
        <w:tabs>
          <w:tab w:val="center" w:pos="4196"/>
        </w:tabs>
        <w:spacing w:line="360" w:lineRule="auto"/>
        <w:rPr>
          <w:rFonts w:ascii="宋体" w:hAnsi="宋体"/>
          <w:color w:val="auto"/>
          <w:sz w:val="24"/>
          <w:szCs w:val="28"/>
          <w:highlight w:val="none"/>
        </w:rPr>
      </w:pPr>
      <w:r>
        <w:rPr>
          <w:rFonts w:ascii="宋体" w:hAnsi="宋体"/>
          <w:color w:val="auto"/>
          <w:sz w:val="24"/>
          <w:szCs w:val="28"/>
          <w:highlight w:val="none"/>
        </w:rPr>
        <w:tab/>
      </w:r>
    </w:p>
    <w:p w14:paraId="1CEE062C">
      <w:pPr>
        <w:spacing w:line="360" w:lineRule="auto"/>
        <w:rPr>
          <w:rFonts w:ascii="宋体" w:hAnsi="宋体"/>
          <w:color w:val="auto"/>
          <w:sz w:val="24"/>
          <w:szCs w:val="28"/>
          <w:highlight w:val="none"/>
        </w:rPr>
      </w:pPr>
      <w:r>
        <w:rPr>
          <w:rFonts w:hint="eastAsia" w:ascii="宋体" w:hAnsi="宋体"/>
          <w:color w:val="auto"/>
          <w:sz w:val="24"/>
          <w:szCs w:val="28"/>
          <w:highlight w:val="none"/>
        </w:rPr>
        <w:t>日     期：</w:t>
      </w:r>
      <w:r>
        <w:rPr>
          <w:rFonts w:hint="eastAsia" w:ascii="宋体" w:hAnsi="宋体"/>
          <w:color w:val="auto"/>
          <w:sz w:val="24"/>
          <w:szCs w:val="32"/>
          <w:highlight w:val="none"/>
          <w:u w:val="single"/>
        </w:rPr>
        <w:t xml:space="preserve">   　  </w:t>
      </w:r>
    </w:p>
    <w:p w14:paraId="2A9B1BB8">
      <w:pPr>
        <w:rPr>
          <w:rFonts w:ascii="宋体" w:hAnsi="宋体" w:cs="宋体"/>
          <w:color w:val="auto"/>
          <w:sz w:val="24"/>
          <w:highlight w:val="none"/>
        </w:rPr>
      </w:pPr>
    </w:p>
    <w:p w14:paraId="4F6DA08D">
      <w:pPr>
        <w:jc w:val="center"/>
        <w:rPr>
          <w:rFonts w:ascii="宋体" w:hAnsi="宋体"/>
          <w:b/>
          <w:bCs/>
          <w:color w:val="auto"/>
          <w:sz w:val="28"/>
          <w:szCs w:val="32"/>
          <w:highlight w:val="none"/>
        </w:rPr>
        <w:sectPr>
          <w:footnotePr>
            <w:numFmt w:val="decimalEnclosedCircleChinese"/>
            <w:numRestart w:val="eachPage"/>
          </w:footnotePr>
          <w:pgSz w:w="12240" w:h="15840"/>
          <w:pgMar w:top="1417" w:right="1417" w:bottom="1417" w:left="1417" w:header="720" w:footer="720" w:gutter="0"/>
          <w:cols w:space="720" w:num="1"/>
          <w:docGrid w:linePitch="312" w:charSpace="0"/>
        </w:sectPr>
      </w:pPr>
    </w:p>
    <w:p w14:paraId="21B58A11">
      <w:pPr>
        <w:jc w:val="center"/>
        <w:outlineLvl w:val="0"/>
        <w:rPr>
          <w:rFonts w:ascii="宋体" w:hAnsi="宋体"/>
          <w:b/>
          <w:bCs/>
          <w:color w:val="auto"/>
          <w:sz w:val="28"/>
          <w:szCs w:val="32"/>
          <w:highlight w:val="none"/>
        </w:rPr>
      </w:pPr>
      <w:bookmarkStart w:id="150" w:name="_Toc15088"/>
      <w:r>
        <w:rPr>
          <w:rFonts w:hint="eastAsia" w:ascii="宋体" w:hAnsi="宋体"/>
          <w:b/>
          <w:bCs/>
          <w:color w:val="auto"/>
          <w:sz w:val="28"/>
          <w:szCs w:val="32"/>
          <w:highlight w:val="none"/>
        </w:rPr>
        <w:t>三．供应商基本情况表</w:t>
      </w:r>
      <w:bookmarkEnd w:id="150"/>
    </w:p>
    <w:tbl>
      <w:tblPr>
        <w:tblStyle w:val="25"/>
        <w:tblW w:w="9620"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959"/>
        <w:gridCol w:w="1110"/>
        <w:gridCol w:w="1110"/>
        <w:gridCol w:w="739"/>
        <w:gridCol w:w="556"/>
        <w:gridCol w:w="1366"/>
        <w:gridCol w:w="504"/>
        <w:gridCol w:w="884"/>
        <w:gridCol w:w="1392"/>
      </w:tblGrid>
      <w:tr w14:paraId="401DFDF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1959" w:type="dxa"/>
            <w:vAlign w:val="center"/>
          </w:tcPr>
          <w:p w14:paraId="26A70A70">
            <w:pPr>
              <w:topLinePunct/>
              <w:snapToGrid w:val="0"/>
              <w:jc w:val="center"/>
              <w:rPr>
                <w:color w:val="auto"/>
                <w:sz w:val="24"/>
                <w:highlight w:val="none"/>
              </w:rPr>
            </w:pPr>
            <w:r>
              <w:rPr>
                <w:rFonts w:hint="eastAsia"/>
                <w:color w:val="auto"/>
                <w:sz w:val="24"/>
                <w:highlight w:val="none"/>
              </w:rPr>
              <w:t>供应商</w:t>
            </w:r>
            <w:r>
              <w:rPr>
                <w:color w:val="auto"/>
                <w:sz w:val="24"/>
                <w:highlight w:val="none"/>
              </w:rPr>
              <w:t>名称</w:t>
            </w:r>
          </w:p>
        </w:tc>
        <w:tc>
          <w:tcPr>
            <w:tcW w:w="7661" w:type="dxa"/>
            <w:gridSpan w:val="8"/>
            <w:vAlign w:val="center"/>
          </w:tcPr>
          <w:p w14:paraId="59BBFFC1">
            <w:pPr>
              <w:topLinePunct/>
              <w:spacing w:line="440" w:lineRule="exact"/>
              <w:jc w:val="center"/>
              <w:rPr>
                <w:color w:val="auto"/>
                <w:sz w:val="24"/>
                <w:highlight w:val="none"/>
              </w:rPr>
            </w:pPr>
          </w:p>
        </w:tc>
      </w:tr>
      <w:tr w14:paraId="4739CF1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1959" w:type="dxa"/>
            <w:vAlign w:val="center"/>
          </w:tcPr>
          <w:p w14:paraId="5DEF8FC9">
            <w:pPr>
              <w:topLinePunct/>
              <w:spacing w:line="440" w:lineRule="exact"/>
              <w:jc w:val="center"/>
              <w:rPr>
                <w:color w:val="auto"/>
                <w:sz w:val="24"/>
                <w:highlight w:val="none"/>
              </w:rPr>
            </w:pPr>
            <w:r>
              <w:rPr>
                <w:color w:val="auto"/>
                <w:sz w:val="24"/>
                <w:highlight w:val="none"/>
              </w:rPr>
              <w:t>注册地址</w:t>
            </w:r>
          </w:p>
        </w:tc>
        <w:tc>
          <w:tcPr>
            <w:tcW w:w="3515" w:type="dxa"/>
            <w:gridSpan w:val="4"/>
            <w:vAlign w:val="center"/>
          </w:tcPr>
          <w:p w14:paraId="10981135">
            <w:pPr>
              <w:topLinePunct/>
              <w:spacing w:line="440" w:lineRule="exact"/>
              <w:jc w:val="center"/>
              <w:rPr>
                <w:color w:val="auto"/>
                <w:sz w:val="24"/>
                <w:highlight w:val="none"/>
              </w:rPr>
            </w:pPr>
          </w:p>
        </w:tc>
        <w:tc>
          <w:tcPr>
            <w:tcW w:w="1366" w:type="dxa"/>
            <w:vAlign w:val="center"/>
          </w:tcPr>
          <w:p w14:paraId="12545EBA">
            <w:pPr>
              <w:topLinePunct/>
              <w:spacing w:line="440" w:lineRule="exact"/>
              <w:jc w:val="center"/>
              <w:rPr>
                <w:color w:val="auto"/>
                <w:sz w:val="24"/>
                <w:highlight w:val="none"/>
              </w:rPr>
            </w:pPr>
            <w:r>
              <w:rPr>
                <w:color w:val="auto"/>
                <w:sz w:val="24"/>
                <w:highlight w:val="none"/>
              </w:rPr>
              <w:t>邮政编码</w:t>
            </w:r>
          </w:p>
        </w:tc>
        <w:tc>
          <w:tcPr>
            <w:tcW w:w="2780" w:type="dxa"/>
            <w:gridSpan w:val="3"/>
            <w:vAlign w:val="center"/>
          </w:tcPr>
          <w:p w14:paraId="7DBB8482">
            <w:pPr>
              <w:topLinePunct/>
              <w:spacing w:line="440" w:lineRule="exact"/>
              <w:jc w:val="center"/>
              <w:rPr>
                <w:color w:val="auto"/>
                <w:sz w:val="24"/>
                <w:highlight w:val="none"/>
              </w:rPr>
            </w:pPr>
          </w:p>
        </w:tc>
      </w:tr>
      <w:tr w14:paraId="2A74205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1959" w:type="dxa"/>
            <w:vMerge w:val="restart"/>
            <w:vAlign w:val="center"/>
          </w:tcPr>
          <w:p w14:paraId="127FC9CF">
            <w:pPr>
              <w:topLinePunct/>
              <w:spacing w:line="440" w:lineRule="exact"/>
              <w:jc w:val="center"/>
              <w:rPr>
                <w:color w:val="auto"/>
                <w:sz w:val="24"/>
                <w:highlight w:val="none"/>
              </w:rPr>
            </w:pPr>
            <w:r>
              <w:rPr>
                <w:color w:val="auto"/>
                <w:sz w:val="24"/>
                <w:highlight w:val="none"/>
              </w:rPr>
              <w:t>联系方式</w:t>
            </w:r>
          </w:p>
        </w:tc>
        <w:tc>
          <w:tcPr>
            <w:tcW w:w="1110" w:type="dxa"/>
            <w:vAlign w:val="center"/>
          </w:tcPr>
          <w:p w14:paraId="40E15734">
            <w:pPr>
              <w:topLinePunct/>
              <w:spacing w:line="440" w:lineRule="exact"/>
              <w:jc w:val="center"/>
              <w:rPr>
                <w:color w:val="auto"/>
                <w:sz w:val="24"/>
                <w:highlight w:val="none"/>
              </w:rPr>
            </w:pPr>
            <w:r>
              <w:rPr>
                <w:color w:val="auto"/>
                <w:sz w:val="24"/>
                <w:highlight w:val="none"/>
              </w:rPr>
              <w:t>联系人</w:t>
            </w:r>
          </w:p>
        </w:tc>
        <w:tc>
          <w:tcPr>
            <w:tcW w:w="2405" w:type="dxa"/>
            <w:gridSpan w:val="3"/>
            <w:vAlign w:val="center"/>
          </w:tcPr>
          <w:p w14:paraId="40F8E22C">
            <w:pPr>
              <w:topLinePunct/>
              <w:spacing w:line="440" w:lineRule="exact"/>
              <w:jc w:val="center"/>
              <w:rPr>
                <w:color w:val="auto"/>
                <w:sz w:val="24"/>
                <w:highlight w:val="none"/>
              </w:rPr>
            </w:pPr>
          </w:p>
        </w:tc>
        <w:tc>
          <w:tcPr>
            <w:tcW w:w="1366" w:type="dxa"/>
            <w:vAlign w:val="center"/>
          </w:tcPr>
          <w:p w14:paraId="56F62457">
            <w:pPr>
              <w:topLinePunct/>
              <w:spacing w:line="440" w:lineRule="exact"/>
              <w:jc w:val="center"/>
              <w:rPr>
                <w:color w:val="auto"/>
                <w:sz w:val="24"/>
                <w:highlight w:val="none"/>
              </w:rPr>
            </w:pPr>
            <w:r>
              <w:rPr>
                <w:color w:val="auto"/>
                <w:sz w:val="24"/>
                <w:highlight w:val="none"/>
              </w:rPr>
              <w:t>电 话</w:t>
            </w:r>
          </w:p>
        </w:tc>
        <w:tc>
          <w:tcPr>
            <w:tcW w:w="2780" w:type="dxa"/>
            <w:gridSpan w:val="3"/>
            <w:vAlign w:val="center"/>
          </w:tcPr>
          <w:p w14:paraId="217E33E3">
            <w:pPr>
              <w:topLinePunct/>
              <w:spacing w:line="440" w:lineRule="exact"/>
              <w:jc w:val="center"/>
              <w:rPr>
                <w:color w:val="auto"/>
                <w:sz w:val="24"/>
                <w:highlight w:val="none"/>
              </w:rPr>
            </w:pPr>
          </w:p>
        </w:tc>
      </w:tr>
      <w:tr w14:paraId="30D3F80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959" w:type="dxa"/>
            <w:vMerge w:val="continue"/>
            <w:vAlign w:val="center"/>
          </w:tcPr>
          <w:p w14:paraId="4909CFBE">
            <w:pPr>
              <w:topLinePunct/>
              <w:spacing w:line="440" w:lineRule="exact"/>
              <w:jc w:val="center"/>
              <w:rPr>
                <w:color w:val="auto"/>
                <w:sz w:val="24"/>
                <w:highlight w:val="none"/>
              </w:rPr>
            </w:pPr>
          </w:p>
        </w:tc>
        <w:tc>
          <w:tcPr>
            <w:tcW w:w="1110" w:type="dxa"/>
            <w:vAlign w:val="center"/>
          </w:tcPr>
          <w:p w14:paraId="6B324CA1">
            <w:pPr>
              <w:topLinePunct/>
              <w:spacing w:line="440" w:lineRule="exact"/>
              <w:jc w:val="center"/>
              <w:rPr>
                <w:color w:val="auto"/>
                <w:sz w:val="24"/>
                <w:highlight w:val="none"/>
              </w:rPr>
            </w:pPr>
            <w:r>
              <w:rPr>
                <w:color w:val="auto"/>
                <w:sz w:val="24"/>
                <w:highlight w:val="none"/>
              </w:rPr>
              <w:t>传  真</w:t>
            </w:r>
          </w:p>
        </w:tc>
        <w:tc>
          <w:tcPr>
            <w:tcW w:w="2405" w:type="dxa"/>
            <w:gridSpan w:val="3"/>
            <w:vAlign w:val="center"/>
          </w:tcPr>
          <w:p w14:paraId="5C36BF52">
            <w:pPr>
              <w:topLinePunct/>
              <w:spacing w:line="440" w:lineRule="exact"/>
              <w:jc w:val="center"/>
              <w:rPr>
                <w:color w:val="auto"/>
                <w:sz w:val="24"/>
                <w:highlight w:val="none"/>
              </w:rPr>
            </w:pPr>
          </w:p>
        </w:tc>
        <w:tc>
          <w:tcPr>
            <w:tcW w:w="1366" w:type="dxa"/>
            <w:vAlign w:val="center"/>
          </w:tcPr>
          <w:p w14:paraId="4B5A9A21">
            <w:pPr>
              <w:topLinePunct/>
              <w:spacing w:line="440" w:lineRule="exact"/>
              <w:jc w:val="center"/>
              <w:rPr>
                <w:color w:val="auto"/>
                <w:sz w:val="24"/>
                <w:highlight w:val="none"/>
              </w:rPr>
            </w:pPr>
            <w:r>
              <w:rPr>
                <w:color w:val="auto"/>
                <w:sz w:val="24"/>
                <w:highlight w:val="none"/>
              </w:rPr>
              <w:t>电子邮件</w:t>
            </w:r>
          </w:p>
        </w:tc>
        <w:tc>
          <w:tcPr>
            <w:tcW w:w="2780" w:type="dxa"/>
            <w:gridSpan w:val="3"/>
            <w:vAlign w:val="center"/>
          </w:tcPr>
          <w:p w14:paraId="1C9C8CAA">
            <w:pPr>
              <w:topLinePunct/>
              <w:spacing w:line="440" w:lineRule="exact"/>
              <w:jc w:val="center"/>
              <w:rPr>
                <w:color w:val="auto"/>
                <w:sz w:val="24"/>
                <w:highlight w:val="none"/>
              </w:rPr>
            </w:pPr>
          </w:p>
        </w:tc>
      </w:tr>
      <w:tr w14:paraId="5769476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07" w:hRule="atLeast"/>
          <w:jc w:val="center"/>
        </w:trPr>
        <w:tc>
          <w:tcPr>
            <w:tcW w:w="1959" w:type="dxa"/>
            <w:vAlign w:val="center"/>
          </w:tcPr>
          <w:p w14:paraId="3ADF22C7">
            <w:pPr>
              <w:topLinePunct/>
              <w:spacing w:line="440" w:lineRule="exact"/>
              <w:jc w:val="center"/>
              <w:rPr>
                <w:color w:val="auto"/>
                <w:sz w:val="24"/>
                <w:highlight w:val="none"/>
              </w:rPr>
            </w:pPr>
            <w:r>
              <w:rPr>
                <w:color w:val="auto"/>
                <w:sz w:val="24"/>
                <w:highlight w:val="none"/>
              </w:rPr>
              <w:t>法定代表人</w:t>
            </w:r>
          </w:p>
        </w:tc>
        <w:tc>
          <w:tcPr>
            <w:tcW w:w="1110" w:type="dxa"/>
            <w:vAlign w:val="center"/>
          </w:tcPr>
          <w:p w14:paraId="5E159F54">
            <w:pPr>
              <w:topLinePunct/>
              <w:spacing w:line="440" w:lineRule="exact"/>
              <w:jc w:val="center"/>
              <w:rPr>
                <w:color w:val="auto"/>
                <w:sz w:val="24"/>
                <w:highlight w:val="none"/>
              </w:rPr>
            </w:pPr>
            <w:r>
              <w:rPr>
                <w:color w:val="auto"/>
                <w:sz w:val="24"/>
                <w:highlight w:val="none"/>
              </w:rPr>
              <w:t>姓名</w:t>
            </w:r>
          </w:p>
        </w:tc>
        <w:tc>
          <w:tcPr>
            <w:tcW w:w="1110" w:type="dxa"/>
            <w:vAlign w:val="center"/>
          </w:tcPr>
          <w:p w14:paraId="6F3D4AD0">
            <w:pPr>
              <w:topLinePunct/>
              <w:spacing w:line="440" w:lineRule="exact"/>
              <w:jc w:val="center"/>
              <w:rPr>
                <w:color w:val="auto"/>
                <w:sz w:val="24"/>
                <w:highlight w:val="none"/>
              </w:rPr>
            </w:pPr>
          </w:p>
        </w:tc>
        <w:tc>
          <w:tcPr>
            <w:tcW w:w="1295" w:type="dxa"/>
            <w:gridSpan w:val="2"/>
            <w:vAlign w:val="center"/>
          </w:tcPr>
          <w:p w14:paraId="0348D24C">
            <w:pPr>
              <w:topLinePunct/>
              <w:spacing w:line="440" w:lineRule="exact"/>
              <w:jc w:val="center"/>
              <w:rPr>
                <w:color w:val="auto"/>
                <w:sz w:val="24"/>
                <w:highlight w:val="none"/>
              </w:rPr>
            </w:pPr>
            <w:r>
              <w:rPr>
                <w:color w:val="auto"/>
                <w:sz w:val="24"/>
                <w:highlight w:val="none"/>
              </w:rPr>
              <w:t>技术职称</w:t>
            </w:r>
          </w:p>
        </w:tc>
        <w:tc>
          <w:tcPr>
            <w:tcW w:w="1870" w:type="dxa"/>
            <w:gridSpan w:val="2"/>
            <w:vAlign w:val="center"/>
          </w:tcPr>
          <w:p w14:paraId="1989630E">
            <w:pPr>
              <w:topLinePunct/>
              <w:spacing w:line="440" w:lineRule="exact"/>
              <w:jc w:val="center"/>
              <w:rPr>
                <w:color w:val="auto"/>
                <w:sz w:val="24"/>
                <w:highlight w:val="none"/>
              </w:rPr>
            </w:pPr>
          </w:p>
        </w:tc>
        <w:tc>
          <w:tcPr>
            <w:tcW w:w="884" w:type="dxa"/>
            <w:vAlign w:val="center"/>
          </w:tcPr>
          <w:p w14:paraId="14A3BDE2">
            <w:pPr>
              <w:topLinePunct/>
              <w:spacing w:line="440" w:lineRule="exact"/>
              <w:jc w:val="center"/>
              <w:rPr>
                <w:color w:val="auto"/>
                <w:sz w:val="24"/>
                <w:highlight w:val="none"/>
              </w:rPr>
            </w:pPr>
            <w:r>
              <w:rPr>
                <w:color w:val="auto"/>
                <w:sz w:val="24"/>
                <w:highlight w:val="none"/>
              </w:rPr>
              <w:t>电话</w:t>
            </w:r>
          </w:p>
        </w:tc>
        <w:tc>
          <w:tcPr>
            <w:tcW w:w="1392" w:type="dxa"/>
            <w:vAlign w:val="center"/>
          </w:tcPr>
          <w:p w14:paraId="3B0F8DFF">
            <w:pPr>
              <w:topLinePunct/>
              <w:spacing w:line="440" w:lineRule="exact"/>
              <w:jc w:val="center"/>
              <w:rPr>
                <w:color w:val="auto"/>
                <w:sz w:val="24"/>
                <w:highlight w:val="none"/>
              </w:rPr>
            </w:pPr>
          </w:p>
        </w:tc>
      </w:tr>
      <w:tr w14:paraId="2638E7E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959" w:type="dxa"/>
            <w:vAlign w:val="center"/>
          </w:tcPr>
          <w:p w14:paraId="4DD87BA3">
            <w:pPr>
              <w:topLinePunct/>
              <w:spacing w:line="440" w:lineRule="exact"/>
              <w:jc w:val="center"/>
              <w:rPr>
                <w:color w:val="auto"/>
                <w:sz w:val="24"/>
                <w:highlight w:val="none"/>
              </w:rPr>
            </w:pPr>
            <w:r>
              <w:rPr>
                <w:color w:val="auto"/>
                <w:sz w:val="24"/>
                <w:highlight w:val="none"/>
              </w:rPr>
              <w:t>成立时间</w:t>
            </w:r>
          </w:p>
        </w:tc>
        <w:tc>
          <w:tcPr>
            <w:tcW w:w="2220" w:type="dxa"/>
            <w:gridSpan w:val="2"/>
            <w:vAlign w:val="center"/>
          </w:tcPr>
          <w:p w14:paraId="6EA42471">
            <w:pPr>
              <w:topLinePunct/>
              <w:spacing w:line="440" w:lineRule="exact"/>
              <w:jc w:val="center"/>
              <w:rPr>
                <w:color w:val="auto"/>
                <w:sz w:val="24"/>
                <w:highlight w:val="none"/>
              </w:rPr>
            </w:pPr>
          </w:p>
        </w:tc>
        <w:tc>
          <w:tcPr>
            <w:tcW w:w="5441" w:type="dxa"/>
            <w:gridSpan w:val="6"/>
            <w:vAlign w:val="center"/>
          </w:tcPr>
          <w:p w14:paraId="22B7BD01">
            <w:pPr>
              <w:topLinePunct/>
              <w:spacing w:line="440" w:lineRule="exact"/>
              <w:ind w:firstLine="1200" w:firstLineChars="500"/>
              <w:rPr>
                <w:color w:val="auto"/>
                <w:sz w:val="24"/>
                <w:highlight w:val="none"/>
              </w:rPr>
            </w:pPr>
            <w:r>
              <w:rPr>
                <w:color w:val="auto"/>
                <w:sz w:val="24"/>
                <w:highlight w:val="none"/>
              </w:rPr>
              <w:t>员工总人数：</w:t>
            </w:r>
          </w:p>
        </w:tc>
      </w:tr>
      <w:tr w14:paraId="16CF72E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1959" w:type="dxa"/>
            <w:vAlign w:val="center"/>
          </w:tcPr>
          <w:p w14:paraId="67872E9E">
            <w:pPr>
              <w:topLinePunct/>
              <w:spacing w:line="440" w:lineRule="exact"/>
              <w:jc w:val="center"/>
              <w:rPr>
                <w:color w:val="auto"/>
                <w:sz w:val="24"/>
                <w:highlight w:val="none"/>
              </w:rPr>
            </w:pPr>
            <w:r>
              <w:rPr>
                <w:color w:val="auto"/>
                <w:sz w:val="24"/>
                <w:highlight w:val="none"/>
              </w:rPr>
              <w:t>企业资质等级</w:t>
            </w:r>
            <w:r>
              <w:rPr>
                <w:rFonts w:hint="eastAsia"/>
                <w:color w:val="auto"/>
                <w:sz w:val="24"/>
                <w:highlight w:val="none"/>
              </w:rPr>
              <w:t>(如有)</w:t>
            </w:r>
          </w:p>
        </w:tc>
        <w:tc>
          <w:tcPr>
            <w:tcW w:w="2220" w:type="dxa"/>
            <w:gridSpan w:val="2"/>
            <w:vAlign w:val="center"/>
          </w:tcPr>
          <w:p w14:paraId="1F692ECD">
            <w:pPr>
              <w:topLinePunct/>
              <w:spacing w:line="440" w:lineRule="exact"/>
              <w:jc w:val="center"/>
              <w:rPr>
                <w:color w:val="auto"/>
                <w:sz w:val="24"/>
                <w:highlight w:val="none"/>
              </w:rPr>
            </w:pPr>
          </w:p>
        </w:tc>
        <w:tc>
          <w:tcPr>
            <w:tcW w:w="739" w:type="dxa"/>
            <w:vMerge w:val="restart"/>
            <w:vAlign w:val="center"/>
          </w:tcPr>
          <w:p w14:paraId="0730DC8B">
            <w:pPr>
              <w:topLinePunct/>
              <w:spacing w:line="440" w:lineRule="exact"/>
              <w:jc w:val="center"/>
              <w:rPr>
                <w:color w:val="auto"/>
                <w:sz w:val="24"/>
                <w:highlight w:val="none"/>
              </w:rPr>
            </w:pPr>
            <w:r>
              <w:rPr>
                <w:color w:val="auto"/>
                <w:sz w:val="24"/>
                <w:highlight w:val="none"/>
              </w:rPr>
              <w:t>其中</w:t>
            </w:r>
          </w:p>
        </w:tc>
        <w:tc>
          <w:tcPr>
            <w:tcW w:w="2426" w:type="dxa"/>
            <w:gridSpan w:val="3"/>
            <w:vAlign w:val="center"/>
          </w:tcPr>
          <w:p w14:paraId="0F75066B">
            <w:pPr>
              <w:topLinePunct/>
              <w:spacing w:line="440" w:lineRule="exact"/>
              <w:jc w:val="center"/>
              <w:rPr>
                <w:color w:val="auto"/>
                <w:sz w:val="24"/>
                <w:highlight w:val="none"/>
              </w:rPr>
            </w:pPr>
            <w:r>
              <w:rPr>
                <w:color w:val="auto"/>
                <w:sz w:val="24"/>
                <w:highlight w:val="none"/>
              </w:rPr>
              <w:t>正高级工程师</w:t>
            </w:r>
          </w:p>
        </w:tc>
        <w:tc>
          <w:tcPr>
            <w:tcW w:w="2276" w:type="dxa"/>
            <w:gridSpan w:val="2"/>
            <w:vAlign w:val="center"/>
          </w:tcPr>
          <w:p w14:paraId="29722712">
            <w:pPr>
              <w:topLinePunct/>
              <w:spacing w:line="440" w:lineRule="exact"/>
              <w:jc w:val="center"/>
              <w:rPr>
                <w:color w:val="auto"/>
                <w:sz w:val="24"/>
                <w:highlight w:val="none"/>
              </w:rPr>
            </w:pPr>
          </w:p>
        </w:tc>
      </w:tr>
      <w:tr w14:paraId="25F9579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959" w:type="dxa"/>
            <w:vAlign w:val="center"/>
          </w:tcPr>
          <w:p w14:paraId="3B1C5A5B">
            <w:pPr>
              <w:topLinePunct/>
              <w:spacing w:line="440" w:lineRule="exact"/>
              <w:jc w:val="center"/>
              <w:rPr>
                <w:color w:val="auto"/>
                <w:sz w:val="24"/>
                <w:highlight w:val="none"/>
              </w:rPr>
            </w:pPr>
            <w:r>
              <w:rPr>
                <w:color w:val="auto"/>
                <w:sz w:val="24"/>
                <w:highlight w:val="none"/>
              </w:rPr>
              <w:t>营业执照号</w:t>
            </w:r>
          </w:p>
        </w:tc>
        <w:tc>
          <w:tcPr>
            <w:tcW w:w="2220" w:type="dxa"/>
            <w:gridSpan w:val="2"/>
            <w:vAlign w:val="center"/>
          </w:tcPr>
          <w:p w14:paraId="1E3D808D">
            <w:pPr>
              <w:topLinePunct/>
              <w:spacing w:line="440" w:lineRule="exact"/>
              <w:jc w:val="center"/>
              <w:rPr>
                <w:color w:val="auto"/>
                <w:sz w:val="24"/>
                <w:highlight w:val="none"/>
              </w:rPr>
            </w:pPr>
          </w:p>
        </w:tc>
        <w:tc>
          <w:tcPr>
            <w:tcW w:w="739" w:type="dxa"/>
            <w:vMerge w:val="continue"/>
            <w:vAlign w:val="center"/>
          </w:tcPr>
          <w:p w14:paraId="304ACAF7">
            <w:pPr>
              <w:topLinePunct/>
              <w:spacing w:line="440" w:lineRule="exact"/>
              <w:jc w:val="center"/>
              <w:rPr>
                <w:color w:val="auto"/>
                <w:sz w:val="24"/>
                <w:highlight w:val="none"/>
              </w:rPr>
            </w:pPr>
          </w:p>
        </w:tc>
        <w:tc>
          <w:tcPr>
            <w:tcW w:w="2426" w:type="dxa"/>
            <w:gridSpan w:val="3"/>
            <w:vAlign w:val="center"/>
          </w:tcPr>
          <w:p w14:paraId="2ADC6724">
            <w:pPr>
              <w:topLinePunct/>
              <w:spacing w:line="440" w:lineRule="exact"/>
              <w:jc w:val="center"/>
              <w:rPr>
                <w:color w:val="auto"/>
                <w:sz w:val="24"/>
                <w:highlight w:val="none"/>
              </w:rPr>
            </w:pPr>
            <w:r>
              <w:rPr>
                <w:color w:val="auto"/>
                <w:sz w:val="24"/>
                <w:highlight w:val="none"/>
              </w:rPr>
              <w:t>高级职称人员</w:t>
            </w:r>
          </w:p>
        </w:tc>
        <w:tc>
          <w:tcPr>
            <w:tcW w:w="2276" w:type="dxa"/>
            <w:gridSpan w:val="2"/>
            <w:vAlign w:val="center"/>
          </w:tcPr>
          <w:p w14:paraId="1618C5AE">
            <w:pPr>
              <w:topLinePunct/>
              <w:spacing w:line="440" w:lineRule="exact"/>
              <w:jc w:val="center"/>
              <w:rPr>
                <w:color w:val="auto"/>
                <w:sz w:val="24"/>
                <w:highlight w:val="none"/>
              </w:rPr>
            </w:pPr>
          </w:p>
        </w:tc>
      </w:tr>
      <w:tr w14:paraId="1FA10DF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1959" w:type="dxa"/>
            <w:vAlign w:val="center"/>
          </w:tcPr>
          <w:p w14:paraId="48F1D136">
            <w:pPr>
              <w:topLinePunct/>
              <w:spacing w:line="440" w:lineRule="exact"/>
              <w:jc w:val="center"/>
              <w:rPr>
                <w:color w:val="auto"/>
                <w:sz w:val="24"/>
                <w:highlight w:val="none"/>
              </w:rPr>
            </w:pPr>
            <w:r>
              <w:rPr>
                <w:color w:val="auto"/>
                <w:sz w:val="24"/>
                <w:highlight w:val="none"/>
              </w:rPr>
              <w:t>注册资本</w:t>
            </w:r>
          </w:p>
        </w:tc>
        <w:tc>
          <w:tcPr>
            <w:tcW w:w="2220" w:type="dxa"/>
            <w:gridSpan w:val="2"/>
            <w:vAlign w:val="center"/>
          </w:tcPr>
          <w:p w14:paraId="7A90E719">
            <w:pPr>
              <w:topLinePunct/>
              <w:spacing w:line="440" w:lineRule="exact"/>
              <w:jc w:val="center"/>
              <w:rPr>
                <w:color w:val="auto"/>
                <w:sz w:val="24"/>
                <w:highlight w:val="none"/>
              </w:rPr>
            </w:pPr>
          </w:p>
        </w:tc>
        <w:tc>
          <w:tcPr>
            <w:tcW w:w="739" w:type="dxa"/>
            <w:vMerge w:val="continue"/>
            <w:vAlign w:val="center"/>
          </w:tcPr>
          <w:p w14:paraId="43C4446A">
            <w:pPr>
              <w:topLinePunct/>
              <w:spacing w:line="440" w:lineRule="exact"/>
              <w:jc w:val="center"/>
              <w:rPr>
                <w:color w:val="auto"/>
                <w:sz w:val="24"/>
                <w:highlight w:val="none"/>
              </w:rPr>
            </w:pPr>
          </w:p>
        </w:tc>
        <w:tc>
          <w:tcPr>
            <w:tcW w:w="2426" w:type="dxa"/>
            <w:gridSpan w:val="3"/>
            <w:vAlign w:val="center"/>
          </w:tcPr>
          <w:p w14:paraId="3FA33C91">
            <w:pPr>
              <w:topLinePunct/>
              <w:spacing w:line="440" w:lineRule="exact"/>
              <w:jc w:val="center"/>
              <w:rPr>
                <w:color w:val="auto"/>
                <w:sz w:val="24"/>
                <w:highlight w:val="none"/>
              </w:rPr>
            </w:pPr>
            <w:r>
              <w:rPr>
                <w:color w:val="auto"/>
                <w:sz w:val="24"/>
                <w:highlight w:val="none"/>
              </w:rPr>
              <w:t>中级职称人员</w:t>
            </w:r>
          </w:p>
        </w:tc>
        <w:tc>
          <w:tcPr>
            <w:tcW w:w="2276" w:type="dxa"/>
            <w:gridSpan w:val="2"/>
            <w:vAlign w:val="center"/>
          </w:tcPr>
          <w:p w14:paraId="58BEB210">
            <w:pPr>
              <w:topLinePunct/>
              <w:spacing w:line="440" w:lineRule="exact"/>
              <w:jc w:val="center"/>
              <w:rPr>
                <w:color w:val="auto"/>
                <w:sz w:val="24"/>
                <w:highlight w:val="none"/>
              </w:rPr>
            </w:pPr>
          </w:p>
        </w:tc>
      </w:tr>
      <w:tr w14:paraId="27DC985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1959" w:type="dxa"/>
            <w:vAlign w:val="center"/>
          </w:tcPr>
          <w:p w14:paraId="14E450DD">
            <w:pPr>
              <w:topLinePunct/>
              <w:spacing w:line="440" w:lineRule="exact"/>
              <w:jc w:val="center"/>
              <w:rPr>
                <w:color w:val="auto"/>
                <w:sz w:val="24"/>
                <w:highlight w:val="none"/>
              </w:rPr>
            </w:pPr>
            <w:r>
              <w:rPr>
                <w:color w:val="auto"/>
                <w:sz w:val="24"/>
                <w:highlight w:val="none"/>
              </w:rPr>
              <w:t>基本账户开户银行</w:t>
            </w:r>
          </w:p>
        </w:tc>
        <w:tc>
          <w:tcPr>
            <w:tcW w:w="2220" w:type="dxa"/>
            <w:gridSpan w:val="2"/>
            <w:vAlign w:val="center"/>
          </w:tcPr>
          <w:p w14:paraId="63571284">
            <w:pPr>
              <w:topLinePunct/>
              <w:spacing w:line="440" w:lineRule="exact"/>
              <w:jc w:val="center"/>
              <w:rPr>
                <w:color w:val="auto"/>
                <w:sz w:val="24"/>
                <w:highlight w:val="none"/>
              </w:rPr>
            </w:pPr>
          </w:p>
        </w:tc>
        <w:tc>
          <w:tcPr>
            <w:tcW w:w="739" w:type="dxa"/>
            <w:vMerge w:val="continue"/>
            <w:vAlign w:val="center"/>
          </w:tcPr>
          <w:p w14:paraId="72F10F79">
            <w:pPr>
              <w:topLinePunct/>
              <w:spacing w:line="440" w:lineRule="exact"/>
              <w:jc w:val="center"/>
              <w:rPr>
                <w:color w:val="auto"/>
                <w:sz w:val="24"/>
                <w:highlight w:val="none"/>
              </w:rPr>
            </w:pPr>
          </w:p>
        </w:tc>
        <w:tc>
          <w:tcPr>
            <w:tcW w:w="2426" w:type="dxa"/>
            <w:gridSpan w:val="3"/>
            <w:vAlign w:val="center"/>
          </w:tcPr>
          <w:p w14:paraId="41144D27">
            <w:pPr>
              <w:topLinePunct/>
              <w:spacing w:line="440" w:lineRule="exact"/>
              <w:jc w:val="center"/>
              <w:rPr>
                <w:color w:val="auto"/>
                <w:sz w:val="24"/>
                <w:highlight w:val="none"/>
              </w:rPr>
            </w:pPr>
            <w:r>
              <w:rPr>
                <w:color w:val="auto"/>
                <w:sz w:val="24"/>
                <w:highlight w:val="none"/>
              </w:rPr>
              <w:t>初级职称人员</w:t>
            </w:r>
          </w:p>
        </w:tc>
        <w:tc>
          <w:tcPr>
            <w:tcW w:w="2276" w:type="dxa"/>
            <w:gridSpan w:val="2"/>
            <w:vAlign w:val="center"/>
          </w:tcPr>
          <w:p w14:paraId="68885AF3">
            <w:pPr>
              <w:topLinePunct/>
              <w:spacing w:line="440" w:lineRule="exact"/>
              <w:jc w:val="center"/>
              <w:rPr>
                <w:color w:val="auto"/>
                <w:sz w:val="24"/>
                <w:highlight w:val="none"/>
              </w:rPr>
            </w:pPr>
          </w:p>
        </w:tc>
      </w:tr>
      <w:tr w14:paraId="231AD35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959" w:type="dxa"/>
            <w:vAlign w:val="center"/>
          </w:tcPr>
          <w:p w14:paraId="57CD96D3">
            <w:pPr>
              <w:topLinePunct/>
              <w:spacing w:line="440" w:lineRule="exact"/>
              <w:jc w:val="center"/>
              <w:rPr>
                <w:color w:val="auto"/>
                <w:sz w:val="24"/>
                <w:highlight w:val="none"/>
              </w:rPr>
            </w:pPr>
            <w:r>
              <w:rPr>
                <w:color w:val="auto"/>
                <w:sz w:val="24"/>
                <w:highlight w:val="none"/>
              </w:rPr>
              <w:t>基本账户账号</w:t>
            </w:r>
          </w:p>
        </w:tc>
        <w:tc>
          <w:tcPr>
            <w:tcW w:w="2220" w:type="dxa"/>
            <w:gridSpan w:val="2"/>
            <w:vAlign w:val="center"/>
          </w:tcPr>
          <w:p w14:paraId="61D75986">
            <w:pPr>
              <w:topLinePunct/>
              <w:spacing w:line="440" w:lineRule="exact"/>
              <w:jc w:val="center"/>
              <w:rPr>
                <w:color w:val="auto"/>
                <w:sz w:val="24"/>
                <w:highlight w:val="none"/>
              </w:rPr>
            </w:pPr>
          </w:p>
        </w:tc>
        <w:tc>
          <w:tcPr>
            <w:tcW w:w="739" w:type="dxa"/>
            <w:vMerge w:val="continue"/>
            <w:vAlign w:val="center"/>
          </w:tcPr>
          <w:p w14:paraId="581819CF">
            <w:pPr>
              <w:topLinePunct/>
              <w:spacing w:line="440" w:lineRule="exact"/>
              <w:jc w:val="center"/>
              <w:rPr>
                <w:color w:val="auto"/>
                <w:sz w:val="24"/>
                <w:highlight w:val="none"/>
              </w:rPr>
            </w:pPr>
          </w:p>
        </w:tc>
        <w:tc>
          <w:tcPr>
            <w:tcW w:w="2426" w:type="dxa"/>
            <w:gridSpan w:val="3"/>
            <w:vAlign w:val="center"/>
          </w:tcPr>
          <w:p w14:paraId="49170D51">
            <w:pPr>
              <w:jc w:val="center"/>
              <w:rPr>
                <w:color w:val="auto"/>
                <w:sz w:val="24"/>
                <w:highlight w:val="none"/>
              </w:rPr>
            </w:pPr>
          </w:p>
        </w:tc>
        <w:tc>
          <w:tcPr>
            <w:tcW w:w="2276" w:type="dxa"/>
            <w:gridSpan w:val="2"/>
            <w:vAlign w:val="center"/>
          </w:tcPr>
          <w:p w14:paraId="2AB77C13">
            <w:pPr>
              <w:topLinePunct/>
              <w:spacing w:line="440" w:lineRule="exact"/>
              <w:jc w:val="center"/>
              <w:rPr>
                <w:color w:val="auto"/>
                <w:sz w:val="24"/>
                <w:highlight w:val="none"/>
              </w:rPr>
            </w:pPr>
          </w:p>
        </w:tc>
      </w:tr>
      <w:tr w14:paraId="32DAF35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57" w:hRule="atLeast"/>
          <w:jc w:val="center"/>
        </w:trPr>
        <w:tc>
          <w:tcPr>
            <w:tcW w:w="1959" w:type="dxa"/>
            <w:vAlign w:val="center"/>
          </w:tcPr>
          <w:p w14:paraId="0CFF245E">
            <w:pPr>
              <w:topLinePunct/>
              <w:spacing w:line="440" w:lineRule="exact"/>
              <w:jc w:val="center"/>
              <w:rPr>
                <w:color w:val="auto"/>
                <w:sz w:val="24"/>
                <w:highlight w:val="none"/>
              </w:rPr>
            </w:pPr>
            <w:r>
              <w:rPr>
                <w:color w:val="auto"/>
                <w:sz w:val="24"/>
                <w:highlight w:val="none"/>
              </w:rPr>
              <w:t>经营范围</w:t>
            </w:r>
          </w:p>
        </w:tc>
        <w:tc>
          <w:tcPr>
            <w:tcW w:w="7661" w:type="dxa"/>
            <w:gridSpan w:val="8"/>
            <w:vAlign w:val="center"/>
          </w:tcPr>
          <w:p w14:paraId="61840F54">
            <w:pPr>
              <w:topLinePunct/>
              <w:spacing w:line="440" w:lineRule="exact"/>
              <w:jc w:val="center"/>
              <w:rPr>
                <w:color w:val="auto"/>
                <w:sz w:val="24"/>
                <w:highlight w:val="none"/>
              </w:rPr>
            </w:pPr>
          </w:p>
        </w:tc>
      </w:tr>
      <w:tr w14:paraId="3B9ED63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62" w:hRule="atLeast"/>
          <w:jc w:val="center"/>
        </w:trPr>
        <w:tc>
          <w:tcPr>
            <w:tcW w:w="1959" w:type="dxa"/>
            <w:vAlign w:val="center"/>
          </w:tcPr>
          <w:p w14:paraId="3B74D3D9">
            <w:pPr>
              <w:topLinePunct/>
              <w:spacing w:line="300" w:lineRule="exact"/>
              <w:ind w:firstLine="240" w:firstLineChars="100"/>
              <w:jc w:val="center"/>
              <w:rPr>
                <w:color w:val="auto"/>
                <w:sz w:val="24"/>
                <w:highlight w:val="none"/>
              </w:rPr>
            </w:pPr>
            <w:r>
              <w:rPr>
                <w:color w:val="auto"/>
                <w:sz w:val="24"/>
                <w:highlight w:val="none"/>
              </w:rPr>
              <w:t>资产构成情况及投资参股的关联企业情况</w:t>
            </w:r>
          </w:p>
        </w:tc>
        <w:tc>
          <w:tcPr>
            <w:tcW w:w="7661" w:type="dxa"/>
            <w:gridSpan w:val="8"/>
            <w:vAlign w:val="center"/>
          </w:tcPr>
          <w:p w14:paraId="27F9C490">
            <w:pPr>
              <w:topLinePunct/>
              <w:spacing w:line="440" w:lineRule="exact"/>
              <w:ind w:firstLine="240" w:firstLineChars="100"/>
              <w:jc w:val="center"/>
              <w:rPr>
                <w:color w:val="auto"/>
                <w:sz w:val="24"/>
                <w:highlight w:val="none"/>
              </w:rPr>
            </w:pPr>
          </w:p>
        </w:tc>
      </w:tr>
      <w:tr w14:paraId="2133F84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1959" w:type="dxa"/>
            <w:vAlign w:val="center"/>
          </w:tcPr>
          <w:p w14:paraId="5D2E9020">
            <w:pPr>
              <w:topLinePunct/>
              <w:spacing w:line="440" w:lineRule="exact"/>
              <w:jc w:val="center"/>
              <w:rPr>
                <w:color w:val="auto"/>
                <w:sz w:val="24"/>
                <w:highlight w:val="none"/>
              </w:rPr>
            </w:pPr>
            <w:r>
              <w:rPr>
                <w:color w:val="auto"/>
                <w:sz w:val="24"/>
                <w:highlight w:val="none"/>
              </w:rPr>
              <w:t>备注</w:t>
            </w:r>
          </w:p>
        </w:tc>
        <w:tc>
          <w:tcPr>
            <w:tcW w:w="7661" w:type="dxa"/>
            <w:gridSpan w:val="8"/>
            <w:vAlign w:val="center"/>
          </w:tcPr>
          <w:p w14:paraId="64164B83">
            <w:pPr>
              <w:topLinePunct/>
              <w:spacing w:line="440" w:lineRule="exact"/>
              <w:jc w:val="center"/>
              <w:rPr>
                <w:color w:val="auto"/>
                <w:sz w:val="24"/>
                <w:highlight w:val="none"/>
              </w:rPr>
            </w:pPr>
          </w:p>
        </w:tc>
      </w:tr>
    </w:tbl>
    <w:p w14:paraId="4AE9B191">
      <w:pPr>
        <w:spacing w:line="300" w:lineRule="exact"/>
        <w:ind w:left="295" w:right="111" w:rightChars="53" w:hanging="294" w:hangingChars="134"/>
        <w:rPr>
          <w:rFonts w:ascii="Times New Roman"/>
          <w:color w:val="auto"/>
          <w:sz w:val="22"/>
          <w:szCs w:val="21"/>
          <w:highlight w:val="none"/>
        </w:rPr>
      </w:pPr>
      <w:r>
        <w:rPr>
          <w:rFonts w:ascii="Times New Roman"/>
          <w:color w:val="auto"/>
          <w:sz w:val="22"/>
          <w:szCs w:val="21"/>
          <w:highlight w:val="none"/>
        </w:rPr>
        <w:t>注：在本表后应附</w:t>
      </w:r>
    </w:p>
    <w:p w14:paraId="22327DD6">
      <w:pPr>
        <w:spacing w:line="300" w:lineRule="exact"/>
        <w:ind w:left="295" w:right="111" w:rightChars="53" w:hanging="294" w:hangingChars="134"/>
        <w:rPr>
          <w:rFonts w:ascii="Times New Roman"/>
          <w:color w:val="auto"/>
          <w:sz w:val="22"/>
          <w:szCs w:val="21"/>
          <w:highlight w:val="none"/>
        </w:rPr>
      </w:pPr>
      <w:r>
        <w:rPr>
          <w:rFonts w:ascii="Times New Roman"/>
          <w:color w:val="auto"/>
          <w:sz w:val="22"/>
          <w:szCs w:val="21"/>
          <w:highlight w:val="none"/>
        </w:rPr>
        <w:t>（1）营业执照；</w:t>
      </w:r>
    </w:p>
    <w:p w14:paraId="0998BBD5">
      <w:pPr>
        <w:spacing w:line="300" w:lineRule="exact"/>
        <w:ind w:left="295" w:right="111" w:rightChars="53" w:hanging="294" w:hangingChars="134"/>
        <w:rPr>
          <w:rFonts w:ascii="Times New Roman"/>
          <w:color w:val="auto"/>
          <w:sz w:val="22"/>
          <w:szCs w:val="21"/>
          <w:highlight w:val="none"/>
        </w:rPr>
      </w:pPr>
      <w:r>
        <w:rPr>
          <w:rFonts w:ascii="Times New Roman"/>
          <w:color w:val="auto"/>
          <w:sz w:val="22"/>
          <w:szCs w:val="21"/>
          <w:highlight w:val="none"/>
        </w:rPr>
        <w:t>（2）</w:t>
      </w:r>
      <w:r>
        <w:rPr>
          <w:rFonts w:hint="eastAsia" w:ascii="Times New Roman"/>
          <w:color w:val="auto"/>
          <w:sz w:val="22"/>
          <w:szCs w:val="21"/>
          <w:highlight w:val="none"/>
        </w:rPr>
        <w:t>供应商</w:t>
      </w:r>
      <w:r>
        <w:rPr>
          <w:rFonts w:ascii="Times New Roman"/>
          <w:color w:val="auto"/>
          <w:sz w:val="22"/>
          <w:szCs w:val="21"/>
          <w:highlight w:val="none"/>
        </w:rPr>
        <w:t>简介</w:t>
      </w:r>
      <w:r>
        <w:rPr>
          <w:rFonts w:hint="eastAsia" w:ascii="Times New Roman"/>
          <w:color w:val="auto"/>
          <w:sz w:val="22"/>
          <w:szCs w:val="21"/>
          <w:highlight w:val="none"/>
        </w:rPr>
        <w:t>。</w:t>
      </w:r>
    </w:p>
    <w:p w14:paraId="4762478A">
      <w:pPr>
        <w:snapToGrid w:val="0"/>
        <w:ind w:right="111" w:rightChars="53"/>
        <w:rPr>
          <w:rFonts w:ascii="Times New Roman"/>
          <w:color w:val="auto"/>
          <w:highlight w:val="none"/>
        </w:rPr>
      </w:pPr>
    </w:p>
    <w:p w14:paraId="5B0C13B8">
      <w:pPr>
        <w:jc w:val="center"/>
        <w:rPr>
          <w:rFonts w:ascii="宋体" w:hAnsi="宋体"/>
          <w:b/>
          <w:bCs/>
          <w:color w:val="auto"/>
          <w:sz w:val="28"/>
          <w:szCs w:val="32"/>
          <w:highlight w:val="none"/>
        </w:rPr>
      </w:pPr>
    </w:p>
    <w:p w14:paraId="3800B0FA">
      <w:pPr>
        <w:jc w:val="center"/>
        <w:rPr>
          <w:rFonts w:ascii="宋体" w:hAnsi="宋体"/>
          <w:b/>
          <w:bCs/>
          <w:color w:val="auto"/>
          <w:sz w:val="28"/>
          <w:szCs w:val="32"/>
          <w:highlight w:val="none"/>
        </w:rPr>
      </w:pPr>
    </w:p>
    <w:p w14:paraId="7D7A323F">
      <w:pPr>
        <w:jc w:val="center"/>
        <w:rPr>
          <w:rFonts w:ascii="宋体" w:hAnsi="宋体"/>
          <w:b/>
          <w:bCs/>
          <w:color w:val="auto"/>
          <w:sz w:val="28"/>
          <w:szCs w:val="32"/>
          <w:highlight w:val="none"/>
        </w:rPr>
        <w:sectPr>
          <w:footnotePr>
            <w:numFmt w:val="decimalEnclosedCircleChinese"/>
            <w:numRestart w:val="eachPage"/>
          </w:footnotePr>
          <w:pgSz w:w="12240" w:h="15840"/>
          <w:pgMar w:top="1417" w:right="1417" w:bottom="1417" w:left="1417" w:header="720" w:footer="720" w:gutter="0"/>
          <w:cols w:space="720" w:num="1"/>
          <w:docGrid w:linePitch="312" w:charSpace="0"/>
        </w:sectPr>
      </w:pPr>
    </w:p>
    <w:bookmarkEnd w:id="144"/>
    <w:bookmarkEnd w:id="145"/>
    <w:bookmarkEnd w:id="146"/>
    <w:bookmarkEnd w:id="147"/>
    <w:bookmarkEnd w:id="148"/>
    <w:bookmarkEnd w:id="149"/>
    <w:p w14:paraId="339335C7">
      <w:pPr>
        <w:snapToGrid w:val="0"/>
        <w:jc w:val="center"/>
        <w:rPr>
          <w:rFonts w:ascii="黑体" w:hAnsi="宋体" w:eastAsia="黑体"/>
          <w:bCs/>
          <w:color w:val="auto"/>
          <w:sz w:val="30"/>
          <w:szCs w:val="30"/>
          <w:highlight w:val="none"/>
        </w:rPr>
      </w:pPr>
      <w:bookmarkStart w:id="151" w:name="_Toc14628"/>
      <w:bookmarkStart w:id="152" w:name="_Toc220232400"/>
      <w:bookmarkStart w:id="153" w:name="_Toc521537239"/>
      <w:bookmarkStart w:id="154" w:name="_Toc240107762"/>
      <w:bookmarkStart w:id="155" w:name="_Toc447188036"/>
      <w:bookmarkStart w:id="156" w:name="_Toc256179544"/>
      <w:bookmarkStart w:id="157" w:name="_Toc220232401"/>
      <w:bookmarkStart w:id="158" w:name="_Toc516969104"/>
      <w:bookmarkStart w:id="159" w:name="_Hlt510342906"/>
      <w:r>
        <w:rPr>
          <w:rFonts w:hint="eastAsia" w:eastAsia="黑体"/>
          <w:color w:val="auto"/>
          <w:sz w:val="28"/>
          <w:highlight w:val="none"/>
        </w:rPr>
        <w:t>四．</w:t>
      </w:r>
      <w:r>
        <w:rPr>
          <w:rFonts w:hint="eastAsia" w:ascii="黑体" w:hAnsi="宋体" w:eastAsia="黑体"/>
          <w:bCs/>
          <w:color w:val="auto"/>
          <w:sz w:val="30"/>
          <w:szCs w:val="30"/>
          <w:highlight w:val="none"/>
        </w:rPr>
        <w:t>-A 近年完成类似项目业绩资料汇总表</w:t>
      </w:r>
    </w:p>
    <w:tbl>
      <w:tblPr>
        <w:tblStyle w:val="25"/>
        <w:tblW w:w="4997"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821"/>
        <w:gridCol w:w="2426"/>
        <w:gridCol w:w="1626"/>
        <w:gridCol w:w="1491"/>
        <w:gridCol w:w="1626"/>
        <w:gridCol w:w="1626"/>
      </w:tblGrid>
      <w:tr w14:paraId="534831F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427" w:type="pct"/>
            <w:tcBorders>
              <w:tl2br w:val="nil"/>
              <w:tr2bl w:val="nil"/>
            </w:tcBorders>
            <w:vAlign w:val="center"/>
          </w:tcPr>
          <w:p w14:paraId="23D09A62">
            <w:pPr>
              <w:widowControl/>
              <w:snapToGrid w:val="0"/>
              <w:jc w:val="center"/>
              <w:rPr>
                <w:rFonts w:hAnsi="宋体"/>
                <w:color w:val="auto"/>
                <w:sz w:val="22"/>
                <w:szCs w:val="22"/>
                <w:highlight w:val="none"/>
              </w:rPr>
            </w:pPr>
            <w:r>
              <w:rPr>
                <w:rFonts w:hint="eastAsia" w:hAnsi="宋体"/>
                <w:color w:val="auto"/>
                <w:sz w:val="22"/>
                <w:szCs w:val="22"/>
                <w:highlight w:val="none"/>
              </w:rPr>
              <w:t>序号</w:t>
            </w:r>
          </w:p>
        </w:tc>
        <w:tc>
          <w:tcPr>
            <w:tcW w:w="1261" w:type="pct"/>
            <w:tcBorders>
              <w:tl2br w:val="nil"/>
              <w:tr2bl w:val="nil"/>
            </w:tcBorders>
            <w:vAlign w:val="center"/>
          </w:tcPr>
          <w:p w14:paraId="1F451378">
            <w:pPr>
              <w:widowControl/>
              <w:snapToGrid w:val="0"/>
              <w:jc w:val="center"/>
              <w:rPr>
                <w:rFonts w:hAnsi="宋体"/>
                <w:color w:val="auto"/>
                <w:sz w:val="22"/>
                <w:szCs w:val="22"/>
                <w:highlight w:val="none"/>
              </w:rPr>
            </w:pPr>
            <w:r>
              <w:rPr>
                <w:rFonts w:hint="eastAsia" w:hAnsi="宋体"/>
                <w:color w:val="auto"/>
                <w:sz w:val="22"/>
                <w:szCs w:val="22"/>
                <w:highlight w:val="none"/>
              </w:rPr>
              <w:t>项目名称/标段</w:t>
            </w:r>
          </w:p>
        </w:tc>
        <w:tc>
          <w:tcPr>
            <w:tcW w:w="845" w:type="pct"/>
            <w:tcBorders>
              <w:tl2br w:val="nil"/>
              <w:tr2bl w:val="nil"/>
            </w:tcBorders>
            <w:vAlign w:val="center"/>
          </w:tcPr>
          <w:p w14:paraId="4B802314">
            <w:pPr>
              <w:widowControl/>
              <w:snapToGrid w:val="0"/>
              <w:jc w:val="center"/>
              <w:rPr>
                <w:rFonts w:hAnsi="宋体"/>
                <w:color w:val="auto"/>
                <w:sz w:val="22"/>
                <w:szCs w:val="22"/>
                <w:highlight w:val="none"/>
              </w:rPr>
            </w:pPr>
            <w:r>
              <w:rPr>
                <w:rFonts w:hint="eastAsia" w:hAnsi="宋体"/>
                <w:color w:val="auto"/>
                <w:sz w:val="22"/>
                <w:szCs w:val="22"/>
                <w:highlight w:val="none"/>
              </w:rPr>
              <w:t>合同总价/合同结算价（万元）</w:t>
            </w:r>
          </w:p>
        </w:tc>
        <w:tc>
          <w:tcPr>
            <w:tcW w:w="775" w:type="pct"/>
            <w:tcBorders>
              <w:tl2br w:val="nil"/>
              <w:tr2bl w:val="nil"/>
            </w:tcBorders>
            <w:vAlign w:val="center"/>
          </w:tcPr>
          <w:p w14:paraId="7169979B">
            <w:pPr>
              <w:widowControl/>
              <w:snapToGrid w:val="0"/>
              <w:jc w:val="center"/>
              <w:rPr>
                <w:rFonts w:hAnsi="宋体"/>
                <w:color w:val="auto"/>
                <w:sz w:val="22"/>
                <w:szCs w:val="22"/>
                <w:highlight w:val="none"/>
              </w:rPr>
            </w:pPr>
            <w:r>
              <w:rPr>
                <w:rFonts w:hint="eastAsia" w:hAnsi="宋体"/>
                <w:color w:val="auto"/>
                <w:sz w:val="22"/>
                <w:szCs w:val="22"/>
                <w:highlight w:val="none"/>
              </w:rPr>
              <w:t>开工日期</w:t>
            </w:r>
          </w:p>
        </w:tc>
        <w:tc>
          <w:tcPr>
            <w:tcW w:w="845" w:type="pct"/>
            <w:tcBorders>
              <w:tl2br w:val="nil"/>
              <w:tr2bl w:val="nil"/>
            </w:tcBorders>
            <w:vAlign w:val="center"/>
          </w:tcPr>
          <w:p w14:paraId="59DB26AB">
            <w:pPr>
              <w:widowControl/>
              <w:snapToGrid w:val="0"/>
              <w:jc w:val="center"/>
              <w:rPr>
                <w:rFonts w:hAnsi="宋体"/>
                <w:color w:val="auto"/>
                <w:sz w:val="22"/>
                <w:szCs w:val="22"/>
                <w:highlight w:val="none"/>
              </w:rPr>
            </w:pPr>
            <w:r>
              <w:rPr>
                <w:rFonts w:hint="eastAsia" w:hAnsi="宋体"/>
                <w:color w:val="auto"/>
                <w:sz w:val="22"/>
                <w:szCs w:val="22"/>
                <w:highlight w:val="none"/>
              </w:rPr>
              <w:t>交（竣）工日期</w:t>
            </w:r>
          </w:p>
        </w:tc>
        <w:tc>
          <w:tcPr>
            <w:tcW w:w="845" w:type="pct"/>
            <w:tcBorders>
              <w:tl2br w:val="nil"/>
              <w:tr2bl w:val="nil"/>
            </w:tcBorders>
            <w:vAlign w:val="center"/>
          </w:tcPr>
          <w:p w14:paraId="0771CA35">
            <w:pPr>
              <w:widowControl/>
              <w:snapToGrid w:val="0"/>
              <w:jc w:val="center"/>
              <w:rPr>
                <w:rFonts w:hint="default" w:hAnsi="宋体" w:eastAsia="宋体"/>
                <w:color w:val="auto"/>
                <w:sz w:val="22"/>
                <w:szCs w:val="22"/>
                <w:highlight w:val="none"/>
                <w:lang w:val="en-US" w:eastAsia="zh-CN"/>
              </w:rPr>
            </w:pPr>
            <w:r>
              <w:rPr>
                <w:rFonts w:hint="eastAsia" w:hAnsi="宋体"/>
                <w:color w:val="auto"/>
                <w:sz w:val="22"/>
                <w:szCs w:val="22"/>
                <w:highlight w:val="none"/>
                <w:lang w:val="en-US" w:eastAsia="zh-CN"/>
              </w:rPr>
              <w:t>项目类别</w:t>
            </w:r>
          </w:p>
        </w:tc>
      </w:tr>
      <w:tr w14:paraId="203F9B4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25" w:hRule="atLeast"/>
          <w:jc w:val="center"/>
        </w:trPr>
        <w:tc>
          <w:tcPr>
            <w:tcW w:w="427" w:type="pct"/>
            <w:tcBorders>
              <w:tl2br w:val="nil"/>
              <w:tr2bl w:val="nil"/>
            </w:tcBorders>
            <w:vAlign w:val="center"/>
          </w:tcPr>
          <w:p w14:paraId="16C226F9">
            <w:pPr>
              <w:widowControl/>
              <w:jc w:val="center"/>
              <w:rPr>
                <w:b/>
                <w:color w:val="auto"/>
                <w:sz w:val="22"/>
                <w:szCs w:val="22"/>
                <w:highlight w:val="none"/>
              </w:rPr>
            </w:pPr>
            <w:r>
              <w:rPr>
                <w:rFonts w:hint="eastAsia"/>
                <w:b/>
                <w:color w:val="auto"/>
                <w:sz w:val="22"/>
                <w:szCs w:val="22"/>
                <w:highlight w:val="none"/>
              </w:rPr>
              <w:t>1　</w:t>
            </w:r>
          </w:p>
        </w:tc>
        <w:tc>
          <w:tcPr>
            <w:tcW w:w="1261" w:type="pct"/>
            <w:tcBorders>
              <w:tl2br w:val="nil"/>
              <w:tr2bl w:val="nil"/>
            </w:tcBorders>
            <w:vAlign w:val="center"/>
          </w:tcPr>
          <w:p w14:paraId="168EE7BB">
            <w:pPr>
              <w:widowControl/>
              <w:jc w:val="center"/>
              <w:rPr>
                <w:color w:val="auto"/>
                <w:sz w:val="22"/>
                <w:szCs w:val="22"/>
                <w:highlight w:val="none"/>
              </w:rPr>
            </w:pPr>
          </w:p>
        </w:tc>
        <w:tc>
          <w:tcPr>
            <w:tcW w:w="845" w:type="pct"/>
            <w:tcBorders>
              <w:tl2br w:val="nil"/>
              <w:tr2bl w:val="nil"/>
            </w:tcBorders>
            <w:vAlign w:val="center"/>
          </w:tcPr>
          <w:p w14:paraId="4B1A592F">
            <w:pPr>
              <w:widowControl/>
              <w:jc w:val="center"/>
              <w:rPr>
                <w:color w:val="auto"/>
                <w:sz w:val="22"/>
                <w:szCs w:val="22"/>
                <w:highlight w:val="none"/>
              </w:rPr>
            </w:pPr>
          </w:p>
        </w:tc>
        <w:tc>
          <w:tcPr>
            <w:tcW w:w="775" w:type="pct"/>
            <w:tcBorders>
              <w:tl2br w:val="nil"/>
              <w:tr2bl w:val="nil"/>
            </w:tcBorders>
            <w:vAlign w:val="center"/>
          </w:tcPr>
          <w:p w14:paraId="376F58A2">
            <w:pPr>
              <w:widowControl/>
              <w:jc w:val="center"/>
              <w:rPr>
                <w:color w:val="auto"/>
                <w:sz w:val="22"/>
                <w:szCs w:val="22"/>
                <w:highlight w:val="none"/>
              </w:rPr>
            </w:pPr>
          </w:p>
        </w:tc>
        <w:tc>
          <w:tcPr>
            <w:tcW w:w="845" w:type="pct"/>
            <w:tcBorders>
              <w:tl2br w:val="nil"/>
              <w:tr2bl w:val="nil"/>
            </w:tcBorders>
            <w:vAlign w:val="center"/>
          </w:tcPr>
          <w:p w14:paraId="3340F284">
            <w:pPr>
              <w:widowControl/>
              <w:jc w:val="center"/>
              <w:rPr>
                <w:color w:val="auto"/>
                <w:sz w:val="22"/>
                <w:szCs w:val="22"/>
                <w:highlight w:val="none"/>
              </w:rPr>
            </w:pPr>
          </w:p>
        </w:tc>
        <w:tc>
          <w:tcPr>
            <w:tcW w:w="845" w:type="pct"/>
            <w:tcBorders>
              <w:tl2br w:val="nil"/>
              <w:tr2bl w:val="nil"/>
            </w:tcBorders>
            <w:vAlign w:val="center"/>
          </w:tcPr>
          <w:p w14:paraId="6CA85ECC">
            <w:pPr>
              <w:widowControl/>
              <w:jc w:val="center"/>
              <w:rPr>
                <w:color w:val="auto"/>
                <w:sz w:val="22"/>
                <w:szCs w:val="22"/>
                <w:highlight w:val="none"/>
              </w:rPr>
            </w:pPr>
          </w:p>
        </w:tc>
      </w:tr>
      <w:tr w14:paraId="435100E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25" w:hRule="atLeast"/>
          <w:jc w:val="center"/>
        </w:trPr>
        <w:tc>
          <w:tcPr>
            <w:tcW w:w="427" w:type="pct"/>
            <w:tcBorders>
              <w:tl2br w:val="nil"/>
              <w:tr2bl w:val="nil"/>
            </w:tcBorders>
            <w:vAlign w:val="center"/>
          </w:tcPr>
          <w:p w14:paraId="1D080591">
            <w:pPr>
              <w:widowControl/>
              <w:jc w:val="center"/>
              <w:rPr>
                <w:b/>
                <w:color w:val="auto"/>
                <w:sz w:val="22"/>
                <w:szCs w:val="22"/>
                <w:highlight w:val="none"/>
              </w:rPr>
            </w:pPr>
            <w:r>
              <w:rPr>
                <w:rFonts w:hint="eastAsia"/>
                <w:b/>
                <w:color w:val="auto"/>
                <w:sz w:val="22"/>
                <w:szCs w:val="22"/>
                <w:highlight w:val="none"/>
              </w:rPr>
              <w:t>2　</w:t>
            </w:r>
          </w:p>
        </w:tc>
        <w:tc>
          <w:tcPr>
            <w:tcW w:w="1261" w:type="pct"/>
            <w:tcBorders>
              <w:tl2br w:val="nil"/>
              <w:tr2bl w:val="nil"/>
            </w:tcBorders>
            <w:vAlign w:val="center"/>
          </w:tcPr>
          <w:p w14:paraId="3810E134">
            <w:pPr>
              <w:widowControl/>
              <w:jc w:val="center"/>
              <w:rPr>
                <w:color w:val="auto"/>
                <w:sz w:val="22"/>
                <w:szCs w:val="22"/>
                <w:highlight w:val="none"/>
              </w:rPr>
            </w:pPr>
          </w:p>
        </w:tc>
        <w:tc>
          <w:tcPr>
            <w:tcW w:w="845" w:type="pct"/>
            <w:tcBorders>
              <w:tl2br w:val="nil"/>
              <w:tr2bl w:val="nil"/>
            </w:tcBorders>
            <w:vAlign w:val="center"/>
          </w:tcPr>
          <w:p w14:paraId="2BDDD528">
            <w:pPr>
              <w:widowControl/>
              <w:jc w:val="center"/>
              <w:rPr>
                <w:color w:val="auto"/>
                <w:sz w:val="22"/>
                <w:szCs w:val="22"/>
                <w:highlight w:val="none"/>
              </w:rPr>
            </w:pPr>
          </w:p>
        </w:tc>
        <w:tc>
          <w:tcPr>
            <w:tcW w:w="775" w:type="pct"/>
            <w:tcBorders>
              <w:tl2br w:val="nil"/>
              <w:tr2bl w:val="nil"/>
            </w:tcBorders>
            <w:vAlign w:val="center"/>
          </w:tcPr>
          <w:p w14:paraId="6336994B">
            <w:pPr>
              <w:widowControl/>
              <w:jc w:val="center"/>
              <w:rPr>
                <w:color w:val="auto"/>
                <w:sz w:val="22"/>
                <w:szCs w:val="22"/>
                <w:highlight w:val="none"/>
              </w:rPr>
            </w:pPr>
          </w:p>
        </w:tc>
        <w:tc>
          <w:tcPr>
            <w:tcW w:w="845" w:type="pct"/>
            <w:tcBorders>
              <w:tl2br w:val="nil"/>
              <w:tr2bl w:val="nil"/>
            </w:tcBorders>
            <w:vAlign w:val="center"/>
          </w:tcPr>
          <w:p w14:paraId="4759F59C">
            <w:pPr>
              <w:widowControl/>
              <w:jc w:val="center"/>
              <w:rPr>
                <w:color w:val="auto"/>
                <w:sz w:val="22"/>
                <w:szCs w:val="22"/>
                <w:highlight w:val="none"/>
              </w:rPr>
            </w:pPr>
          </w:p>
        </w:tc>
        <w:tc>
          <w:tcPr>
            <w:tcW w:w="845" w:type="pct"/>
            <w:tcBorders>
              <w:tl2br w:val="nil"/>
              <w:tr2bl w:val="nil"/>
            </w:tcBorders>
            <w:vAlign w:val="center"/>
          </w:tcPr>
          <w:p w14:paraId="58D9B8C5">
            <w:pPr>
              <w:widowControl/>
              <w:jc w:val="center"/>
              <w:rPr>
                <w:color w:val="auto"/>
                <w:sz w:val="22"/>
                <w:szCs w:val="22"/>
                <w:highlight w:val="none"/>
              </w:rPr>
            </w:pPr>
          </w:p>
        </w:tc>
      </w:tr>
      <w:tr w14:paraId="0371F8A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25" w:hRule="atLeast"/>
          <w:jc w:val="center"/>
        </w:trPr>
        <w:tc>
          <w:tcPr>
            <w:tcW w:w="427" w:type="pct"/>
            <w:tcBorders>
              <w:tl2br w:val="nil"/>
              <w:tr2bl w:val="nil"/>
            </w:tcBorders>
            <w:vAlign w:val="center"/>
          </w:tcPr>
          <w:p w14:paraId="3494EE79">
            <w:pPr>
              <w:widowControl/>
              <w:jc w:val="center"/>
              <w:rPr>
                <w:b/>
                <w:color w:val="auto"/>
                <w:sz w:val="22"/>
                <w:szCs w:val="22"/>
                <w:highlight w:val="none"/>
              </w:rPr>
            </w:pPr>
            <w:r>
              <w:rPr>
                <w:rFonts w:hint="eastAsia"/>
                <w:b/>
                <w:color w:val="auto"/>
                <w:sz w:val="22"/>
                <w:szCs w:val="22"/>
                <w:highlight w:val="none"/>
              </w:rPr>
              <w:t>3　</w:t>
            </w:r>
          </w:p>
        </w:tc>
        <w:tc>
          <w:tcPr>
            <w:tcW w:w="1261" w:type="pct"/>
            <w:tcBorders>
              <w:tl2br w:val="nil"/>
              <w:tr2bl w:val="nil"/>
            </w:tcBorders>
            <w:vAlign w:val="center"/>
          </w:tcPr>
          <w:p w14:paraId="6D315BA7">
            <w:pPr>
              <w:widowControl/>
              <w:jc w:val="center"/>
              <w:rPr>
                <w:color w:val="auto"/>
                <w:sz w:val="22"/>
                <w:szCs w:val="22"/>
                <w:highlight w:val="none"/>
              </w:rPr>
            </w:pPr>
          </w:p>
        </w:tc>
        <w:tc>
          <w:tcPr>
            <w:tcW w:w="845" w:type="pct"/>
            <w:tcBorders>
              <w:tl2br w:val="nil"/>
              <w:tr2bl w:val="nil"/>
            </w:tcBorders>
            <w:vAlign w:val="center"/>
          </w:tcPr>
          <w:p w14:paraId="472CE745">
            <w:pPr>
              <w:widowControl/>
              <w:jc w:val="center"/>
              <w:rPr>
                <w:color w:val="auto"/>
                <w:sz w:val="22"/>
                <w:szCs w:val="22"/>
                <w:highlight w:val="none"/>
              </w:rPr>
            </w:pPr>
          </w:p>
        </w:tc>
        <w:tc>
          <w:tcPr>
            <w:tcW w:w="775" w:type="pct"/>
            <w:tcBorders>
              <w:tl2br w:val="nil"/>
              <w:tr2bl w:val="nil"/>
            </w:tcBorders>
            <w:vAlign w:val="center"/>
          </w:tcPr>
          <w:p w14:paraId="02AF8FE5">
            <w:pPr>
              <w:widowControl/>
              <w:jc w:val="center"/>
              <w:rPr>
                <w:color w:val="auto"/>
                <w:sz w:val="22"/>
                <w:szCs w:val="22"/>
                <w:highlight w:val="none"/>
              </w:rPr>
            </w:pPr>
          </w:p>
        </w:tc>
        <w:tc>
          <w:tcPr>
            <w:tcW w:w="845" w:type="pct"/>
            <w:tcBorders>
              <w:tl2br w:val="nil"/>
              <w:tr2bl w:val="nil"/>
            </w:tcBorders>
            <w:vAlign w:val="center"/>
          </w:tcPr>
          <w:p w14:paraId="2360BD64">
            <w:pPr>
              <w:widowControl/>
              <w:jc w:val="center"/>
              <w:rPr>
                <w:color w:val="auto"/>
                <w:sz w:val="22"/>
                <w:szCs w:val="22"/>
                <w:highlight w:val="none"/>
              </w:rPr>
            </w:pPr>
          </w:p>
        </w:tc>
        <w:tc>
          <w:tcPr>
            <w:tcW w:w="845" w:type="pct"/>
            <w:tcBorders>
              <w:tl2br w:val="nil"/>
              <w:tr2bl w:val="nil"/>
            </w:tcBorders>
            <w:vAlign w:val="center"/>
          </w:tcPr>
          <w:p w14:paraId="3274413A">
            <w:pPr>
              <w:widowControl/>
              <w:jc w:val="center"/>
              <w:rPr>
                <w:color w:val="auto"/>
                <w:sz w:val="22"/>
                <w:szCs w:val="22"/>
                <w:highlight w:val="none"/>
              </w:rPr>
            </w:pPr>
          </w:p>
        </w:tc>
      </w:tr>
      <w:tr w14:paraId="35C3D8E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25" w:hRule="atLeast"/>
          <w:jc w:val="center"/>
        </w:trPr>
        <w:tc>
          <w:tcPr>
            <w:tcW w:w="427" w:type="pct"/>
            <w:tcBorders>
              <w:tl2br w:val="nil"/>
              <w:tr2bl w:val="nil"/>
            </w:tcBorders>
            <w:vAlign w:val="center"/>
          </w:tcPr>
          <w:p w14:paraId="4F7A4B34">
            <w:pPr>
              <w:widowControl/>
              <w:jc w:val="center"/>
              <w:rPr>
                <w:b/>
                <w:color w:val="auto"/>
                <w:sz w:val="22"/>
                <w:szCs w:val="22"/>
                <w:highlight w:val="none"/>
              </w:rPr>
            </w:pPr>
            <w:r>
              <w:rPr>
                <w:rFonts w:hint="eastAsia"/>
                <w:b/>
                <w:color w:val="auto"/>
                <w:sz w:val="22"/>
                <w:szCs w:val="22"/>
                <w:highlight w:val="none"/>
              </w:rPr>
              <w:t>4　</w:t>
            </w:r>
          </w:p>
        </w:tc>
        <w:tc>
          <w:tcPr>
            <w:tcW w:w="1261" w:type="pct"/>
            <w:tcBorders>
              <w:tl2br w:val="nil"/>
              <w:tr2bl w:val="nil"/>
            </w:tcBorders>
            <w:vAlign w:val="center"/>
          </w:tcPr>
          <w:p w14:paraId="79D60FBD">
            <w:pPr>
              <w:widowControl/>
              <w:jc w:val="center"/>
              <w:rPr>
                <w:color w:val="auto"/>
                <w:sz w:val="22"/>
                <w:szCs w:val="22"/>
                <w:highlight w:val="none"/>
              </w:rPr>
            </w:pPr>
          </w:p>
        </w:tc>
        <w:tc>
          <w:tcPr>
            <w:tcW w:w="845" w:type="pct"/>
            <w:tcBorders>
              <w:tl2br w:val="nil"/>
              <w:tr2bl w:val="nil"/>
            </w:tcBorders>
            <w:vAlign w:val="center"/>
          </w:tcPr>
          <w:p w14:paraId="6D13DFCE">
            <w:pPr>
              <w:widowControl/>
              <w:jc w:val="center"/>
              <w:rPr>
                <w:color w:val="auto"/>
                <w:sz w:val="22"/>
                <w:szCs w:val="22"/>
                <w:highlight w:val="none"/>
              </w:rPr>
            </w:pPr>
          </w:p>
        </w:tc>
        <w:tc>
          <w:tcPr>
            <w:tcW w:w="775" w:type="pct"/>
            <w:tcBorders>
              <w:tl2br w:val="nil"/>
              <w:tr2bl w:val="nil"/>
            </w:tcBorders>
            <w:vAlign w:val="center"/>
          </w:tcPr>
          <w:p w14:paraId="496D5739">
            <w:pPr>
              <w:widowControl/>
              <w:jc w:val="center"/>
              <w:rPr>
                <w:color w:val="auto"/>
                <w:sz w:val="22"/>
                <w:szCs w:val="22"/>
                <w:highlight w:val="none"/>
              </w:rPr>
            </w:pPr>
          </w:p>
        </w:tc>
        <w:tc>
          <w:tcPr>
            <w:tcW w:w="845" w:type="pct"/>
            <w:tcBorders>
              <w:tl2br w:val="nil"/>
              <w:tr2bl w:val="nil"/>
            </w:tcBorders>
            <w:vAlign w:val="center"/>
          </w:tcPr>
          <w:p w14:paraId="6B05EDE3">
            <w:pPr>
              <w:widowControl/>
              <w:jc w:val="center"/>
              <w:rPr>
                <w:color w:val="auto"/>
                <w:sz w:val="22"/>
                <w:szCs w:val="22"/>
                <w:highlight w:val="none"/>
              </w:rPr>
            </w:pPr>
          </w:p>
        </w:tc>
        <w:tc>
          <w:tcPr>
            <w:tcW w:w="845" w:type="pct"/>
            <w:tcBorders>
              <w:tl2br w:val="nil"/>
              <w:tr2bl w:val="nil"/>
            </w:tcBorders>
            <w:vAlign w:val="center"/>
          </w:tcPr>
          <w:p w14:paraId="12F4A467">
            <w:pPr>
              <w:widowControl/>
              <w:jc w:val="center"/>
              <w:rPr>
                <w:color w:val="auto"/>
                <w:sz w:val="22"/>
                <w:szCs w:val="22"/>
                <w:highlight w:val="none"/>
              </w:rPr>
            </w:pPr>
          </w:p>
        </w:tc>
      </w:tr>
      <w:tr w14:paraId="344F208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25" w:hRule="atLeast"/>
          <w:jc w:val="center"/>
        </w:trPr>
        <w:tc>
          <w:tcPr>
            <w:tcW w:w="427" w:type="pct"/>
            <w:tcBorders>
              <w:tl2br w:val="nil"/>
              <w:tr2bl w:val="nil"/>
            </w:tcBorders>
            <w:vAlign w:val="center"/>
          </w:tcPr>
          <w:p w14:paraId="714C18BD">
            <w:pPr>
              <w:widowControl/>
              <w:jc w:val="center"/>
              <w:rPr>
                <w:b/>
                <w:color w:val="auto"/>
                <w:sz w:val="22"/>
                <w:szCs w:val="22"/>
                <w:highlight w:val="none"/>
              </w:rPr>
            </w:pPr>
            <w:r>
              <w:rPr>
                <w:b/>
                <w:color w:val="auto"/>
                <w:sz w:val="22"/>
                <w:szCs w:val="22"/>
                <w:highlight w:val="none"/>
              </w:rPr>
              <w:t>…</w:t>
            </w:r>
            <w:r>
              <w:rPr>
                <w:rFonts w:hint="eastAsia"/>
                <w:b/>
                <w:color w:val="auto"/>
                <w:sz w:val="22"/>
                <w:szCs w:val="22"/>
                <w:highlight w:val="none"/>
              </w:rPr>
              <w:t>　</w:t>
            </w:r>
          </w:p>
        </w:tc>
        <w:tc>
          <w:tcPr>
            <w:tcW w:w="1261" w:type="pct"/>
            <w:tcBorders>
              <w:tl2br w:val="nil"/>
              <w:tr2bl w:val="nil"/>
            </w:tcBorders>
            <w:vAlign w:val="center"/>
          </w:tcPr>
          <w:p w14:paraId="618B04F0">
            <w:pPr>
              <w:widowControl/>
              <w:jc w:val="center"/>
              <w:rPr>
                <w:color w:val="auto"/>
                <w:sz w:val="22"/>
                <w:szCs w:val="22"/>
                <w:highlight w:val="none"/>
              </w:rPr>
            </w:pPr>
          </w:p>
        </w:tc>
        <w:tc>
          <w:tcPr>
            <w:tcW w:w="845" w:type="pct"/>
            <w:tcBorders>
              <w:tl2br w:val="nil"/>
              <w:tr2bl w:val="nil"/>
            </w:tcBorders>
            <w:vAlign w:val="center"/>
          </w:tcPr>
          <w:p w14:paraId="715FBA54">
            <w:pPr>
              <w:widowControl/>
              <w:jc w:val="center"/>
              <w:rPr>
                <w:color w:val="auto"/>
                <w:sz w:val="22"/>
                <w:szCs w:val="22"/>
                <w:highlight w:val="none"/>
              </w:rPr>
            </w:pPr>
          </w:p>
        </w:tc>
        <w:tc>
          <w:tcPr>
            <w:tcW w:w="775" w:type="pct"/>
            <w:tcBorders>
              <w:tl2br w:val="nil"/>
              <w:tr2bl w:val="nil"/>
            </w:tcBorders>
            <w:vAlign w:val="center"/>
          </w:tcPr>
          <w:p w14:paraId="42CF4C5D">
            <w:pPr>
              <w:widowControl/>
              <w:jc w:val="center"/>
              <w:rPr>
                <w:color w:val="auto"/>
                <w:sz w:val="22"/>
                <w:szCs w:val="22"/>
                <w:highlight w:val="none"/>
              </w:rPr>
            </w:pPr>
          </w:p>
        </w:tc>
        <w:tc>
          <w:tcPr>
            <w:tcW w:w="845" w:type="pct"/>
            <w:tcBorders>
              <w:tl2br w:val="nil"/>
              <w:tr2bl w:val="nil"/>
            </w:tcBorders>
            <w:vAlign w:val="center"/>
          </w:tcPr>
          <w:p w14:paraId="79DB1406">
            <w:pPr>
              <w:widowControl/>
              <w:jc w:val="center"/>
              <w:rPr>
                <w:color w:val="auto"/>
                <w:sz w:val="22"/>
                <w:szCs w:val="22"/>
                <w:highlight w:val="none"/>
              </w:rPr>
            </w:pPr>
          </w:p>
        </w:tc>
        <w:tc>
          <w:tcPr>
            <w:tcW w:w="845" w:type="pct"/>
            <w:tcBorders>
              <w:tl2br w:val="nil"/>
              <w:tr2bl w:val="nil"/>
            </w:tcBorders>
            <w:vAlign w:val="center"/>
          </w:tcPr>
          <w:p w14:paraId="3BAFC565">
            <w:pPr>
              <w:widowControl/>
              <w:jc w:val="center"/>
              <w:rPr>
                <w:color w:val="auto"/>
                <w:sz w:val="22"/>
                <w:szCs w:val="22"/>
                <w:highlight w:val="none"/>
              </w:rPr>
            </w:pPr>
          </w:p>
        </w:tc>
      </w:tr>
      <w:tr w14:paraId="153A2E5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25" w:hRule="atLeast"/>
          <w:jc w:val="center"/>
        </w:trPr>
        <w:tc>
          <w:tcPr>
            <w:tcW w:w="427" w:type="pct"/>
            <w:tcBorders>
              <w:tl2br w:val="nil"/>
              <w:tr2bl w:val="nil"/>
            </w:tcBorders>
            <w:vAlign w:val="center"/>
          </w:tcPr>
          <w:p w14:paraId="3381D9F1">
            <w:pPr>
              <w:widowControl/>
              <w:jc w:val="center"/>
              <w:rPr>
                <w:b/>
                <w:color w:val="auto"/>
                <w:sz w:val="22"/>
                <w:szCs w:val="22"/>
                <w:highlight w:val="none"/>
              </w:rPr>
            </w:pPr>
            <w:r>
              <w:rPr>
                <w:b/>
                <w:color w:val="auto"/>
                <w:sz w:val="22"/>
                <w:szCs w:val="22"/>
                <w:highlight w:val="none"/>
              </w:rPr>
              <w:t>…</w:t>
            </w:r>
            <w:r>
              <w:rPr>
                <w:rFonts w:hint="eastAsia"/>
                <w:b/>
                <w:color w:val="auto"/>
                <w:sz w:val="22"/>
                <w:szCs w:val="22"/>
                <w:highlight w:val="none"/>
              </w:rPr>
              <w:t>　</w:t>
            </w:r>
          </w:p>
        </w:tc>
        <w:tc>
          <w:tcPr>
            <w:tcW w:w="1261" w:type="pct"/>
            <w:tcBorders>
              <w:tl2br w:val="nil"/>
              <w:tr2bl w:val="nil"/>
            </w:tcBorders>
            <w:vAlign w:val="center"/>
          </w:tcPr>
          <w:p w14:paraId="3DE9FCDA">
            <w:pPr>
              <w:widowControl/>
              <w:jc w:val="center"/>
              <w:rPr>
                <w:color w:val="auto"/>
                <w:sz w:val="22"/>
                <w:szCs w:val="22"/>
                <w:highlight w:val="none"/>
              </w:rPr>
            </w:pPr>
          </w:p>
        </w:tc>
        <w:tc>
          <w:tcPr>
            <w:tcW w:w="845" w:type="pct"/>
            <w:tcBorders>
              <w:tl2br w:val="nil"/>
              <w:tr2bl w:val="nil"/>
            </w:tcBorders>
            <w:vAlign w:val="center"/>
          </w:tcPr>
          <w:p w14:paraId="3C9C2B6A">
            <w:pPr>
              <w:widowControl/>
              <w:jc w:val="center"/>
              <w:rPr>
                <w:color w:val="auto"/>
                <w:sz w:val="22"/>
                <w:szCs w:val="22"/>
                <w:highlight w:val="none"/>
              </w:rPr>
            </w:pPr>
          </w:p>
        </w:tc>
        <w:tc>
          <w:tcPr>
            <w:tcW w:w="775" w:type="pct"/>
            <w:tcBorders>
              <w:tl2br w:val="nil"/>
              <w:tr2bl w:val="nil"/>
            </w:tcBorders>
            <w:vAlign w:val="center"/>
          </w:tcPr>
          <w:p w14:paraId="65E808A8">
            <w:pPr>
              <w:widowControl/>
              <w:jc w:val="center"/>
              <w:rPr>
                <w:color w:val="auto"/>
                <w:sz w:val="22"/>
                <w:szCs w:val="22"/>
                <w:highlight w:val="none"/>
              </w:rPr>
            </w:pPr>
          </w:p>
        </w:tc>
        <w:tc>
          <w:tcPr>
            <w:tcW w:w="845" w:type="pct"/>
            <w:tcBorders>
              <w:tl2br w:val="nil"/>
              <w:tr2bl w:val="nil"/>
            </w:tcBorders>
            <w:vAlign w:val="center"/>
          </w:tcPr>
          <w:p w14:paraId="79CA24EA">
            <w:pPr>
              <w:widowControl/>
              <w:jc w:val="center"/>
              <w:rPr>
                <w:color w:val="auto"/>
                <w:sz w:val="22"/>
                <w:szCs w:val="22"/>
                <w:highlight w:val="none"/>
              </w:rPr>
            </w:pPr>
          </w:p>
        </w:tc>
        <w:tc>
          <w:tcPr>
            <w:tcW w:w="845" w:type="pct"/>
            <w:tcBorders>
              <w:tl2br w:val="nil"/>
              <w:tr2bl w:val="nil"/>
            </w:tcBorders>
            <w:vAlign w:val="center"/>
          </w:tcPr>
          <w:p w14:paraId="252C66E2">
            <w:pPr>
              <w:widowControl/>
              <w:jc w:val="center"/>
              <w:rPr>
                <w:color w:val="auto"/>
                <w:sz w:val="22"/>
                <w:szCs w:val="22"/>
                <w:highlight w:val="none"/>
              </w:rPr>
            </w:pPr>
          </w:p>
        </w:tc>
      </w:tr>
    </w:tbl>
    <w:p w14:paraId="70F2B4BA">
      <w:pPr>
        <w:rPr>
          <w:rFonts w:hint="eastAsia" w:eastAsia="黑体"/>
          <w:color w:val="auto"/>
          <w:sz w:val="28"/>
          <w:highlight w:val="none"/>
        </w:rPr>
      </w:pPr>
      <w:r>
        <w:rPr>
          <w:rFonts w:hint="eastAsia" w:eastAsia="黑体"/>
          <w:color w:val="auto"/>
          <w:sz w:val="28"/>
          <w:highlight w:val="none"/>
        </w:rPr>
        <w:br w:type="page"/>
      </w:r>
    </w:p>
    <w:p w14:paraId="41A8C035">
      <w:pPr>
        <w:spacing w:after="240" w:line="540" w:lineRule="exact"/>
        <w:ind w:left="357" w:leftChars="170" w:firstLine="1"/>
        <w:jc w:val="center"/>
        <w:outlineLvl w:val="0"/>
        <w:rPr>
          <w:color w:val="auto"/>
          <w:highlight w:val="none"/>
        </w:rPr>
      </w:pPr>
      <w:r>
        <w:rPr>
          <w:rFonts w:hint="eastAsia" w:ascii="黑体" w:hAnsi="宋体" w:eastAsia="黑体"/>
          <w:bCs/>
          <w:color w:val="auto"/>
          <w:sz w:val="30"/>
          <w:szCs w:val="30"/>
          <w:highlight w:val="none"/>
        </w:rPr>
        <w:t>-</w:t>
      </w:r>
      <w:r>
        <w:rPr>
          <w:rFonts w:hint="eastAsia" w:ascii="黑体" w:hAnsi="宋体" w:eastAsia="黑体"/>
          <w:bCs/>
          <w:color w:val="auto"/>
          <w:sz w:val="30"/>
          <w:szCs w:val="30"/>
          <w:highlight w:val="none"/>
          <w:lang w:val="en-US" w:eastAsia="zh-CN"/>
        </w:rPr>
        <w:t>B</w:t>
      </w:r>
      <w:r>
        <w:rPr>
          <w:rFonts w:hint="eastAsia" w:eastAsia="黑体"/>
          <w:color w:val="auto"/>
          <w:sz w:val="28"/>
          <w:highlight w:val="none"/>
        </w:rPr>
        <w:t>近年</w:t>
      </w:r>
      <w:r>
        <w:rPr>
          <w:rFonts w:eastAsia="黑体"/>
          <w:color w:val="auto"/>
          <w:sz w:val="28"/>
          <w:highlight w:val="none"/>
        </w:rPr>
        <w:t>完成的类似项目情况表</w:t>
      </w:r>
      <w:bookmarkEnd w:id="151"/>
    </w:p>
    <w:tbl>
      <w:tblPr>
        <w:tblStyle w:val="25"/>
        <w:tblW w:w="96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61"/>
        <w:gridCol w:w="7059"/>
      </w:tblGrid>
      <w:tr w14:paraId="59CC88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2561" w:type="dxa"/>
            <w:vAlign w:val="center"/>
          </w:tcPr>
          <w:p w14:paraId="47E13308">
            <w:pPr>
              <w:topLinePunct/>
              <w:spacing w:line="440" w:lineRule="exact"/>
              <w:jc w:val="center"/>
              <w:rPr>
                <w:color w:val="auto"/>
                <w:szCs w:val="21"/>
                <w:highlight w:val="none"/>
              </w:rPr>
            </w:pPr>
            <w:r>
              <w:rPr>
                <w:color w:val="auto"/>
                <w:szCs w:val="21"/>
                <w:highlight w:val="none"/>
              </w:rPr>
              <w:t>项目名称</w:t>
            </w:r>
          </w:p>
        </w:tc>
        <w:tc>
          <w:tcPr>
            <w:tcW w:w="7059" w:type="dxa"/>
          </w:tcPr>
          <w:p w14:paraId="6BB1E555">
            <w:pPr>
              <w:topLinePunct/>
              <w:spacing w:line="440" w:lineRule="exact"/>
              <w:rPr>
                <w:color w:val="auto"/>
                <w:szCs w:val="21"/>
                <w:highlight w:val="none"/>
              </w:rPr>
            </w:pPr>
          </w:p>
        </w:tc>
      </w:tr>
      <w:tr w14:paraId="390EAB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2561" w:type="dxa"/>
            <w:vAlign w:val="center"/>
          </w:tcPr>
          <w:p w14:paraId="64D5C20A">
            <w:pPr>
              <w:topLinePunct/>
              <w:spacing w:line="440" w:lineRule="exact"/>
              <w:jc w:val="center"/>
              <w:rPr>
                <w:color w:val="auto"/>
                <w:szCs w:val="21"/>
                <w:highlight w:val="none"/>
              </w:rPr>
            </w:pPr>
            <w:r>
              <w:rPr>
                <w:color w:val="auto"/>
                <w:szCs w:val="21"/>
                <w:highlight w:val="none"/>
              </w:rPr>
              <w:t>项目所在地</w:t>
            </w:r>
          </w:p>
        </w:tc>
        <w:tc>
          <w:tcPr>
            <w:tcW w:w="7059" w:type="dxa"/>
          </w:tcPr>
          <w:p w14:paraId="767EF34C">
            <w:pPr>
              <w:topLinePunct/>
              <w:spacing w:line="440" w:lineRule="exact"/>
              <w:rPr>
                <w:color w:val="auto"/>
                <w:szCs w:val="21"/>
                <w:highlight w:val="none"/>
              </w:rPr>
            </w:pPr>
          </w:p>
        </w:tc>
      </w:tr>
      <w:tr w14:paraId="5344E2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561" w:type="dxa"/>
            <w:vAlign w:val="center"/>
          </w:tcPr>
          <w:p w14:paraId="72EF7ACF">
            <w:pPr>
              <w:topLinePunct/>
              <w:spacing w:line="440" w:lineRule="exact"/>
              <w:jc w:val="center"/>
              <w:rPr>
                <w:color w:val="auto"/>
                <w:szCs w:val="21"/>
                <w:highlight w:val="none"/>
              </w:rPr>
            </w:pPr>
            <w:r>
              <w:rPr>
                <w:color w:val="auto"/>
                <w:szCs w:val="21"/>
                <w:highlight w:val="none"/>
              </w:rPr>
              <w:t>发包人名称</w:t>
            </w:r>
          </w:p>
        </w:tc>
        <w:tc>
          <w:tcPr>
            <w:tcW w:w="7059" w:type="dxa"/>
          </w:tcPr>
          <w:p w14:paraId="66203C2B">
            <w:pPr>
              <w:topLinePunct/>
              <w:spacing w:line="440" w:lineRule="exact"/>
              <w:rPr>
                <w:color w:val="auto"/>
                <w:szCs w:val="21"/>
                <w:highlight w:val="none"/>
              </w:rPr>
            </w:pPr>
          </w:p>
        </w:tc>
      </w:tr>
      <w:tr w14:paraId="54EE60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2561" w:type="dxa"/>
            <w:vAlign w:val="center"/>
          </w:tcPr>
          <w:p w14:paraId="6B4CA69B">
            <w:pPr>
              <w:topLinePunct/>
              <w:spacing w:line="440" w:lineRule="exact"/>
              <w:jc w:val="center"/>
              <w:rPr>
                <w:color w:val="auto"/>
                <w:szCs w:val="21"/>
                <w:highlight w:val="none"/>
              </w:rPr>
            </w:pPr>
            <w:r>
              <w:rPr>
                <w:color w:val="auto"/>
                <w:szCs w:val="21"/>
                <w:highlight w:val="none"/>
              </w:rPr>
              <w:t>发包人地址</w:t>
            </w:r>
          </w:p>
        </w:tc>
        <w:tc>
          <w:tcPr>
            <w:tcW w:w="7059" w:type="dxa"/>
          </w:tcPr>
          <w:p w14:paraId="51FE77B7">
            <w:pPr>
              <w:topLinePunct/>
              <w:spacing w:line="440" w:lineRule="exact"/>
              <w:rPr>
                <w:color w:val="auto"/>
                <w:szCs w:val="21"/>
                <w:highlight w:val="none"/>
              </w:rPr>
            </w:pPr>
          </w:p>
        </w:tc>
      </w:tr>
      <w:tr w14:paraId="192B82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2561" w:type="dxa"/>
            <w:vAlign w:val="center"/>
          </w:tcPr>
          <w:p w14:paraId="335C35D8">
            <w:pPr>
              <w:topLinePunct/>
              <w:spacing w:line="440" w:lineRule="exact"/>
              <w:jc w:val="center"/>
              <w:rPr>
                <w:color w:val="auto"/>
                <w:szCs w:val="21"/>
                <w:highlight w:val="none"/>
              </w:rPr>
            </w:pPr>
            <w:r>
              <w:rPr>
                <w:color w:val="auto"/>
                <w:szCs w:val="21"/>
                <w:highlight w:val="none"/>
              </w:rPr>
              <w:t>发包人电话</w:t>
            </w:r>
          </w:p>
        </w:tc>
        <w:tc>
          <w:tcPr>
            <w:tcW w:w="7059" w:type="dxa"/>
          </w:tcPr>
          <w:p w14:paraId="674441B3">
            <w:pPr>
              <w:topLinePunct/>
              <w:spacing w:line="440" w:lineRule="exact"/>
              <w:rPr>
                <w:color w:val="auto"/>
                <w:szCs w:val="21"/>
                <w:highlight w:val="none"/>
              </w:rPr>
            </w:pPr>
          </w:p>
        </w:tc>
      </w:tr>
      <w:tr w14:paraId="3E9BFE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2561" w:type="dxa"/>
            <w:vAlign w:val="center"/>
          </w:tcPr>
          <w:p w14:paraId="21D429CD">
            <w:pPr>
              <w:topLinePunct/>
              <w:spacing w:line="440" w:lineRule="exact"/>
              <w:jc w:val="center"/>
              <w:rPr>
                <w:color w:val="auto"/>
                <w:szCs w:val="21"/>
                <w:highlight w:val="none"/>
              </w:rPr>
            </w:pPr>
            <w:r>
              <w:rPr>
                <w:color w:val="auto"/>
                <w:szCs w:val="21"/>
                <w:highlight w:val="none"/>
              </w:rPr>
              <w:t>开工日期</w:t>
            </w:r>
          </w:p>
        </w:tc>
        <w:tc>
          <w:tcPr>
            <w:tcW w:w="7059" w:type="dxa"/>
          </w:tcPr>
          <w:p w14:paraId="1B668995">
            <w:pPr>
              <w:topLinePunct/>
              <w:spacing w:line="440" w:lineRule="exact"/>
              <w:rPr>
                <w:color w:val="auto"/>
                <w:szCs w:val="21"/>
                <w:highlight w:val="none"/>
              </w:rPr>
            </w:pPr>
          </w:p>
        </w:tc>
      </w:tr>
      <w:tr w14:paraId="755102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2561" w:type="dxa"/>
            <w:vAlign w:val="center"/>
          </w:tcPr>
          <w:p w14:paraId="38E973E6">
            <w:pPr>
              <w:topLinePunct/>
              <w:spacing w:line="440" w:lineRule="exact"/>
              <w:jc w:val="center"/>
              <w:rPr>
                <w:color w:val="auto"/>
                <w:szCs w:val="21"/>
                <w:highlight w:val="none"/>
              </w:rPr>
            </w:pPr>
            <w:r>
              <w:rPr>
                <w:color w:val="auto"/>
                <w:szCs w:val="21"/>
                <w:highlight w:val="none"/>
              </w:rPr>
              <w:t>竣工日期</w:t>
            </w:r>
          </w:p>
        </w:tc>
        <w:tc>
          <w:tcPr>
            <w:tcW w:w="7059" w:type="dxa"/>
          </w:tcPr>
          <w:p w14:paraId="139DB241">
            <w:pPr>
              <w:topLinePunct/>
              <w:spacing w:line="440" w:lineRule="exact"/>
              <w:rPr>
                <w:color w:val="auto"/>
                <w:szCs w:val="21"/>
                <w:highlight w:val="none"/>
              </w:rPr>
            </w:pPr>
          </w:p>
        </w:tc>
      </w:tr>
      <w:tr w14:paraId="1E886E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2561" w:type="dxa"/>
            <w:vAlign w:val="center"/>
          </w:tcPr>
          <w:p w14:paraId="5CADC0FF">
            <w:pPr>
              <w:topLinePunct/>
              <w:spacing w:line="440" w:lineRule="exact"/>
              <w:jc w:val="center"/>
              <w:rPr>
                <w:color w:val="auto"/>
                <w:szCs w:val="21"/>
                <w:highlight w:val="none"/>
              </w:rPr>
            </w:pPr>
            <w:r>
              <w:rPr>
                <w:color w:val="auto"/>
                <w:szCs w:val="21"/>
                <w:highlight w:val="none"/>
              </w:rPr>
              <w:t>承担的工作</w:t>
            </w:r>
          </w:p>
        </w:tc>
        <w:tc>
          <w:tcPr>
            <w:tcW w:w="7059" w:type="dxa"/>
          </w:tcPr>
          <w:p w14:paraId="480E2A14">
            <w:pPr>
              <w:topLinePunct/>
              <w:spacing w:line="440" w:lineRule="exact"/>
              <w:rPr>
                <w:color w:val="auto"/>
                <w:szCs w:val="21"/>
                <w:highlight w:val="none"/>
              </w:rPr>
            </w:pPr>
          </w:p>
        </w:tc>
      </w:tr>
      <w:tr w14:paraId="3D1F79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2561" w:type="dxa"/>
            <w:vAlign w:val="center"/>
          </w:tcPr>
          <w:p w14:paraId="5051B1EC">
            <w:pPr>
              <w:topLinePunct/>
              <w:spacing w:line="440" w:lineRule="exact"/>
              <w:jc w:val="center"/>
              <w:rPr>
                <w:color w:val="auto"/>
                <w:szCs w:val="21"/>
                <w:highlight w:val="none"/>
              </w:rPr>
            </w:pPr>
            <w:r>
              <w:rPr>
                <w:color w:val="auto"/>
                <w:szCs w:val="21"/>
                <w:highlight w:val="none"/>
              </w:rPr>
              <w:t>服务质量</w:t>
            </w:r>
          </w:p>
        </w:tc>
        <w:tc>
          <w:tcPr>
            <w:tcW w:w="7059" w:type="dxa"/>
          </w:tcPr>
          <w:p w14:paraId="7592F56E">
            <w:pPr>
              <w:topLinePunct/>
              <w:spacing w:line="440" w:lineRule="exact"/>
              <w:rPr>
                <w:color w:val="auto"/>
                <w:szCs w:val="21"/>
                <w:highlight w:val="none"/>
              </w:rPr>
            </w:pPr>
          </w:p>
        </w:tc>
      </w:tr>
      <w:tr w14:paraId="2AFAA2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2561" w:type="dxa"/>
            <w:vAlign w:val="center"/>
          </w:tcPr>
          <w:p w14:paraId="398EFBA8">
            <w:pPr>
              <w:topLinePunct/>
              <w:spacing w:line="440" w:lineRule="exact"/>
              <w:jc w:val="center"/>
              <w:rPr>
                <w:color w:val="auto"/>
                <w:szCs w:val="21"/>
                <w:highlight w:val="none"/>
              </w:rPr>
            </w:pPr>
            <w:r>
              <w:rPr>
                <w:color w:val="auto"/>
                <w:szCs w:val="21"/>
                <w:highlight w:val="none"/>
              </w:rPr>
              <w:t>项目负责人</w:t>
            </w:r>
          </w:p>
        </w:tc>
        <w:tc>
          <w:tcPr>
            <w:tcW w:w="7059" w:type="dxa"/>
          </w:tcPr>
          <w:p w14:paraId="2881622E">
            <w:pPr>
              <w:topLinePunct/>
              <w:spacing w:line="440" w:lineRule="exact"/>
              <w:rPr>
                <w:color w:val="auto"/>
                <w:szCs w:val="21"/>
                <w:highlight w:val="none"/>
              </w:rPr>
            </w:pPr>
          </w:p>
        </w:tc>
      </w:tr>
      <w:tr w14:paraId="2F0CE2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2561" w:type="dxa"/>
            <w:vAlign w:val="center"/>
          </w:tcPr>
          <w:p w14:paraId="27816BA8">
            <w:pPr>
              <w:topLinePunct/>
              <w:spacing w:line="440" w:lineRule="exact"/>
              <w:jc w:val="center"/>
              <w:rPr>
                <w:color w:val="auto"/>
                <w:szCs w:val="21"/>
                <w:highlight w:val="none"/>
              </w:rPr>
            </w:pPr>
            <w:r>
              <w:rPr>
                <w:color w:val="auto"/>
                <w:szCs w:val="21"/>
                <w:highlight w:val="none"/>
              </w:rPr>
              <w:t>成果描述</w:t>
            </w:r>
          </w:p>
        </w:tc>
        <w:tc>
          <w:tcPr>
            <w:tcW w:w="7059" w:type="dxa"/>
          </w:tcPr>
          <w:p w14:paraId="3CA670FC">
            <w:pPr>
              <w:topLinePunct/>
              <w:spacing w:line="440" w:lineRule="exact"/>
              <w:rPr>
                <w:color w:val="auto"/>
                <w:szCs w:val="21"/>
                <w:highlight w:val="none"/>
              </w:rPr>
            </w:pPr>
          </w:p>
        </w:tc>
      </w:tr>
      <w:tr w14:paraId="4A62E6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2561" w:type="dxa"/>
            <w:vAlign w:val="center"/>
          </w:tcPr>
          <w:p w14:paraId="7CDD4D03">
            <w:pPr>
              <w:topLinePunct/>
              <w:spacing w:line="440" w:lineRule="exact"/>
              <w:jc w:val="center"/>
              <w:rPr>
                <w:color w:val="auto"/>
                <w:szCs w:val="21"/>
                <w:highlight w:val="none"/>
              </w:rPr>
            </w:pPr>
            <w:r>
              <w:rPr>
                <w:color w:val="auto"/>
                <w:szCs w:val="21"/>
                <w:highlight w:val="none"/>
              </w:rPr>
              <w:t>备注</w:t>
            </w:r>
          </w:p>
        </w:tc>
        <w:tc>
          <w:tcPr>
            <w:tcW w:w="7059" w:type="dxa"/>
          </w:tcPr>
          <w:p w14:paraId="0D6E56A2">
            <w:pPr>
              <w:topLinePunct/>
              <w:spacing w:line="440" w:lineRule="exact"/>
              <w:rPr>
                <w:color w:val="auto"/>
                <w:szCs w:val="21"/>
                <w:highlight w:val="none"/>
              </w:rPr>
            </w:pPr>
          </w:p>
        </w:tc>
      </w:tr>
    </w:tbl>
    <w:p w14:paraId="2A7BDA7E">
      <w:pPr>
        <w:spacing w:line="340" w:lineRule="exact"/>
        <w:ind w:right="111" w:rightChars="53"/>
        <w:jc w:val="left"/>
        <w:rPr>
          <w:color w:val="auto"/>
          <w:szCs w:val="21"/>
          <w:highlight w:val="none"/>
        </w:rPr>
      </w:pPr>
    </w:p>
    <w:p w14:paraId="476125DC">
      <w:pPr>
        <w:spacing w:line="360" w:lineRule="auto"/>
        <w:ind w:right="111" w:rightChars="53"/>
        <w:jc w:val="left"/>
        <w:rPr>
          <w:rFonts w:eastAsia="仿宋"/>
          <w:color w:val="auto"/>
          <w:szCs w:val="21"/>
          <w:highlight w:val="none"/>
        </w:rPr>
      </w:pPr>
      <w:r>
        <w:rPr>
          <w:rFonts w:eastAsia="仿宋"/>
          <w:color w:val="auto"/>
          <w:szCs w:val="21"/>
          <w:highlight w:val="none"/>
        </w:rPr>
        <w:t>注：1.每张表只填写一个项目，并表明序号；</w:t>
      </w:r>
    </w:p>
    <w:p w14:paraId="13E7E1BF">
      <w:pPr>
        <w:spacing w:line="360" w:lineRule="auto"/>
        <w:ind w:right="111" w:rightChars="53" w:firstLine="420" w:firstLineChars="200"/>
        <w:jc w:val="left"/>
        <w:rPr>
          <w:rFonts w:eastAsia="仿宋"/>
          <w:bCs/>
          <w:color w:val="auto"/>
          <w:szCs w:val="21"/>
          <w:highlight w:val="none"/>
        </w:rPr>
      </w:pPr>
      <w:r>
        <w:rPr>
          <w:rFonts w:eastAsia="仿宋"/>
          <w:color w:val="auto"/>
          <w:szCs w:val="21"/>
          <w:highlight w:val="none"/>
        </w:rPr>
        <w:t>2.本表后应附</w:t>
      </w:r>
      <w:r>
        <w:rPr>
          <w:rFonts w:hint="eastAsia" w:eastAsia="仿宋"/>
          <w:color w:val="auto"/>
          <w:szCs w:val="21"/>
          <w:highlight w:val="none"/>
        </w:rPr>
        <w:t>加分项</w:t>
      </w:r>
      <w:r>
        <w:rPr>
          <w:rFonts w:eastAsia="仿宋"/>
          <w:color w:val="auto"/>
          <w:szCs w:val="21"/>
          <w:highlight w:val="none"/>
        </w:rPr>
        <w:t>中涉及的类似业绩、业绩证明材料同</w:t>
      </w:r>
      <w:r>
        <w:rPr>
          <w:rFonts w:hint="eastAsia" w:eastAsia="仿宋"/>
          <w:color w:val="auto"/>
          <w:szCs w:val="21"/>
          <w:highlight w:val="none"/>
        </w:rPr>
        <w:t>资格审查</w:t>
      </w:r>
      <w:r>
        <w:rPr>
          <w:rFonts w:eastAsia="仿宋"/>
          <w:color w:val="auto"/>
          <w:szCs w:val="21"/>
          <w:highlight w:val="none"/>
        </w:rPr>
        <w:t>描述</w:t>
      </w:r>
      <w:r>
        <w:rPr>
          <w:rFonts w:eastAsia="仿宋"/>
          <w:bCs/>
          <w:color w:val="auto"/>
          <w:szCs w:val="21"/>
          <w:highlight w:val="none"/>
        </w:rPr>
        <w:t>；</w:t>
      </w:r>
    </w:p>
    <w:p w14:paraId="283974F4">
      <w:pPr>
        <w:spacing w:line="360" w:lineRule="auto"/>
        <w:ind w:right="111" w:rightChars="53" w:firstLine="420" w:firstLineChars="200"/>
        <w:jc w:val="left"/>
        <w:rPr>
          <w:rFonts w:eastAsia="仿宋"/>
          <w:color w:val="auto"/>
          <w:szCs w:val="21"/>
          <w:highlight w:val="none"/>
        </w:rPr>
      </w:pPr>
      <w:r>
        <w:rPr>
          <w:rFonts w:eastAsia="仿宋"/>
          <w:color w:val="auto"/>
          <w:szCs w:val="21"/>
          <w:highlight w:val="none"/>
        </w:rPr>
        <w:t>3.如近年来，</w:t>
      </w:r>
      <w:r>
        <w:rPr>
          <w:rFonts w:hint="eastAsia" w:eastAsia="仿宋"/>
          <w:color w:val="auto"/>
          <w:szCs w:val="21"/>
          <w:highlight w:val="none"/>
        </w:rPr>
        <w:t>供应商</w:t>
      </w:r>
      <w:r>
        <w:rPr>
          <w:rFonts w:eastAsia="仿宋"/>
          <w:color w:val="auto"/>
          <w:szCs w:val="21"/>
          <w:highlight w:val="none"/>
        </w:rPr>
        <w:t>法人机构发生合法变更或重组或法人名称变更时，应提供相关部门的合法批件或其他相关证明材料来证明其所附业绩的继承性。</w:t>
      </w:r>
    </w:p>
    <w:p w14:paraId="4896F51D">
      <w:pPr>
        <w:tabs>
          <w:tab w:val="left" w:pos="5731"/>
        </w:tabs>
        <w:spacing w:line="360" w:lineRule="auto"/>
        <w:ind w:right="111" w:rightChars="53"/>
        <w:jc w:val="left"/>
        <w:rPr>
          <w:rFonts w:eastAsia="仿宋"/>
          <w:color w:val="auto"/>
          <w:szCs w:val="21"/>
          <w:highlight w:val="none"/>
        </w:rPr>
      </w:pPr>
      <w:r>
        <w:rPr>
          <w:rFonts w:hint="eastAsia" w:eastAsia="仿宋"/>
          <w:color w:val="auto"/>
          <w:szCs w:val="21"/>
          <w:highlight w:val="none"/>
        </w:rPr>
        <w:tab/>
      </w:r>
    </w:p>
    <w:p w14:paraId="4DD2569F">
      <w:pPr>
        <w:spacing w:line="360" w:lineRule="auto"/>
        <w:jc w:val="left"/>
        <w:rPr>
          <w:color w:val="auto"/>
          <w:szCs w:val="21"/>
          <w:highlight w:val="none"/>
        </w:rPr>
      </w:pPr>
    </w:p>
    <w:p w14:paraId="44065C9F">
      <w:pPr>
        <w:spacing w:line="360" w:lineRule="auto"/>
        <w:jc w:val="left"/>
        <w:rPr>
          <w:color w:val="auto"/>
          <w:szCs w:val="21"/>
          <w:highlight w:val="none"/>
        </w:rPr>
      </w:pPr>
    </w:p>
    <w:p w14:paraId="1E545AFE">
      <w:pPr>
        <w:spacing w:line="360" w:lineRule="auto"/>
        <w:jc w:val="left"/>
        <w:rPr>
          <w:color w:val="auto"/>
          <w:szCs w:val="21"/>
          <w:highlight w:val="none"/>
        </w:rPr>
      </w:pPr>
    </w:p>
    <w:p w14:paraId="1ABD351E">
      <w:pPr>
        <w:rPr>
          <w:rFonts w:hint="eastAsia" w:eastAsia="黑体"/>
          <w:bCs/>
          <w:color w:val="auto"/>
          <w:sz w:val="28"/>
          <w:szCs w:val="32"/>
          <w:highlight w:val="none"/>
        </w:rPr>
      </w:pPr>
      <w:bookmarkStart w:id="160" w:name="_Toc15436"/>
      <w:bookmarkStart w:id="161" w:name="_Toc447808705"/>
      <w:bookmarkStart w:id="162" w:name="_Toc457482592"/>
      <w:r>
        <w:rPr>
          <w:rFonts w:hint="eastAsia" w:eastAsia="黑体"/>
          <w:bCs/>
          <w:color w:val="auto"/>
          <w:sz w:val="28"/>
          <w:szCs w:val="32"/>
          <w:highlight w:val="none"/>
        </w:rPr>
        <w:br w:type="page"/>
      </w:r>
    </w:p>
    <w:p w14:paraId="0B1762C9">
      <w:pPr>
        <w:keepNext/>
        <w:keepLines/>
        <w:adjustRightInd w:val="0"/>
        <w:snapToGrid w:val="0"/>
        <w:spacing w:after="260"/>
        <w:jc w:val="center"/>
        <w:outlineLvl w:val="0"/>
        <w:rPr>
          <w:b/>
          <w:bCs/>
          <w:color w:val="auto"/>
          <w:sz w:val="32"/>
          <w:szCs w:val="32"/>
          <w:highlight w:val="none"/>
        </w:rPr>
      </w:pPr>
      <w:r>
        <w:rPr>
          <w:rFonts w:hint="eastAsia" w:eastAsia="黑体"/>
          <w:bCs/>
          <w:color w:val="auto"/>
          <w:sz w:val="28"/>
          <w:szCs w:val="32"/>
          <w:highlight w:val="none"/>
        </w:rPr>
        <w:t>五．</w:t>
      </w:r>
      <w:r>
        <w:rPr>
          <w:rFonts w:eastAsia="黑体"/>
          <w:bCs/>
          <w:color w:val="auto"/>
          <w:sz w:val="28"/>
          <w:szCs w:val="32"/>
          <w:highlight w:val="none"/>
        </w:rPr>
        <w:t>拟委任的</w:t>
      </w:r>
      <w:r>
        <w:rPr>
          <w:rFonts w:hint="eastAsia" w:eastAsia="黑体"/>
          <w:bCs/>
          <w:color w:val="auto"/>
          <w:sz w:val="28"/>
          <w:szCs w:val="32"/>
          <w:highlight w:val="none"/>
        </w:rPr>
        <w:t>项目负责人</w:t>
      </w:r>
      <w:r>
        <w:rPr>
          <w:rFonts w:eastAsia="黑体"/>
          <w:bCs/>
          <w:color w:val="auto"/>
          <w:sz w:val="28"/>
          <w:szCs w:val="32"/>
          <w:highlight w:val="none"/>
        </w:rPr>
        <w:t>资历表</w:t>
      </w:r>
      <w:bookmarkEnd w:id="160"/>
      <w:bookmarkEnd w:id="161"/>
      <w:bookmarkEnd w:id="162"/>
    </w:p>
    <w:tbl>
      <w:tblPr>
        <w:tblStyle w:val="25"/>
        <w:tblW w:w="96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7"/>
        <w:gridCol w:w="385"/>
        <w:gridCol w:w="1139"/>
        <w:gridCol w:w="675"/>
        <w:gridCol w:w="677"/>
        <w:gridCol w:w="970"/>
        <w:gridCol w:w="1824"/>
        <w:gridCol w:w="489"/>
        <w:gridCol w:w="2112"/>
      </w:tblGrid>
      <w:tr w14:paraId="3B9DD6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47" w:type="dxa"/>
            <w:vAlign w:val="center"/>
          </w:tcPr>
          <w:p w14:paraId="0D60E154">
            <w:pPr>
              <w:spacing w:line="440" w:lineRule="exact"/>
              <w:jc w:val="center"/>
              <w:rPr>
                <w:color w:val="auto"/>
                <w:szCs w:val="21"/>
                <w:highlight w:val="none"/>
              </w:rPr>
            </w:pPr>
            <w:r>
              <w:rPr>
                <w:color w:val="auto"/>
                <w:szCs w:val="21"/>
                <w:highlight w:val="none"/>
              </w:rPr>
              <w:t>姓名</w:t>
            </w:r>
          </w:p>
        </w:tc>
        <w:tc>
          <w:tcPr>
            <w:tcW w:w="1524" w:type="dxa"/>
            <w:gridSpan w:val="2"/>
            <w:vAlign w:val="center"/>
          </w:tcPr>
          <w:p w14:paraId="2F1F5444">
            <w:pPr>
              <w:spacing w:line="440" w:lineRule="exact"/>
              <w:jc w:val="center"/>
              <w:rPr>
                <w:color w:val="auto"/>
                <w:szCs w:val="21"/>
                <w:highlight w:val="none"/>
              </w:rPr>
            </w:pPr>
          </w:p>
        </w:tc>
        <w:tc>
          <w:tcPr>
            <w:tcW w:w="1352" w:type="dxa"/>
            <w:gridSpan w:val="2"/>
            <w:vAlign w:val="center"/>
          </w:tcPr>
          <w:p w14:paraId="0316EA4E">
            <w:pPr>
              <w:spacing w:line="440" w:lineRule="exact"/>
              <w:jc w:val="center"/>
              <w:rPr>
                <w:color w:val="auto"/>
                <w:szCs w:val="21"/>
                <w:highlight w:val="none"/>
              </w:rPr>
            </w:pPr>
            <w:r>
              <w:rPr>
                <w:color w:val="auto"/>
                <w:szCs w:val="21"/>
                <w:highlight w:val="none"/>
              </w:rPr>
              <w:t>年龄</w:t>
            </w:r>
          </w:p>
        </w:tc>
        <w:tc>
          <w:tcPr>
            <w:tcW w:w="970" w:type="dxa"/>
            <w:vAlign w:val="center"/>
          </w:tcPr>
          <w:p w14:paraId="5B601C0D">
            <w:pPr>
              <w:spacing w:line="440" w:lineRule="exact"/>
              <w:jc w:val="center"/>
              <w:rPr>
                <w:color w:val="auto"/>
                <w:szCs w:val="21"/>
                <w:highlight w:val="none"/>
              </w:rPr>
            </w:pPr>
          </w:p>
        </w:tc>
        <w:tc>
          <w:tcPr>
            <w:tcW w:w="2313" w:type="dxa"/>
            <w:gridSpan w:val="2"/>
            <w:vAlign w:val="center"/>
          </w:tcPr>
          <w:p w14:paraId="1BD839D7">
            <w:pPr>
              <w:spacing w:line="440" w:lineRule="exact"/>
              <w:jc w:val="center"/>
              <w:rPr>
                <w:color w:val="auto"/>
                <w:szCs w:val="21"/>
                <w:highlight w:val="none"/>
              </w:rPr>
            </w:pPr>
            <w:r>
              <w:rPr>
                <w:color w:val="auto"/>
                <w:szCs w:val="21"/>
                <w:highlight w:val="none"/>
              </w:rPr>
              <w:t>学历</w:t>
            </w:r>
          </w:p>
        </w:tc>
        <w:tc>
          <w:tcPr>
            <w:tcW w:w="2112" w:type="dxa"/>
            <w:vAlign w:val="center"/>
          </w:tcPr>
          <w:p w14:paraId="6DEFD363">
            <w:pPr>
              <w:spacing w:line="440" w:lineRule="exact"/>
              <w:jc w:val="center"/>
              <w:rPr>
                <w:color w:val="auto"/>
                <w:szCs w:val="21"/>
                <w:highlight w:val="none"/>
              </w:rPr>
            </w:pPr>
          </w:p>
        </w:tc>
      </w:tr>
      <w:tr w14:paraId="5AC8EE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47" w:type="dxa"/>
            <w:vAlign w:val="center"/>
          </w:tcPr>
          <w:p w14:paraId="397E6F6D">
            <w:pPr>
              <w:spacing w:line="300" w:lineRule="exact"/>
              <w:jc w:val="center"/>
              <w:rPr>
                <w:color w:val="auto"/>
                <w:szCs w:val="21"/>
                <w:highlight w:val="none"/>
              </w:rPr>
            </w:pPr>
            <w:r>
              <w:rPr>
                <w:color w:val="auto"/>
                <w:szCs w:val="21"/>
                <w:highlight w:val="none"/>
              </w:rPr>
              <w:t>职称</w:t>
            </w:r>
          </w:p>
        </w:tc>
        <w:tc>
          <w:tcPr>
            <w:tcW w:w="1524" w:type="dxa"/>
            <w:gridSpan w:val="2"/>
            <w:vAlign w:val="center"/>
          </w:tcPr>
          <w:p w14:paraId="74EAC015">
            <w:pPr>
              <w:spacing w:line="300" w:lineRule="exact"/>
              <w:jc w:val="center"/>
              <w:rPr>
                <w:color w:val="auto"/>
                <w:szCs w:val="21"/>
                <w:highlight w:val="none"/>
              </w:rPr>
            </w:pPr>
          </w:p>
        </w:tc>
        <w:tc>
          <w:tcPr>
            <w:tcW w:w="1352" w:type="dxa"/>
            <w:gridSpan w:val="2"/>
            <w:vAlign w:val="center"/>
          </w:tcPr>
          <w:p w14:paraId="68503AA1">
            <w:pPr>
              <w:spacing w:line="300" w:lineRule="exact"/>
              <w:jc w:val="center"/>
              <w:rPr>
                <w:color w:val="auto"/>
                <w:szCs w:val="21"/>
                <w:highlight w:val="none"/>
              </w:rPr>
            </w:pPr>
            <w:r>
              <w:rPr>
                <w:color w:val="auto"/>
                <w:szCs w:val="21"/>
                <w:highlight w:val="none"/>
              </w:rPr>
              <w:t>公司单位</w:t>
            </w:r>
          </w:p>
          <w:p w14:paraId="58E83211">
            <w:pPr>
              <w:spacing w:line="300" w:lineRule="exact"/>
              <w:jc w:val="center"/>
              <w:rPr>
                <w:color w:val="auto"/>
                <w:szCs w:val="21"/>
                <w:highlight w:val="none"/>
              </w:rPr>
            </w:pPr>
            <w:r>
              <w:rPr>
                <w:color w:val="auto"/>
                <w:szCs w:val="21"/>
                <w:highlight w:val="none"/>
              </w:rPr>
              <w:t>职务</w:t>
            </w:r>
          </w:p>
        </w:tc>
        <w:tc>
          <w:tcPr>
            <w:tcW w:w="970" w:type="dxa"/>
            <w:vAlign w:val="center"/>
          </w:tcPr>
          <w:p w14:paraId="0468A18E">
            <w:pPr>
              <w:spacing w:line="300" w:lineRule="exact"/>
              <w:jc w:val="center"/>
              <w:rPr>
                <w:color w:val="auto"/>
                <w:szCs w:val="21"/>
                <w:highlight w:val="none"/>
              </w:rPr>
            </w:pPr>
          </w:p>
        </w:tc>
        <w:tc>
          <w:tcPr>
            <w:tcW w:w="2313" w:type="dxa"/>
            <w:gridSpan w:val="2"/>
            <w:vAlign w:val="center"/>
          </w:tcPr>
          <w:p w14:paraId="1B523B66">
            <w:pPr>
              <w:spacing w:line="300" w:lineRule="exact"/>
              <w:jc w:val="center"/>
              <w:rPr>
                <w:color w:val="auto"/>
                <w:szCs w:val="21"/>
                <w:highlight w:val="none"/>
              </w:rPr>
            </w:pPr>
            <w:r>
              <w:rPr>
                <w:color w:val="auto"/>
                <w:szCs w:val="21"/>
                <w:highlight w:val="none"/>
              </w:rPr>
              <w:t>拟在本项目担任职务</w:t>
            </w:r>
          </w:p>
        </w:tc>
        <w:tc>
          <w:tcPr>
            <w:tcW w:w="2112" w:type="dxa"/>
            <w:vAlign w:val="center"/>
          </w:tcPr>
          <w:p w14:paraId="3136FFC8">
            <w:pPr>
              <w:spacing w:line="300" w:lineRule="exact"/>
              <w:jc w:val="center"/>
              <w:rPr>
                <w:color w:val="auto"/>
                <w:szCs w:val="21"/>
                <w:highlight w:val="none"/>
              </w:rPr>
            </w:pPr>
          </w:p>
        </w:tc>
      </w:tr>
      <w:tr w14:paraId="2DB119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47" w:type="dxa"/>
            <w:vAlign w:val="center"/>
          </w:tcPr>
          <w:p w14:paraId="616971EE">
            <w:pPr>
              <w:spacing w:line="440" w:lineRule="exact"/>
              <w:jc w:val="center"/>
              <w:rPr>
                <w:color w:val="auto"/>
                <w:szCs w:val="21"/>
                <w:highlight w:val="none"/>
              </w:rPr>
            </w:pPr>
            <w:r>
              <w:rPr>
                <w:color w:val="auto"/>
                <w:szCs w:val="21"/>
                <w:highlight w:val="none"/>
              </w:rPr>
              <w:t>注册造价师证书编号</w:t>
            </w:r>
          </w:p>
        </w:tc>
        <w:tc>
          <w:tcPr>
            <w:tcW w:w="8271" w:type="dxa"/>
            <w:gridSpan w:val="8"/>
          </w:tcPr>
          <w:p w14:paraId="52F2F6D3">
            <w:pPr>
              <w:spacing w:line="440" w:lineRule="exact"/>
              <w:rPr>
                <w:color w:val="auto"/>
                <w:szCs w:val="21"/>
                <w:highlight w:val="none"/>
                <w:u w:val="single"/>
              </w:rPr>
            </w:pPr>
          </w:p>
        </w:tc>
      </w:tr>
      <w:tr w14:paraId="5C2283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47" w:type="dxa"/>
            <w:vAlign w:val="center"/>
          </w:tcPr>
          <w:p w14:paraId="63688912">
            <w:pPr>
              <w:spacing w:line="440" w:lineRule="exact"/>
              <w:jc w:val="center"/>
              <w:rPr>
                <w:color w:val="auto"/>
                <w:szCs w:val="21"/>
                <w:highlight w:val="none"/>
              </w:rPr>
            </w:pPr>
            <w:r>
              <w:rPr>
                <w:color w:val="auto"/>
                <w:szCs w:val="21"/>
                <w:highlight w:val="none"/>
              </w:rPr>
              <w:t>毕业学校</w:t>
            </w:r>
          </w:p>
        </w:tc>
        <w:tc>
          <w:tcPr>
            <w:tcW w:w="8271" w:type="dxa"/>
            <w:gridSpan w:val="8"/>
          </w:tcPr>
          <w:p w14:paraId="78F059C2">
            <w:pPr>
              <w:spacing w:line="440" w:lineRule="exact"/>
              <w:rPr>
                <w:color w:val="auto"/>
                <w:szCs w:val="21"/>
                <w:highlight w:val="none"/>
              </w:rPr>
            </w:pPr>
            <w:r>
              <w:rPr>
                <w:color w:val="auto"/>
                <w:szCs w:val="21"/>
                <w:highlight w:val="none"/>
              </w:rPr>
              <w:t>年月毕业于学校专业，学制年</w:t>
            </w:r>
          </w:p>
        </w:tc>
      </w:tr>
      <w:tr w14:paraId="334B20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18" w:type="dxa"/>
            <w:gridSpan w:val="9"/>
            <w:vAlign w:val="center"/>
          </w:tcPr>
          <w:p w14:paraId="58B88C14">
            <w:pPr>
              <w:spacing w:line="440" w:lineRule="exact"/>
              <w:jc w:val="center"/>
              <w:rPr>
                <w:color w:val="auto"/>
                <w:szCs w:val="21"/>
                <w:highlight w:val="none"/>
              </w:rPr>
            </w:pPr>
            <w:r>
              <w:rPr>
                <w:color w:val="auto"/>
                <w:szCs w:val="21"/>
                <w:highlight w:val="none"/>
              </w:rPr>
              <w:t>经历</w:t>
            </w:r>
          </w:p>
        </w:tc>
      </w:tr>
      <w:tr w14:paraId="2248F0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732" w:type="dxa"/>
            <w:gridSpan w:val="2"/>
            <w:vAlign w:val="center"/>
          </w:tcPr>
          <w:p w14:paraId="57A1FFF7">
            <w:pPr>
              <w:spacing w:line="440" w:lineRule="exact"/>
              <w:rPr>
                <w:color w:val="auto"/>
                <w:szCs w:val="21"/>
                <w:highlight w:val="none"/>
              </w:rPr>
            </w:pPr>
            <w:r>
              <w:rPr>
                <w:color w:val="auto"/>
                <w:szCs w:val="21"/>
                <w:highlight w:val="none"/>
              </w:rPr>
              <w:t>年～年</w:t>
            </w:r>
          </w:p>
        </w:tc>
        <w:tc>
          <w:tcPr>
            <w:tcW w:w="3461" w:type="dxa"/>
            <w:gridSpan w:val="4"/>
            <w:vAlign w:val="center"/>
          </w:tcPr>
          <w:p w14:paraId="67BE6635">
            <w:pPr>
              <w:spacing w:line="440" w:lineRule="exact"/>
              <w:jc w:val="center"/>
              <w:rPr>
                <w:color w:val="auto"/>
                <w:szCs w:val="21"/>
                <w:highlight w:val="none"/>
              </w:rPr>
            </w:pPr>
            <w:r>
              <w:rPr>
                <w:color w:val="auto"/>
                <w:szCs w:val="21"/>
                <w:highlight w:val="none"/>
              </w:rPr>
              <w:t>参加过的项目名称</w:t>
            </w:r>
          </w:p>
        </w:tc>
        <w:tc>
          <w:tcPr>
            <w:tcW w:w="1824" w:type="dxa"/>
            <w:vAlign w:val="center"/>
          </w:tcPr>
          <w:p w14:paraId="3A0B27DA">
            <w:pPr>
              <w:spacing w:line="440" w:lineRule="exact"/>
              <w:jc w:val="center"/>
              <w:rPr>
                <w:color w:val="auto"/>
                <w:szCs w:val="21"/>
                <w:highlight w:val="none"/>
              </w:rPr>
            </w:pPr>
            <w:r>
              <w:rPr>
                <w:color w:val="auto"/>
                <w:szCs w:val="21"/>
                <w:highlight w:val="none"/>
              </w:rPr>
              <w:t>项目规模</w:t>
            </w:r>
          </w:p>
        </w:tc>
        <w:tc>
          <w:tcPr>
            <w:tcW w:w="2601" w:type="dxa"/>
            <w:gridSpan w:val="2"/>
            <w:vAlign w:val="center"/>
          </w:tcPr>
          <w:p w14:paraId="4F4CB55E">
            <w:pPr>
              <w:spacing w:line="440" w:lineRule="exact"/>
              <w:rPr>
                <w:color w:val="auto"/>
                <w:szCs w:val="21"/>
                <w:highlight w:val="none"/>
              </w:rPr>
            </w:pPr>
            <w:r>
              <w:rPr>
                <w:color w:val="auto"/>
                <w:szCs w:val="21"/>
                <w:highlight w:val="none"/>
              </w:rPr>
              <w:t>发包人及联系电话</w:t>
            </w:r>
          </w:p>
        </w:tc>
      </w:tr>
      <w:tr w14:paraId="305975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32" w:type="dxa"/>
            <w:gridSpan w:val="2"/>
          </w:tcPr>
          <w:p w14:paraId="46ED3D07">
            <w:pPr>
              <w:spacing w:line="440" w:lineRule="exact"/>
              <w:rPr>
                <w:color w:val="auto"/>
                <w:szCs w:val="21"/>
                <w:highlight w:val="none"/>
              </w:rPr>
            </w:pPr>
          </w:p>
        </w:tc>
        <w:tc>
          <w:tcPr>
            <w:tcW w:w="3461" w:type="dxa"/>
            <w:gridSpan w:val="4"/>
          </w:tcPr>
          <w:p w14:paraId="225E91FD">
            <w:pPr>
              <w:spacing w:line="440" w:lineRule="exact"/>
              <w:rPr>
                <w:color w:val="auto"/>
                <w:szCs w:val="21"/>
                <w:highlight w:val="none"/>
              </w:rPr>
            </w:pPr>
          </w:p>
        </w:tc>
        <w:tc>
          <w:tcPr>
            <w:tcW w:w="1824" w:type="dxa"/>
          </w:tcPr>
          <w:p w14:paraId="7AADB248">
            <w:pPr>
              <w:spacing w:line="440" w:lineRule="exact"/>
              <w:rPr>
                <w:color w:val="auto"/>
                <w:szCs w:val="21"/>
                <w:highlight w:val="none"/>
              </w:rPr>
            </w:pPr>
          </w:p>
        </w:tc>
        <w:tc>
          <w:tcPr>
            <w:tcW w:w="2601" w:type="dxa"/>
            <w:gridSpan w:val="2"/>
          </w:tcPr>
          <w:p w14:paraId="5DF95D05">
            <w:pPr>
              <w:spacing w:line="440" w:lineRule="exact"/>
              <w:rPr>
                <w:color w:val="auto"/>
                <w:szCs w:val="21"/>
                <w:highlight w:val="none"/>
              </w:rPr>
            </w:pPr>
          </w:p>
        </w:tc>
      </w:tr>
      <w:tr w14:paraId="03D473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32" w:type="dxa"/>
            <w:gridSpan w:val="2"/>
          </w:tcPr>
          <w:p w14:paraId="49DDA17D">
            <w:pPr>
              <w:spacing w:line="440" w:lineRule="exact"/>
              <w:rPr>
                <w:rFonts w:eastAsia="黑体"/>
                <w:color w:val="auto"/>
                <w:szCs w:val="21"/>
                <w:highlight w:val="none"/>
              </w:rPr>
            </w:pPr>
          </w:p>
        </w:tc>
        <w:tc>
          <w:tcPr>
            <w:tcW w:w="3461" w:type="dxa"/>
            <w:gridSpan w:val="4"/>
          </w:tcPr>
          <w:p w14:paraId="3286D4CE">
            <w:pPr>
              <w:tabs>
                <w:tab w:val="right" w:leader="dot" w:pos="8296"/>
              </w:tabs>
              <w:spacing w:line="540" w:lineRule="exact"/>
              <w:jc w:val="center"/>
              <w:rPr>
                <w:rFonts w:eastAsia="黑体"/>
                <w:color w:val="auto"/>
                <w:szCs w:val="21"/>
                <w:highlight w:val="none"/>
              </w:rPr>
            </w:pPr>
          </w:p>
        </w:tc>
        <w:tc>
          <w:tcPr>
            <w:tcW w:w="1824" w:type="dxa"/>
          </w:tcPr>
          <w:p w14:paraId="1DAD66F7">
            <w:pPr>
              <w:tabs>
                <w:tab w:val="right" w:leader="dot" w:pos="8296"/>
              </w:tabs>
              <w:spacing w:line="540" w:lineRule="exact"/>
              <w:jc w:val="center"/>
              <w:rPr>
                <w:rFonts w:eastAsia="黑体"/>
                <w:color w:val="auto"/>
                <w:szCs w:val="21"/>
                <w:highlight w:val="none"/>
              </w:rPr>
            </w:pPr>
          </w:p>
        </w:tc>
        <w:tc>
          <w:tcPr>
            <w:tcW w:w="2601" w:type="dxa"/>
            <w:gridSpan w:val="2"/>
          </w:tcPr>
          <w:p w14:paraId="585A3535">
            <w:pPr>
              <w:spacing w:line="440" w:lineRule="exact"/>
              <w:rPr>
                <w:rFonts w:eastAsia="黑体"/>
                <w:color w:val="auto"/>
                <w:szCs w:val="21"/>
                <w:highlight w:val="none"/>
              </w:rPr>
            </w:pPr>
          </w:p>
        </w:tc>
      </w:tr>
      <w:tr w14:paraId="3207B8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32" w:type="dxa"/>
            <w:gridSpan w:val="2"/>
          </w:tcPr>
          <w:p w14:paraId="18C7C815">
            <w:pPr>
              <w:spacing w:line="440" w:lineRule="exact"/>
              <w:rPr>
                <w:rFonts w:eastAsia="黑体"/>
                <w:color w:val="auto"/>
                <w:szCs w:val="21"/>
                <w:highlight w:val="none"/>
              </w:rPr>
            </w:pPr>
          </w:p>
        </w:tc>
        <w:tc>
          <w:tcPr>
            <w:tcW w:w="3461" w:type="dxa"/>
            <w:gridSpan w:val="4"/>
          </w:tcPr>
          <w:p w14:paraId="0BC73AB5">
            <w:pPr>
              <w:spacing w:line="440" w:lineRule="exact"/>
              <w:rPr>
                <w:rFonts w:eastAsia="黑体"/>
                <w:color w:val="auto"/>
                <w:szCs w:val="21"/>
                <w:highlight w:val="none"/>
              </w:rPr>
            </w:pPr>
          </w:p>
        </w:tc>
        <w:tc>
          <w:tcPr>
            <w:tcW w:w="1824" w:type="dxa"/>
          </w:tcPr>
          <w:p w14:paraId="51EE7109">
            <w:pPr>
              <w:spacing w:line="440" w:lineRule="exact"/>
              <w:rPr>
                <w:rFonts w:eastAsia="黑体"/>
                <w:color w:val="auto"/>
                <w:szCs w:val="21"/>
                <w:highlight w:val="none"/>
              </w:rPr>
            </w:pPr>
          </w:p>
        </w:tc>
        <w:tc>
          <w:tcPr>
            <w:tcW w:w="2601" w:type="dxa"/>
            <w:gridSpan w:val="2"/>
          </w:tcPr>
          <w:p w14:paraId="789D1CD6">
            <w:pPr>
              <w:spacing w:line="440" w:lineRule="exact"/>
              <w:rPr>
                <w:rFonts w:eastAsia="黑体"/>
                <w:color w:val="auto"/>
                <w:szCs w:val="21"/>
                <w:highlight w:val="none"/>
              </w:rPr>
            </w:pPr>
          </w:p>
        </w:tc>
      </w:tr>
      <w:tr w14:paraId="126012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32" w:type="dxa"/>
            <w:gridSpan w:val="2"/>
            <w:vAlign w:val="center"/>
          </w:tcPr>
          <w:p w14:paraId="194582B6">
            <w:pPr>
              <w:spacing w:line="440" w:lineRule="exact"/>
              <w:rPr>
                <w:rFonts w:eastAsia="黑体"/>
                <w:color w:val="auto"/>
                <w:szCs w:val="21"/>
                <w:highlight w:val="none"/>
              </w:rPr>
            </w:pPr>
          </w:p>
        </w:tc>
        <w:tc>
          <w:tcPr>
            <w:tcW w:w="3461" w:type="dxa"/>
            <w:gridSpan w:val="4"/>
            <w:vAlign w:val="center"/>
          </w:tcPr>
          <w:p w14:paraId="03CBF32E">
            <w:pPr>
              <w:spacing w:line="440" w:lineRule="exact"/>
              <w:rPr>
                <w:rFonts w:eastAsia="黑体"/>
                <w:color w:val="auto"/>
                <w:szCs w:val="21"/>
                <w:highlight w:val="none"/>
              </w:rPr>
            </w:pPr>
          </w:p>
        </w:tc>
        <w:tc>
          <w:tcPr>
            <w:tcW w:w="1824" w:type="dxa"/>
            <w:vAlign w:val="center"/>
          </w:tcPr>
          <w:p w14:paraId="1B1C55A4">
            <w:pPr>
              <w:spacing w:line="440" w:lineRule="exact"/>
              <w:rPr>
                <w:rFonts w:eastAsia="黑体"/>
                <w:color w:val="auto"/>
                <w:szCs w:val="21"/>
                <w:highlight w:val="none"/>
              </w:rPr>
            </w:pPr>
          </w:p>
        </w:tc>
        <w:tc>
          <w:tcPr>
            <w:tcW w:w="2601" w:type="dxa"/>
            <w:gridSpan w:val="2"/>
            <w:vAlign w:val="center"/>
          </w:tcPr>
          <w:p w14:paraId="640E5BA4">
            <w:pPr>
              <w:spacing w:line="440" w:lineRule="exact"/>
              <w:rPr>
                <w:rFonts w:eastAsia="黑体"/>
                <w:color w:val="auto"/>
                <w:szCs w:val="21"/>
                <w:highlight w:val="none"/>
              </w:rPr>
            </w:pPr>
          </w:p>
        </w:tc>
      </w:tr>
      <w:tr w14:paraId="228D4A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32" w:type="dxa"/>
            <w:gridSpan w:val="2"/>
            <w:vAlign w:val="center"/>
          </w:tcPr>
          <w:p w14:paraId="0FFBA19F">
            <w:pPr>
              <w:spacing w:line="440" w:lineRule="exact"/>
              <w:rPr>
                <w:rFonts w:eastAsia="黑体"/>
                <w:color w:val="auto"/>
                <w:szCs w:val="21"/>
                <w:highlight w:val="none"/>
              </w:rPr>
            </w:pPr>
          </w:p>
        </w:tc>
        <w:tc>
          <w:tcPr>
            <w:tcW w:w="3461" w:type="dxa"/>
            <w:gridSpan w:val="4"/>
            <w:vAlign w:val="center"/>
          </w:tcPr>
          <w:p w14:paraId="29460418">
            <w:pPr>
              <w:spacing w:line="440" w:lineRule="exact"/>
              <w:rPr>
                <w:rFonts w:eastAsia="黑体"/>
                <w:color w:val="auto"/>
                <w:szCs w:val="21"/>
                <w:highlight w:val="none"/>
              </w:rPr>
            </w:pPr>
          </w:p>
        </w:tc>
        <w:tc>
          <w:tcPr>
            <w:tcW w:w="1824" w:type="dxa"/>
            <w:vAlign w:val="center"/>
          </w:tcPr>
          <w:p w14:paraId="2E74BD31">
            <w:pPr>
              <w:spacing w:line="440" w:lineRule="exact"/>
              <w:rPr>
                <w:rFonts w:eastAsia="黑体"/>
                <w:color w:val="auto"/>
                <w:szCs w:val="21"/>
                <w:highlight w:val="none"/>
              </w:rPr>
            </w:pPr>
          </w:p>
        </w:tc>
        <w:tc>
          <w:tcPr>
            <w:tcW w:w="2601" w:type="dxa"/>
            <w:gridSpan w:val="2"/>
            <w:vAlign w:val="center"/>
          </w:tcPr>
          <w:p w14:paraId="395D30F9">
            <w:pPr>
              <w:spacing w:line="440" w:lineRule="exact"/>
              <w:rPr>
                <w:rFonts w:eastAsia="黑体"/>
                <w:color w:val="auto"/>
                <w:szCs w:val="21"/>
                <w:highlight w:val="none"/>
              </w:rPr>
            </w:pPr>
          </w:p>
        </w:tc>
      </w:tr>
      <w:tr w14:paraId="524BBB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32" w:type="dxa"/>
            <w:gridSpan w:val="2"/>
            <w:vAlign w:val="center"/>
          </w:tcPr>
          <w:p w14:paraId="77BBD32D">
            <w:pPr>
              <w:spacing w:line="440" w:lineRule="exact"/>
              <w:rPr>
                <w:rFonts w:eastAsia="黑体"/>
                <w:color w:val="auto"/>
                <w:szCs w:val="21"/>
                <w:highlight w:val="none"/>
              </w:rPr>
            </w:pPr>
          </w:p>
        </w:tc>
        <w:tc>
          <w:tcPr>
            <w:tcW w:w="3461" w:type="dxa"/>
            <w:gridSpan w:val="4"/>
            <w:vAlign w:val="center"/>
          </w:tcPr>
          <w:p w14:paraId="2CB30BC5">
            <w:pPr>
              <w:spacing w:line="440" w:lineRule="exact"/>
              <w:rPr>
                <w:rFonts w:eastAsia="黑体"/>
                <w:color w:val="auto"/>
                <w:szCs w:val="21"/>
                <w:highlight w:val="none"/>
              </w:rPr>
            </w:pPr>
          </w:p>
        </w:tc>
        <w:tc>
          <w:tcPr>
            <w:tcW w:w="1824" w:type="dxa"/>
            <w:vAlign w:val="center"/>
          </w:tcPr>
          <w:p w14:paraId="569FD7C4">
            <w:pPr>
              <w:spacing w:line="440" w:lineRule="exact"/>
              <w:rPr>
                <w:rFonts w:eastAsia="黑体"/>
                <w:color w:val="auto"/>
                <w:szCs w:val="21"/>
                <w:highlight w:val="none"/>
              </w:rPr>
            </w:pPr>
          </w:p>
        </w:tc>
        <w:tc>
          <w:tcPr>
            <w:tcW w:w="2601" w:type="dxa"/>
            <w:gridSpan w:val="2"/>
            <w:vAlign w:val="center"/>
          </w:tcPr>
          <w:p w14:paraId="4E1F1955">
            <w:pPr>
              <w:spacing w:line="440" w:lineRule="exact"/>
              <w:rPr>
                <w:rFonts w:eastAsia="黑体"/>
                <w:color w:val="auto"/>
                <w:szCs w:val="21"/>
                <w:highlight w:val="none"/>
              </w:rPr>
            </w:pPr>
          </w:p>
        </w:tc>
      </w:tr>
      <w:tr w14:paraId="5D3AC3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32" w:type="dxa"/>
            <w:gridSpan w:val="2"/>
            <w:vAlign w:val="center"/>
          </w:tcPr>
          <w:p w14:paraId="27381C22">
            <w:pPr>
              <w:spacing w:line="440" w:lineRule="exact"/>
              <w:rPr>
                <w:rFonts w:eastAsia="黑体"/>
                <w:color w:val="auto"/>
                <w:szCs w:val="21"/>
                <w:highlight w:val="none"/>
              </w:rPr>
            </w:pPr>
          </w:p>
        </w:tc>
        <w:tc>
          <w:tcPr>
            <w:tcW w:w="3461" w:type="dxa"/>
            <w:gridSpan w:val="4"/>
            <w:vAlign w:val="center"/>
          </w:tcPr>
          <w:p w14:paraId="2EBFFC3A">
            <w:pPr>
              <w:spacing w:line="440" w:lineRule="exact"/>
              <w:rPr>
                <w:rFonts w:eastAsia="黑体"/>
                <w:color w:val="auto"/>
                <w:szCs w:val="21"/>
                <w:highlight w:val="none"/>
              </w:rPr>
            </w:pPr>
          </w:p>
        </w:tc>
        <w:tc>
          <w:tcPr>
            <w:tcW w:w="1824" w:type="dxa"/>
            <w:vAlign w:val="center"/>
          </w:tcPr>
          <w:p w14:paraId="0B113C70">
            <w:pPr>
              <w:spacing w:line="440" w:lineRule="exact"/>
              <w:rPr>
                <w:rFonts w:eastAsia="黑体"/>
                <w:color w:val="auto"/>
                <w:szCs w:val="21"/>
                <w:highlight w:val="none"/>
              </w:rPr>
            </w:pPr>
          </w:p>
        </w:tc>
        <w:tc>
          <w:tcPr>
            <w:tcW w:w="2601" w:type="dxa"/>
            <w:gridSpan w:val="2"/>
            <w:vAlign w:val="center"/>
          </w:tcPr>
          <w:p w14:paraId="306F6960">
            <w:pPr>
              <w:spacing w:line="440" w:lineRule="exact"/>
              <w:rPr>
                <w:rFonts w:eastAsia="黑体"/>
                <w:color w:val="auto"/>
                <w:szCs w:val="21"/>
                <w:highlight w:val="none"/>
              </w:rPr>
            </w:pPr>
          </w:p>
        </w:tc>
      </w:tr>
      <w:tr w14:paraId="540094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5" w:hRule="atLeast"/>
          <w:jc w:val="center"/>
        </w:trPr>
        <w:tc>
          <w:tcPr>
            <w:tcW w:w="3546" w:type="dxa"/>
            <w:gridSpan w:val="4"/>
            <w:vAlign w:val="center"/>
          </w:tcPr>
          <w:p w14:paraId="116CB5F6">
            <w:pPr>
              <w:spacing w:line="440" w:lineRule="exact"/>
              <w:rPr>
                <w:color w:val="auto"/>
                <w:szCs w:val="21"/>
                <w:highlight w:val="none"/>
              </w:rPr>
            </w:pPr>
            <w:r>
              <w:rPr>
                <w:color w:val="auto"/>
                <w:szCs w:val="21"/>
                <w:highlight w:val="none"/>
              </w:rPr>
              <w:t>备注</w:t>
            </w:r>
          </w:p>
        </w:tc>
        <w:tc>
          <w:tcPr>
            <w:tcW w:w="6072" w:type="dxa"/>
            <w:gridSpan w:val="5"/>
            <w:vAlign w:val="center"/>
          </w:tcPr>
          <w:p w14:paraId="02CE49F7">
            <w:pPr>
              <w:spacing w:line="440" w:lineRule="exact"/>
              <w:rPr>
                <w:color w:val="auto"/>
                <w:szCs w:val="21"/>
                <w:highlight w:val="none"/>
              </w:rPr>
            </w:pPr>
          </w:p>
        </w:tc>
      </w:tr>
    </w:tbl>
    <w:p w14:paraId="23B31D87">
      <w:pPr>
        <w:spacing w:line="300" w:lineRule="exact"/>
        <w:ind w:left="281" w:leftChars="67" w:right="111" w:rightChars="53" w:hanging="140" w:hangingChars="67"/>
        <w:rPr>
          <w:rFonts w:eastAsia="仿宋_GB2312"/>
          <w:color w:val="auto"/>
          <w:szCs w:val="18"/>
          <w:highlight w:val="none"/>
        </w:rPr>
      </w:pPr>
      <w:r>
        <w:rPr>
          <w:rFonts w:eastAsia="仿宋_GB2312"/>
          <w:color w:val="auto"/>
          <w:szCs w:val="18"/>
          <w:highlight w:val="none"/>
        </w:rPr>
        <w:t>注：本表后应附：</w:t>
      </w:r>
    </w:p>
    <w:p w14:paraId="4D4045BF">
      <w:pPr>
        <w:spacing w:line="300" w:lineRule="exact"/>
        <w:ind w:left="281" w:leftChars="67" w:right="111" w:rightChars="53" w:hanging="140" w:hangingChars="67"/>
        <w:rPr>
          <w:rFonts w:eastAsia="仿宋_GB2312"/>
          <w:color w:val="auto"/>
          <w:szCs w:val="18"/>
          <w:highlight w:val="none"/>
        </w:rPr>
      </w:pPr>
      <w:r>
        <w:rPr>
          <w:rFonts w:eastAsia="仿宋_GB2312"/>
          <w:color w:val="auto"/>
          <w:szCs w:val="18"/>
          <w:highlight w:val="none"/>
        </w:rPr>
        <w:t>（1）</w:t>
      </w:r>
      <w:r>
        <w:rPr>
          <w:rFonts w:hint="eastAsia" w:eastAsia="仿宋_GB2312"/>
          <w:color w:val="auto"/>
          <w:szCs w:val="18"/>
          <w:highlight w:val="none"/>
        </w:rPr>
        <w:t>供应商</w:t>
      </w:r>
      <w:r>
        <w:rPr>
          <w:rFonts w:eastAsia="仿宋_GB2312"/>
          <w:color w:val="auto"/>
          <w:szCs w:val="18"/>
          <w:highlight w:val="none"/>
        </w:rPr>
        <w:t>拟委任的</w:t>
      </w:r>
      <w:r>
        <w:rPr>
          <w:rFonts w:hint="eastAsia" w:eastAsia="仿宋_GB2312"/>
          <w:color w:val="auto"/>
          <w:szCs w:val="18"/>
          <w:highlight w:val="none"/>
        </w:rPr>
        <w:t>项目负责人</w:t>
      </w:r>
      <w:r>
        <w:rPr>
          <w:rFonts w:eastAsia="仿宋_GB2312"/>
          <w:color w:val="auto"/>
          <w:szCs w:val="18"/>
          <w:highlight w:val="none"/>
        </w:rPr>
        <w:t>资格证明材料，详见评选办法。</w:t>
      </w:r>
    </w:p>
    <w:p w14:paraId="2E03C264">
      <w:pPr>
        <w:spacing w:line="300" w:lineRule="exact"/>
        <w:ind w:left="281" w:leftChars="67" w:right="111" w:rightChars="53" w:hanging="140" w:hangingChars="67"/>
        <w:rPr>
          <w:rFonts w:eastAsia="仿宋_GB2312"/>
          <w:color w:val="auto"/>
          <w:szCs w:val="18"/>
          <w:highlight w:val="none"/>
        </w:rPr>
      </w:pPr>
      <w:r>
        <w:rPr>
          <w:rFonts w:eastAsia="仿宋_GB2312"/>
          <w:color w:val="auto"/>
          <w:szCs w:val="18"/>
          <w:highlight w:val="none"/>
        </w:rPr>
        <w:t>（2）</w:t>
      </w:r>
      <w:r>
        <w:rPr>
          <w:rFonts w:hint="eastAsia" w:eastAsia="仿宋_GB2312"/>
          <w:color w:val="auto"/>
          <w:szCs w:val="18"/>
          <w:highlight w:val="none"/>
        </w:rPr>
        <w:t>供应商</w:t>
      </w:r>
      <w:r>
        <w:rPr>
          <w:rFonts w:eastAsia="仿宋_GB2312"/>
          <w:color w:val="auto"/>
          <w:szCs w:val="18"/>
          <w:highlight w:val="none"/>
        </w:rPr>
        <w:t>拟委任的</w:t>
      </w:r>
      <w:r>
        <w:rPr>
          <w:rFonts w:hint="eastAsia" w:eastAsia="仿宋_GB2312"/>
          <w:color w:val="auto"/>
          <w:szCs w:val="18"/>
          <w:highlight w:val="none"/>
        </w:rPr>
        <w:t>项目负责人</w:t>
      </w:r>
      <w:r>
        <w:rPr>
          <w:rFonts w:eastAsia="仿宋_GB2312"/>
          <w:color w:val="auto"/>
          <w:szCs w:val="18"/>
          <w:highlight w:val="none"/>
        </w:rPr>
        <w:t>的业绩证明材料，详见评选办法。</w:t>
      </w:r>
    </w:p>
    <w:p w14:paraId="7D5E1788">
      <w:pPr>
        <w:adjustRightInd w:val="0"/>
        <w:snapToGrid w:val="0"/>
        <w:rPr>
          <w:rFonts w:eastAsia="黑体"/>
          <w:color w:val="auto"/>
          <w:highlight w:val="none"/>
        </w:rPr>
        <w:sectPr>
          <w:footnotePr>
            <w:numFmt w:val="decimalEnclosedCircleChinese"/>
            <w:numRestart w:val="eachPage"/>
          </w:footnotePr>
          <w:pgSz w:w="12240" w:h="15840"/>
          <w:pgMar w:top="1417" w:right="1417" w:bottom="1417" w:left="1417" w:header="720" w:footer="720" w:gutter="0"/>
          <w:cols w:space="720" w:num="1"/>
          <w:docGrid w:linePitch="312" w:charSpace="0"/>
        </w:sectPr>
      </w:pPr>
    </w:p>
    <w:p w14:paraId="00E4A29B">
      <w:pPr>
        <w:widowControl/>
        <w:spacing w:after="240"/>
        <w:ind w:firstLine="3640" w:firstLineChars="1300"/>
        <w:outlineLvl w:val="0"/>
        <w:rPr>
          <w:rFonts w:eastAsia="黑体"/>
          <w:color w:val="auto"/>
          <w:sz w:val="28"/>
          <w:szCs w:val="21"/>
          <w:highlight w:val="none"/>
        </w:rPr>
      </w:pPr>
      <w:bookmarkStart w:id="163" w:name="_Toc18810"/>
      <w:r>
        <w:rPr>
          <w:rFonts w:eastAsia="黑体"/>
          <w:bCs/>
          <w:color w:val="auto"/>
          <w:sz w:val="28"/>
          <w:szCs w:val="20"/>
          <w:highlight w:val="none"/>
        </w:rPr>
        <w:t>六、</w:t>
      </w:r>
      <w:r>
        <w:rPr>
          <w:rFonts w:hint="eastAsia" w:eastAsia="黑体"/>
          <w:bCs/>
          <w:color w:val="auto"/>
          <w:sz w:val="28"/>
          <w:szCs w:val="20"/>
          <w:highlight w:val="none"/>
        </w:rPr>
        <w:t>配置</w:t>
      </w:r>
      <w:r>
        <w:rPr>
          <w:rFonts w:eastAsia="黑体"/>
          <w:color w:val="auto"/>
          <w:sz w:val="28"/>
          <w:szCs w:val="21"/>
          <w:highlight w:val="none"/>
        </w:rPr>
        <w:t>人员汇总表</w:t>
      </w:r>
      <w:bookmarkEnd w:id="163"/>
    </w:p>
    <w:tbl>
      <w:tblPr>
        <w:tblStyle w:val="25"/>
        <w:tblW w:w="96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5"/>
        <w:gridCol w:w="776"/>
        <w:gridCol w:w="3137"/>
        <w:gridCol w:w="1320"/>
        <w:gridCol w:w="1444"/>
        <w:gridCol w:w="2046"/>
      </w:tblGrid>
      <w:tr w14:paraId="4FC7B2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dxa"/>
          </w:tcPr>
          <w:p w14:paraId="61B51492">
            <w:pPr>
              <w:spacing w:after="240" w:line="540" w:lineRule="exact"/>
              <w:jc w:val="center"/>
              <w:rPr>
                <w:color w:val="auto"/>
                <w:szCs w:val="21"/>
                <w:highlight w:val="none"/>
              </w:rPr>
            </w:pPr>
            <w:r>
              <w:rPr>
                <w:color w:val="auto"/>
                <w:szCs w:val="21"/>
                <w:highlight w:val="none"/>
              </w:rPr>
              <w:t>姓名</w:t>
            </w:r>
          </w:p>
        </w:tc>
        <w:tc>
          <w:tcPr>
            <w:tcW w:w="776" w:type="dxa"/>
          </w:tcPr>
          <w:p w14:paraId="2C0D5ABF">
            <w:pPr>
              <w:spacing w:line="540" w:lineRule="exact"/>
              <w:jc w:val="center"/>
              <w:rPr>
                <w:color w:val="auto"/>
                <w:szCs w:val="21"/>
                <w:highlight w:val="none"/>
              </w:rPr>
            </w:pPr>
            <w:r>
              <w:rPr>
                <w:color w:val="auto"/>
                <w:szCs w:val="21"/>
                <w:highlight w:val="none"/>
              </w:rPr>
              <w:t>年龄</w:t>
            </w:r>
          </w:p>
        </w:tc>
        <w:tc>
          <w:tcPr>
            <w:tcW w:w="3137" w:type="dxa"/>
          </w:tcPr>
          <w:p w14:paraId="4BA46AA3">
            <w:pPr>
              <w:spacing w:line="540" w:lineRule="exact"/>
              <w:jc w:val="center"/>
              <w:rPr>
                <w:color w:val="auto"/>
                <w:szCs w:val="21"/>
                <w:highlight w:val="none"/>
              </w:rPr>
            </w:pPr>
            <w:r>
              <w:rPr>
                <w:color w:val="auto"/>
                <w:szCs w:val="21"/>
                <w:highlight w:val="none"/>
              </w:rPr>
              <w:t>拟在本项目中担任的职务</w:t>
            </w:r>
          </w:p>
        </w:tc>
        <w:tc>
          <w:tcPr>
            <w:tcW w:w="1320" w:type="dxa"/>
          </w:tcPr>
          <w:p w14:paraId="41443BC5">
            <w:pPr>
              <w:spacing w:line="540" w:lineRule="exact"/>
              <w:jc w:val="center"/>
              <w:rPr>
                <w:color w:val="auto"/>
                <w:szCs w:val="21"/>
                <w:highlight w:val="none"/>
              </w:rPr>
            </w:pPr>
            <w:r>
              <w:rPr>
                <w:color w:val="auto"/>
                <w:szCs w:val="21"/>
                <w:highlight w:val="none"/>
              </w:rPr>
              <w:t>技术职称</w:t>
            </w:r>
          </w:p>
        </w:tc>
        <w:tc>
          <w:tcPr>
            <w:tcW w:w="1444" w:type="dxa"/>
          </w:tcPr>
          <w:p w14:paraId="67B783B0">
            <w:pPr>
              <w:spacing w:line="540" w:lineRule="exact"/>
              <w:jc w:val="center"/>
              <w:rPr>
                <w:color w:val="auto"/>
                <w:szCs w:val="21"/>
                <w:highlight w:val="none"/>
              </w:rPr>
            </w:pPr>
            <w:r>
              <w:rPr>
                <w:color w:val="auto"/>
                <w:szCs w:val="21"/>
                <w:highlight w:val="none"/>
              </w:rPr>
              <w:t>工作年限</w:t>
            </w:r>
          </w:p>
        </w:tc>
        <w:tc>
          <w:tcPr>
            <w:tcW w:w="2046" w:type="dxa"/>
          </w:tcPr>
          <w:p w14:paraId="3D6F9C56">
            <w:pPr>
              <w:spacing w:line="540" w:lineRule="exact"/>
              <w:jc w:val="center"/>
              <w:rPr>
                <w:color w:val="auto"/>
                <w:szCs w:val="21"/>
                <w:highlight w:val="none"/>
              </w:rPr>
            </w:pPr>
            <w:r>
              <w:rPr>
                <w:color w:val="auto"/>
                <w:szCs w:val="21"/>
                <w:highlight w:val="none"/>
              </w:rPr>
              <w:t>类似施工经验年限</w:t>
            </w:r>
          </w:p>
        </w:tc>
      </w:tr>
      <w:tr w14:paraId="09BEB9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dxa"/>
          </w:tcPr>
          <w:p w14:paraId="2C81826E">
            <w:pPr>
              <w:spacing w:line="540" w:lineRule="exact"/>
              <w:jc w:val="center"/>
              <w:rPr>
                <w:rFonts w:eastAsia="黑体"/>
                <w:color w:val="auto"/>
                <w:sz w:val="28"/>
                <w:szCs w:val="21"/>
                <w:highlight w:val="none"/>
              </w:rPr>
            </w:pPr>
          </w:p>
        </w:tc>
        <w:tc>
          <w:tcPr>
            <w:tcW w:w="776" w:type="dxa"/>
          </w:tcPr>
          <w:p w14:paraId="51DACA35">
            <w:pPr>
              <w:spacing w:line="540" w:lineRule="exact"/>
              <w:jc w:val="center"/>
              <w:rPr>
                <w:rFonts w:eastAsia="黑体"/>
                <w:color w:val="auto"/>
                <w:sz w:val="28"/>
                <w:szCs w:val="21"/>
                <w:highlight w:val="none"/>
              </w:rPr>
            </w:pPr>
          </w:p>
        </w:tc>
        <w:tc>
          <w:tcPr>
            <w:tcW w:w="3137" w:type="dxa"/>
          </w:tcPr>
          <w:p w14:paraId="30A70D69">
            <w:pPr>
              <w:spacing w:line="540" w:lineRule="exact"/>
              <w:jc w:val="center"/>
              <w:rPr>
                <w:rFonts w:eastAsia="黑体"/>
                <w:color w:val="auto"/>
                <w:sz w:val="28"/>
                <w:szCs w:val="21"/>
                <w:highlight w:val="none"/>
              </w:rPr>
            </w:pPr>
          </w:p>
        </w:tc>
        <w:tc>
          <w:tcPr>
            <w:tcW w:w="1320" w:type="dxa"/>
          </w:tcPr>
          <w:p w14:paraId="3BDC50A0">
            <w:pPr>
              <w:spacing w:line="540" w:lineRule="exact"/>
              <w:jc w:val="center"/>
              <w:rPr>
                <w:rFonts w:eastAsia="黑体"/>
                <w:color w:val="auto"/>
                <w:sz w:val="28"/>
                <w:szCs w:val="21"/>
                <w:highlight w:val="none"/>
              </w:rPr>
            </w:pPr>
          </w:p>
        </w:tc>
        <w:tc>
          <w:tcPr>
            <w:tcW w:w="1444" w:type="dxa"/>
          </w:tcPr>
          <w:p w14:paraId="419428AF">
            <w:pPr>
              <w:spacing w:line="540" w:lineRule="exact"/>
              <w:jc w:val="center"/>
              <w:rPr>
                <w:rFonts w:eastAsia="黑体"/>
                <w:color w:val="auto"/>
                <w:sz w:val="28"/>
                <w:szCs w:val="21"/>
                <w:highlight w:val="none"/>
              </w:rPr>
            </w:pPr>
          </w:p>
        </w:tc>
        <w:tc>
          <w:tcPr>
            <w:tcW w:w="2046" w:type="dxa"/>
          </w:tcPr>
          <w:p w14:paraId="43101109">
            <w:pPr>
              <w:spacing w:line="540" w:lineRule="exact"/>
              <w:jc w:val="center"/>
              <w:rPr>
                <w:rFonts w:eastAsia="黑体"/>
                <w:color w:val="auto"/>
                <w:sz w:val="28"/>
                <w:szCs w:val="21"/>
                <w:highlight w:val="none"/>
              </w:rPr>
            </w:pPr>
          </w:p>
        </w:tc>
      </w:tr>
      <w:tr w14:paraId="5FC1DB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dxa"/>
          </w:tcPr>
          <w:p w14:paraId="02A4B98F">
            <w:pPr>
              <w:spacing w:line="540" w:lineRule="exact"/>
              <w:jc w:val="center"/>
              <w:rPr>
                <w:rFonts w:eastAsia="黑体"/>
                <w:color w:val="auto"/>
                <w:sz w:val="28"/>
                <w:szCs w:val="21"/>
                <w:highlight w:val="none"/>
              </w:rPr>
            </w:pPr>
          </w:p>
        </w:tc>
        <w:tc>
          <w:tcPr>
            <w:tcW w:w="776" w:type="dxa"/>
          </w:tcPr>
          <w:p w14:paraId="2193F3AD">
            <w:pPr>
              <w:spacing w:line="540" w:lineRule="exact"/>
              <w:jc w:val="center"/>
              <w:rPr>
                <w:rFonts w:eastAsia="黑体"/>
                <w:color w:val="auto"/>
                <w:sz w:val="28"/>
                <w:szCs w:val="21"/>
                <w:highlight w:val="none"/>
              </w:rPr>
            </w:pPr>
          </w:p>
        </w:tc>
        <w:tc>
          <w:tcPr>
            <w:tcW w:w="3137" w:type="dxa"/>
          </w:tcPr>
          <w:p w14:paraId="3F3E9568">
            <w:pPr>
              <w:spacing w:line="540" w:lineRule="exact"/>
              <w:jc w:val="center"/>
              <w:rPr>
                <w:rFonts w:eastAsia="黑体"/>
                <w:color w:val="auto"/>
                <w:sz w:val="28"/>
                <w:szCs w:val="21"/>
                <w:highlight w:val="none"/>
              </w:rPr>
            </w:pPr>
          </w:p>
        </w:tc>
        <w:tc>
          <w:tcPr>
            <w:tcW w:w="1320" w:type="dxa"/>
          </w:tcPr>
          <w:p w14:paraId="5C7BC025">
            <w:pPr>
              <w:spacing w:line="540" w:lineRule="exact"/>
              <w:jc w:val="center"/>
              <w:rPr>
                <w:rFonts w:eastAsia="黑体"/>
                <w:color w:val="auto"/>
                <w:sz w:val="28"/>
                <w:szCs w:val="21"/>
                <w:highlight w:val="none"/>
              </w:rPr>
            </w:pPr>
          </w:p>
        </w:tc>
        <w:tc>
          <w:tcPr>
            <w:tcW w:w="1444" w:type="dxa"/>
          </w:tcPr>
          <w:p w14:paraId="1353AA67">
            <w:pPr>
              <w:spacing w:line="540" w:lineRule="exact"/>
              <w:jc w:val="center"/>
              <w:rPr>
                <w:rFonts w:eastAsia="黑体"/>
                <w:color w:val="auto"/>
                <w:sz w:val="28"/>
                <w:szCs w:val="21"/>
                <w:highlight w:val="none"/>
              </w:rPr>
            </w:pPr>
          </w:p>
        </w:tc>
        <w:tc>
          <w:tcPr>
            <w:tcW w:w="2046" w:type="dxa"/>
          </w:tcPr>
          <w:p w14:paraId="2623789B">
            <w:pPr>
              <w:spacing w:line="540" w:lineRule="exact"/>
              <w:jc w:val="center"/>
              <w:rPr>
                <w:rFonts w:eastAsia="黑体"/>
                <w:color w:val="auto"/>
                <w:sz w:val="28"/>
                <w:szCs w:val="21"/>
                <w:highlight w:val="none"/>
              </w:rPr>
            </w:pPr>
          </w:p>
        </w:tc>
      </w:tr>
      <w:tr w14:paraId="1B48E7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dxa"/>
          </w:tcPr>
          <w:p w14:paraId="3402520C">
            <w:pPr>
              <w:spacing w:line="540" w:lineRule="exact"/>
              <w:jc w:val="center"/>
              <w:rPr>
                <w:rFonts w:eastAsia="黑体"/>
                <w:color w:val="auto"/>
                <w:sz w:val="28"/>
                <w:szCs w:val="21"/>
                <w:highlight w:val="none"/>
              </w:rPr>
            </w:pPr>
          </w:p>
        </w:tc>
        <w:tc>
          <w:tcPr>
            <w:tcW w:w="776" w:type="dxa"/>
          </w:tcPr>
          <w:p w14:paraId="2F1619A7">
            <w:pPr>
              <w:spacing w:line="540" w:lineRule="exact"/>
              <w:jc w:val="center"/>
              <w:rPr>
                <w:rFonts w:eastAsia="黑体"/>
                <w:color w:val="auto"/>
                <w:sz w:val="28"/>
                <w:szCs w:val="21"/>
                <w:highlight w:val="none"/>
              </w:rPr>
            </w:pPr>
          </w:p>
        </w:tc>
        <w:tc>
          <w:tcPr>
            <w:tcW w:w="3137" w:type="dxa"/>
          </w:tcPr>
          <w:p w14:paraId="249C4B7D">
            <w:pPr>
              <w:spacing w:line="540" w:lineRule="exact"/>
              <w:jc w:val="center"/>
              <w:rPr>
                <w:rFonts w:eastAsia="黑体"/>
                <w:color w:val="auto"/>
                <w:sz w:val="28"/>
                <w:szCs w:val="21"/>
                <w:highlight w:val="none"/>
              </w:rPr>
            </w:pPr>
          </w:p>
        </w:tc>
        <w:tc>
          <w:tcPr>
            <w:tcW w:w="1320" w:type="dxa"/>
          </w:tcPr>
          <w:p w14:paraId="5985200A">
            <w:pPr>
              <w:spacing w:line="540" w:lineRule="exact"/>
              <w:jc w:val="center"/>
              <w:rPr>
                <w:rFonts w:eastAsia="黑体"/>
                <w:color w:val="auto"/>
                <w:sz w:val="28"/>
                <w:szCs w:val="21"/>
                <w:highlight w:val="none"/>
              </w:rPr>
            </w:pPr>
          </w:p>
        </w:tc>
        <w:tc>
          <w:tcPr>
            <w:tcW w:w="1444" w:type="dxa"/>
          </w:tcPr>
          <w:p w14:paraId="31F82FB9">
            <w:pPr>
              <w:spacing w:line="540" w:lineRule="exact"/>
              <w:jc w:val="center"/>
              <w:rPr>
                <w:rFonts w:eastAsia="黑体"/>
                <w:color w:val="auto"/>
                <w:sz w:val="28"/>
                <w:szCs w:val="21"/>
                <w:highlight w:val="none"/>
              </w:rPr>
            </w:pPr>
          </w:p>
        </w:tc>
        <w:tc>
          <w:tcPr>
            <w:tcW w:w="2046" w:type="dxa"/>
          </w:tcPr>
          <w:p w14:paraId="0EB28B4E">
            <w:pPr>
              <w:spacing w:line="540" w:lineRule="exact"/>
              <w:jc w:val="center"/>
              <w:rPr>
                <w:rFonts w:eastAsia="黑体"/>
                <w:color w:val="auto"/>
                <w:sz w:val="28"/>
                <w:szCs w:val="21"/>
                <w:highlight w:val="none"/>
              </w:rPr>
            </w:pPr>
          </w:p>
        </w:tc>
      </w:tr>
      <w:tr w14:paraId="480B66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dxa"/>
          </w:tcPr>
          <w:p w14:paraId="408CA9C9">
            <w:pPr>
              <w:spacing w:line="540" w:lineRule="exact"/>
              <w:jc w:val="center"/>
              <w:rPr>
                <w:rFonts w:eastAsia="黑体"/>
                <w:color w:val="auto"/>
                <w:sz w:val="28"/>
                <w:szCs w:val="21"/>
                <w:highlight w:val="none"/>
              </w:rPr>
            </w:pPr>
          </w:p>
        </w:tc>
        <w:tc>
          <w:tcPr>
            <w:tcW w:w="776" w:type="dxa"/>
          </w:tcPr>
          <w:p w14:paraId="7C88F6F0">
            <w:pPr>
              <w:spacing w:line="540" w:lineRule="exact"/>
              <w:jc w:val="center"/>
              <w:rPr>
                <w:rFonts w:eastAsia="黑体"/>
                <w:color w:val="auto"/>
                <w:sz w:val="28"/>
                <w:szCs w:val="21"/>
                <w:highlight w:val="none"/>
              </w:rPr>
            </w:pPr>
          </w:p>
        </w:tc>
        <w:tc>
          <w:tcPr>
            <w:tcW w:w="3137" w:type="dxa"/>
          </w:tcPr>
          <w:p w14:paraId="210BAAC7">
            <w:pPr>
              <w:spacing w:line="540" w:lineRule="exact"/>
              <w:jc w:val="center"/>
              <w:rPr>
                <w:rFonts w:eastAsia="黑体"/>
                <w:color w:val="auto"/>
                <w:sz w:val="28"/>
                <w:szCs w:val="21"/>
                <w:highlight w:val="none"/>
              </w:rPr>
            </w:pPr>
          </w:p>
        </w:tc>
        <w:tc>
          <w:tcPr>
            <w:tcW w:w="1320" w:type="dxa"/>
          </w:tcPr>
          <w:p w14:paraId="20B0251E">
            <w:pPr>
              <w:spacing w:line="540" w:lineRule="exact"/>
              <w:jc w:val="center"/>
              <w:rPr>
                <w:rFonts w:eastAsia="黑体"/>
                <w:color w:val="auto"/>
                <w:sz w:val="28"/>
                <w:szCs w:val="21"/>
                <w:highlight w:val="none"/>
              </w:rPr>
            </w:pPr>
          </w:p>
        </w:tc>
        <w:tc>
          <w:tcPr>
            <w:tcW w:w="1444" w:type="dxa"/>
          </w:tcPr>
          <w:p w14:paraId="5D18A7CD">
            <w:pPr>
              <w:spacing w:line="540" w:lineRule="exact"/>
              <w:jc w:val="center"/>
              <w:rPr>
                <w:rFonts w:eastAsia="黑体"/>
                <w:color w:val="auto"/>
                <w:sz w:val="28"/>
                <w:szCs w:val="21"/>
                <w:highlight w:val="none"/>
              </w:rPr>
            </w:pPr>
          </w:p>
        </w:tc>
        <w:tc>
          <w:tcPr>
            <w:tcW w:w="2046" w:type="dxa"/>
          </w:tcPr>
          <w:p w14:paraId="4EF09CB7">
            <w:pPr>
              <w:spacing w:line="540" w:lineRule="exact"/>
              <w:jc w:val="center"/>
              <w:rPr>
                <w:rFonts w:eastAsia="黑体"/>
                <w:color w:val="auto"/>
                <w:sz w:val="28"/>
                <w:szCs w:val="21"/>
                <w:highlight w:val="none"/>
              </w:rPr>
            </w:pPr>
          </w:p>
        </w:tc>
      </w:tr>
      <w:tr w14:paraId="60C49D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dxa"/>
          </w:tcPr>
          <w:p w14:paraId="37C9FE07">
            <w:pPr>
              <w:spacing w:line="540" w:lineRule="exact"/>
              <w:jc w:val="center"/>
              <w:rPr>
                <w:rFonts w:eastAsia="黑体"/>
                <w:color w:val="auto"/>
                <w:sz w:val="28"/>
                <w:szCs w:val="21"/>
                <w:highlight w:val="none"/>
              </w:rPr>
            </w:pPr>
          </w:p>
        </w:tc>
        <w:tc>
          <w:tcPr>
            <w:tcW w:w="776" w:type="dxa"/>
          </w:tcPr>
          <w:p w14:paraId="3DB09D5E">
            <w:pPr>
              <w:spacing w:line="540" w:lineRule="exact"/>
              <w:jc w:val="center"/>
              <w:rPr>
                <w:rFonts w:eastAsia="黑体"/>
                <w:color w:val="auto"/>
                <w:sz w:val="28"/>
                <w:szCs w:val="21"/>
                <w:highlight w:val="none"/>
              </w:rPr>
            </w:pPr>
          </w:p>
        </w:tc>
        <w:tc>
          <w:tcPr>
            <w:tcW w:w="3137" w:type="dxa"/>
          </w:tcPr>
          <w:p w14:paraId="168F1469">
            <w:pPr>
              <w:spacing w:line="540" w:lineRule="exact"/>
              <w:jc w:val="center"/>
              <w:rPr>
                <w:rFonts w:eastAsia="黑体"/>
                <w:color w:val="auto"/>
                <w:sz w:val="28"/>
                <w:szCs w:val="21"/>
                <w:highlight w:val="none"/>
              </w:rPr>
            </w:pPr>
          </w:p>
        </w:tc>
        <w:tc>
          <w:tcPr>
            <w:tcW w:w="1320" w:type="dxa"/>
          </w:tcPr>
          <w:p w14:paraId="6754FB5E">
            <w:pPr>
              <w:spacing w:line="540" w:lineRule="exact"/>
              <w:jc w:val="center"/>
              <w:rPr>
                <w:rFonts w:eastAsia="黑体"/>
                <w:color w:val="auto"/>
                <w:sz w:val="28"/>
                <w:szCs w:val="21"/>
                <w:highlight w:val="none"/>
              </w:rPr>
            </w:pPr>
          </w:p>
        </w:tc>
        <w:tc>
          <w:tcPr>
            <w:tcW w:w="1444" w:type="dxa"/>
          </w:tcPr>
          <w:p w14:paraId="05AC0794">
            <w:pPr>
              <w:spacing w:line="540" w:lineRule="exact"/>
              <w:jc w:val="center"/>
              <w:rPr>
                <w:rFonts w:eastAsia="黑体"/>
                <w:color w:val="auto"/>
                <w:sz w:val="28"/>
                <w:szCs w:val="21"/>
                <w:highlight w:val="none"/>
              </w:rPr>
            </w:pPr>
          </w:p>
        </w:tc>
        <w:tc>
          <w:tcPr>
            <w:tcW w:w="2046" w:type="dxa"/>
          </w:tcPr>
          <w:p w14:paraId="198D5D9E">
            <w:pPr>
              <w:spacing w:line="540" w:lineRule="exact"/>
              <w:jc w:val="center"/>
              <w:rPr>
                <w:rFonts w:eastAsia="黑体"/>
                <w:color w:val="auto"/>
                <w:sz w:val="28"/>
                <w:szCs w:val="21"/>
                <w:highlight w:val="none"/>
              </w:rPr>
            </w:pPr>
          </w:p>
        </w:tc>
      </w:tr>
      <w:tr w14:paraId="3F0AD3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dxa"/>
          </w:tcPr>
          <w:p w14:paraId="5A79BE4A">
            <w:pPr>
              <w:spacing w:line="540" w:lineRule="exact"/>
              <w:jc w:val="center"/>
              <w:rPr>
                <w:rFonts w:eastAsia="黑体"/>
                <w:color w:val="auto"/>
                <w:sz w:val="28"/>
                <w:szCs w:val="21"/>
                <w:highlight w:val="none"/>
              </w:rPr>
            </w:pPr>
          </w:p>
        </w:tc>
        <w:tc>
          <w:tcPr>
            <w:tcW w:w="776" w:type="dxa"/>
          </w:tcPr>
          <w:p w14:paraId="2C21F65F">
            <w:pPr>
              <w:spacing w:line="540" w:lineRule="exact"/>
              <w:jc w:val="center"/>
              <w:rPr>
                <w:rFonts w:eastAsia="黑体"/>
                <w:color w:val="auto"/>
                <w:sz w:val="28"/>
                <w:szCs w:val="21"/>
                <w:highlight w:val="none"/>
              </w:rPr>
            </w:pPr>
          </w:p>
        </w:tc>
        <w:tc>
          <w:tcPr>
            <w:tcW w:w="3137" w:type="dxa"/>
          </w:tcPr>
          <w:p w14:paraId="6971EBD5">
            <w:pPr>
              <w:spacing w:line="540" w:lineRule="exact"/>
              <w:jc w:val="center"/>
              <w:rPr>
                <w:rFonts w:eastAsia="黑体"/>
                <w:color w:val="auto"/>
                <w:sz w:val="28"/>
                <w:szCs w:val="21"/>
                <w:highlight w:val="none"/>
              </w:rPr>
            </w:pPr>
          </w:p>
        </w:tc>
        <w:tc>
          <w:tcPr>
            <w:tcW w:w="1320" w:type="dxa"/>
          </w:tcPr>
          <w:p w14:paraId="629661F5">
            <w:pPr>
              <w:spacing w:line="540" w:lineRule="exact"/>
              <w:jc w:val="center"/>
              <w:rPr>
                <w:rFonts w:eastAsia="黑体"/>
                <w:color w:val="auto"/>
                <w:sz w:val="28"/>
                <w:szCs w:val="21"/>
                <w:highlight w:val="none"/>
              </w:rPr>
            </w:pPr>
          </w:p>
        </w:tc>
        <w:tc>
          <w:tcPr>
            <w:tcW w:w="1444" w:type="dxa"/>
          </w:tcPr>
          <w:p w14:paraId="62A19C0A">
            <w:pPr>
              <w:spacing w:line="540" w:lineRule="exact"/>
              <w:jc w:val="center"/>
              <w:rPr>
                <w:rFonts w:eastAsia="黑体"/>
                <w:color w:val="auto"/>
                <w:sz w:val="28"/>
                <w:szCs w:val="21"/>
                <w:highlight w:val="none"/>
              </w:rPr>
            </w:pPr>
          </w:p>
        </w:tc>
        <w:tc>
          <w:tcPr>
            <w:tcW w:w="2046" w:type="dxa"/>
          </w:tcPr>
          <w:p w14:paraId="2D48B6D1">
            <w:pPr>
              <w:spacing w:line="540" w:lineRule="exact"/>
              <w:jc w:val="center"/>
              <w:rPr>
                <w:rFonts w:eastAsia="黑体"/>
                <w:color w:val="auto"/>
                <w:sz w:val="28"/>
                <w:szCs w:val="21"/>
                <w:highlight w:val="none"/>
              </w:rPr>
            </w:pPr>
          </w:p>
        </w:tc>
      </w:tr>
      <w:tr w14:paraId="672B15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dxa"/>
          </w:tcPr>
          <w:p w14:paraId="0637BC45">
            <w:pPr>
              <w:spacing w:line="540" w:lineRule="exact"/>
              <w:jc w:val="center"/>
              <w:rPr>
                <w:rFonts w:eastAsia="黑体"/>
                <w:color w:val="auto"/>
                <w:sz w:val="28"/>
                <w:szCs w:val="21"/>
                <w:highlight w:val="none"/>
              </w:rPr>
            </w:pPr>
          </w:p>
        </w:tc>
        <w:tc>
          <w:tcPr>
            <w:tcW w:w="776" w:type="dxa"/>
          </w:tcPr>
          <w:p w14:paraId="234FAA25">
            <w:pPr>
              <w:spacing w:line="540" w:lineRule="exact"/>
              <w:jc w:val="center"/>
              <w:rPr>
                <w:rFonts w:eastAsia="黑体"/>
                <w:color w:val="auto"/>
                <w:sz w:val="28"/>
                <w:szCs w:val="21"/>
                <w:highlight w:val="none"/>
              </w:rPr>
            </w:pPr>
          </w:p>
        </w:tc>
        <w:tc>
          <w:tcPr>
            <w:tcW w:w="3137" w:type="dxa"/>
          </w:tcPr>
          <w:p w14:paraId="4AD4ED25">
            <w:pPr>
              <w:spacing w:line="540" w:lineRule="exact"/>
              <w:jc w:val="center"/>
              <w:rPr>
                <w:rFonts w:eastAsia="黑体"/>
                <w:color w:val="auto"/>
                <w:sz w:val="28"/>
                <w:szCs w:val="21"/>
                <w:highlight w:val="none"/>
              </w:rPr>
            </w:pPr>
          </w:p>
        </w:tc>
        <w:tc>
          <w:tcPr>
            <w:tcW w:w="1320" w:type="dxa"/>
          </w:tcPr>
          <w:p w14:paraId="5C38B785">
            <w:pPr>
              <w:spacing w:line="540" w:lineRule="exact"/>
              <w:jc w:val="center"/>
              <w:rPr>
                <w:rFonts w:eastAsia="黑体"/>
                <w:color w:val="auto"/>
                <w:sz w:val="28"/>
                <w:szCs w:val="21"/>
                <w:highlight w:val="none"/>
              </w:rPr>
            </w:pPr>
          </w:p>
        </w:tc>
        <w:tc>
          <w:tcPr>
            <w:tcW w:w="1444" w:type="dxa"/>
          </w:tcPr>
          <w:p w14:paraId="3052C01D">
            <w:pPr>
              <w:spacing w:line="540" w:lineRule="exact"/>
              <w:jc w:val="center"/>
              <w:rPr>
                <w:rFonts w:eastAsia="黑体"/>
                <w:color w:val="auto"/>
                <w:sz w:val="28"/>
                <w:szCs w:val="21"/>
                <w:highlight w:val="none"/>
              </w:rPr>
            </w:pPr>
          </w:p>
        </w:tc>
        <w:tc>
          <w:tcPr>
            <w:tcW w:w="2046" w:type="dxa"/>
          </w:tcPr>
          <w:p w14:paraId="47FE0E0D">
            <w:pPr>
              <w:spacing w:line="540" w:lineRule="exact"/>
              <w:jc w:val="center"/>
              <w:rPr>
                <w:rFonts w:eastAsia="黑体"/>
                <w:color w:val="auto"/>
                <w:sz w:val="28"/>
                <w:szCs w:val="21"/>
                <w:highlight w:val="none"/>
              </w:rPr>
            </w:pPr>
          </w:p>
        </w:tc>
      </w:tr>
      <w:tr w14:paraId="4E321A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dxa"/>
          </w:tcPr>
          <w:p w14:paraId="34A8A823">
            <w:pPr>
              <w:spacing w:line="540" w:lineRule="exact"/>
              <w:jc w:val="center"/>
              <w:rPr>
                <w:rFonts w:eastAsia="黑体"/>
                <w:color w:val="auto"/>
                <w:sz w:val="28"/>
                <w:szCs w:val="21"/>
                <w:highlight w:val="none"/>
              </w:rPr>
            </w:pPr>
          </w:p>
        </w:tc>
        <w:tc>
          <w:tcPr>
            <w:tcW w:w="776" w:type="dxa"/>
          </w:tcPr>
          <w:p w14:paraId="5FB81D1D">
            <w:pPr>
              <w:spacing w:line="540" w:lineRule="exact"/>
              <w:jc w:val="center"/>
              <w:rPr>
                <w:rFonts w:eastAsia="黑体"/>
                <w:color w:val="auto"/>
                <w:sz w:val="28"/>
                <w:szCs w:val="21"/>
                <w:highlight w:val="none"/>
              </w:rPr>
            </w:pPr>
          </w:p>
        </w:tc>
        <w:tc>
          <w:tcPr>
            <w:tcW w:w="3137" w:type="dxa"/>
          </w:tcPr>
          <w:p w14:paraId="75A804B0">
            <w:pPr>
              <w:spacing w:line="540" w:lineRule="exact"/>
              <w:jc w:val="center"/>
              <w:rPr>
                <w:rFonts w:eastAsia="黑体"/>
                <w:color w:val="auto"/>
                <w:sz w:val="28"/>
                <w:szCs w:val="21"/>
                <w:highlight w:val="none"/>
              </w:rPr>
            </w:pPr>
          </w:p>
        </w:tc>
        <w:tc>
          <w:tcPr>
            <w:tcW w:w="1320" w:type="dxa"/>
          </w:tcPr>
          <w:p w14:paraId="11D94E8E">
            <w:pPr>
              <w:spacing w:line="540" w:lineRule="exact"/>
              <w:jc w:val="center"/>
              <w:rPr>
                <w:rFonts w:eastAsia="黑体"/>
                <w:color w:val="auto"/>
                <w:sz w:val="28"/>
                <w:szCs w:val="21"/>
                <w:highlight w:val="none"/>
              </w:rPr>
            </w:pPr>
          </w:p>
        </w:tc>
        <w:tc>
          <w:tcPr>
            <w:tcW w:w="1444" w:type="dxa"/>
          </w:tcPr>
          <w:p w14:paraId="24FA0EB7">
            <w:pPr>
              <w:spacing w:line="540" w:lineRule="exact"/>
              <w:jc w:val="center"/>
              <w:rPr>
                <w:rFonts w:eastAsia="黑体"/>
                <w:color w:val="auto"/>
                <w:sz w:val="28"/>
                <w:szCs w:val="21"/>
                <w:highlight w:val="none"/>
              </w:rPr>
            </w:pPr>
          </w:p>
        </w:tc>
        <w:tc>
          <w:tcPr>
            <w:tcW w:w="2046" w:type="dxa"/>
          </w:tcPr>
          <w:p w14:paraId="478288CB">
            <w:pPr>
              <w:spacing w:line="540" w:lineRule="exact"/>
              <w:jc w:val="center"/>
              <w:rPr>
                <w:rFonts w:eastAsia="黑体"/>
                <w:color w:val="auto"/>
                <w:sz w:val="28"/>
                <w:szCs w:val="21"/>
                <w:highlight w:val="none"/>
              </w:rPr>
            </w:pPr>
          </w:p>
        </w:tc>
      </w:tr>
      <w:tr w14:paraId="647294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dxa"/>
          </w:tcPr>
          <w:p w14:paraId="7E071A33">
            <w:pPr>
              <w:spacing w:line="540" w:lineRule="exact"/>
              <w:jc w:val="center"/>
              <w:rPr>
                <w:rFonts w:eastAsia="黑体"/>
                <w:color w:val="auto"/>
                <w:sz w:val="28"/>
                <w:szCs w:val="21"/>
                <w:highlight w:val="none"/>
              </w:rPr>
            </w:pPr>
          </w:p>
        </w:tc>
        <w:tc>
          <w:tcPr>
            <w:tcW w:w="776" w:type="dxa"/>
          </w:tcPr>
          <w:p w14:paraId="41939EDF">
            <w:pPr>
              <w:spacing w:line="540" w:lineRule="exact"/>
              <w:jc w:val="center"/>
              <w:rPr>
                <w:rFonts w:eastAsia="黑体"/>
                <w:color w:val="auto"/>
                <w:sz w:val="28"/>
                <w:szCs w:val="21"/>
                <w:highlight w:val="none"/>
              </w:rPr>
            </w:pPr>
          </w:p>
        </w:tc>
        <w:tc>
          <w:tcPr>
            <w:tcW w:w="3137" w:type="dxa"/>
          </w:tcPr>
          <w:p w14:paraId="32291E43">
            <w:pPr>
              <w:spacing w:line="540" w:lineRule="exact"/>
              <w:jc w:val="center"/>
              <w:rPr>
                <w:rFonts w:eastAsia="黑体"/>
                <w:color w:val="auto"/>
                <w:sz w:val="28"/>
                <w:szCs w:val="21"/>
                <w:highlight w:val="none"/>
              </w:rPr>
            </w:pPr>
          </w:p>
        </w:tc>
        <w:tc>
          <w:tcPr>
            <w:tcW w:w="1320" w:type="dxa"/>
          </w:tcPr>
          <w:p w14:paraId="66B9DE9E">
            <w:pPr>
              <w:spacing w:line="540" w:lineRule="exact"/>
              <w:jc w:val="center"/>
              <w:rPr>
                <w:rFonts w:eastAsia="黑体"/>
                <w:color w:val="auto"/>
                <w:sz w:val="28"/>
                <w:szCs w:val="21"/>
                <w:highlight w:val="none"/>
              </w:rPr>
            </w:pPr>
          </w:p>
        </w:tc>
        <w:tc>
          <w:tcPr>
            <w:tcW w:w="1444" w:type="dxa"/>
          </w:tcPr>
          <w:p w14:paraId="7B8FD992">
            <w:pPr>
              <w:spacing w:line="540" w:lineRule="exact"/>
              <w:jc w:val="center"/>
              <w:rPr>
                <w:rFonts w:eastAsia="黑体"/>
                <w:color w:val="auto"/>
                <w:sz w:val="28"/>
                <w:szCs w:val="21"/>
                <w:highlight w:val="none"/>
              </w:rPr>
            </w:pPr>
          </w:p>
        </w:tc>
        <w:tc>
          <w:tcPr>
            <w:tcW w:w="2046" w:type="dxa"/>
          </w:tcPr>
          <w:p w14:paraId="52346C49">
            <w:pPr>
              <w:spacing w:line="540" w:lineRule="exact"/>
              <w:jc w:val="center"/>
              <w:rPr>
                <w:rFonts w:eastAsia="黑体"/>
                <w:color w:val="auto"/>
                <w:sz w:val="28"/>
                <w:szCs w:val="21"/>
                <w:highlight w:val="none"/>
              </w:rPr>
            </w:pPr>
          </w:p>
        </w:tc>
      </w:tr>
      <w:tr w14:paraId="097787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dxa"/>
          </w:tcPr>
          <w:p w14:paraId="05EF70DD">
            <w:pPr>
              <w:spacing w:line="540" w:lineRule="exact"/>
              <w:jc w:val="center"/>
              <w:rPr>
                <w:rFonts w:eastAsia="黑体"/>
                <w:color w:val="auto"/>
                <w:sz w:val="28"/>
                <w:szCs w:val="21"/>
                <w:highlight w:val="none"/>
              </w:rPr>
            </w:pPr>
          </w:p>
        </w:tc>
        <w:tc>
          <w:tcPr>
            <w:tcW w:w="776" w:type="dxa"/>
          </w:tcPr>
          <w:p w14:paraId="4FE1CFFE">
            <w:pPr>
              <w:spacing w:line="540" w:lineRule="exact"/>
              <w:jc w:val="center"/>
              <w:rPr>
                <w:rFonts w:eastAsia="黑体"/>
                <w:color w:val="auto"/>
                <w:sz w:val="28"/>
                <w:szCs w:val="21"/>
                <w:highlight w:val="none"/>
              </w:rPr>
            </w:pPr>
          </w:p>
        </w:tc>
        <w:tc>
          <w:tcPr>
            <w:tcW w:w="3137" w:type="dxa"/>
          </w:tcPr>
          <w:p w14:paraId="1E9E5673">
            <w:pPr>
              <w:spacing w:line="540" w:lineRule="exact"/>
              <w:jc w:val="center"/>
              <w:rPr>
                <w:rFonts w:eastAsia="黑体"/>
                <w:color w:val="auto"/>
                <w:sz w:val="28"/>
                <w:szCs w:val="21"/>
                <w:highlight w:val="none"/>
              </w:rPr>
            </w:pPr>
          </w:p>
        </w:tc>
        <w:tc>
          <w:tcPr>
            <w:tcW w:w="1320" w:type="dxa"/>
          </w:tcPr>
          <w:p w14:paraId="3A92D0E8">
            <w:pPr>
              <w:spacing w:line="540" w:lineRule="exact"/>
              <w:jc w:val="center"/>
              <w:rPr>
                <w:rFonts w:eastAsia="黑体"/>
                <w:color w:val="auto"/>
                <w:sz w:val="28"/>
                <w:szCs w:val="21"/>
                <w:highlight w:val="none"/>
              </w:rPr>
            </w:pPr>
          </w:p>
        </w:tc>
        <w:tc>
          <w:tcPr>
            <w:tcW w:w="1444" w:type="dxa"/>
          </w:tcPr>
          <w:p w14:paraId="6F02F556">
            <w:pPr>
              <w:spacing w:line="540" w:lineRule="exact"/>
              <w:jc w:val="center"/>
              <w:rPr>
                <w:rFonts w:eastAsia="黑体"/>
                <w:color w:val="auto"/>
                <w:sz w:val="28"/>
                <w:szCs w:val="21"/>
                <w:highlight w:val="none"/>
              </w:rPr>
            </w:pPr>
          </w:p>
        </w:tc>
        <w:tc>
          <w:tcPr>
            <w:tcW w:w="2046" w:type="dxa"/>
          </w:tcPr>
          <w:p w14:paraId="73DA8832">
            <w:pPr>
              <w:spacing w:line="540" w:lineRule="exact"/>
              <w:jc w:val="center"/>
              <w:rPr>
                <w:rFonts w:eastAsia="黑体"/>
                <w:color w:val="auto"/>
                <w:sz w:val="28"/>
                <w:szCs w:val="21"/>
                <w:highlight w:val="none"/>
              </w:rPr>
            </w:pPr>
          </w:p>
        </w:tc>
      </w:tr>
      <w:tr w14:paraId="010902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dxa"/>
          </w:tcPr>
          <w:p w14:paraId="6CFB56AE">
            <w:pPr>
              <w:spacing w:line="540" w:lineRule="exact"/>
              <w:jc w:val="center"/>
              <w:rPr>
                <w:rFonts w:eastAsia="黑体"/>
                <w:color w:val="auto"/>
                <w:sz w:val="28"/>
                <w:szCs w:val="21"/>
                <w:highlight w:val="none"/>
              </w:rPr>
            </w:pPr>
          </w:p>
        </w:tc>
        <w:tc>
          <w:tcPr>
            <w:tcW w:w="776" w:type="dxa"/>
          </w:tcPr>
          <w:p w14:paraId="78A82AA4">
            <w:pPr>
              <w:spacing w:line="540" w:lineRule="exact"/>
              <w:jc w:val="center"/>
              <w:rPr>
                <w:rFonts w:eastAsia="黑体"/>
                <w:color w:val="auto"/>
                <w:sz w:val="28"/>
                <w:szCs w:val="21"/>
                <w:highlight w:val="none"/>
              </w:rPr>
            </w:pPr>
          </w:p>
        </w:tc>
        <w:tc>
          <w:tcPr>
            <w:tcW w:w="3137" w:type="dxa"/>
          </w:tcPr>
          <w:p w14:paraId="555B3721">
            <w:pPr>
              <w:spacing w:line="540" w:lineRule="exact"/>
              <w:jc w:val="center"/>
              <w:rPr>
                <w:rFonts w:eastAsia="黑体"/>
                <w:color w:val="auto"/>
                <w:sz w:val="28"/>
                <w:szCs w:val="21"/>
                <w:highlight w:val="none"/>
              </w:rPr>
            </w:pPr>
          </w:p>
        </w:tc>
        <w:tc>
          <w:tcPr>
            <w:tcW w:w="1320" w:type="dxa"/>
          </w:tcPr>
          <w:p w14:paraId="56292CF5">
            <w:pPr>
              <w:spacing w:line="540" w:lineRule="exact"/>
              <w:jc w:val="center"/>
              <w:rPr>
                <w:rFonts w:eastAsia="黑体"/>
                <w:color w:val="auto"/>
                <w:sz w:val="28"/>
                <w:szCs w:val="21"/>
                <w:highlight w:val="none"/>
              </w:rPr>
            </w:pPr>
          </w:p>
        </w:tc>
        <w:tc>
          <w:tcPr>
            <w:tcW w:w="1444" w:type="dxa"/>
          </w:tcPr>
          <w:p w14:paraId="46ACFF34">
            <w:pPr>
              <w:spacing w:line="540" w:lineRule="exact"/>
              <w:jc w:val="center"/>
              <w:rPr>
                <w:rFonts w:eastAsia="黑体"/>
                <w:color w:val="auto"/>
                <w:sz w:val="28"/>
                <w:szCs w:val="21"/>
                <w:highlight w:val="none"/>
              </w:rPr>
            </w:pPr>
          </w:p>
        </w:tc>
        <w:tc>
          <w:tcPr>
            <w:tcW w:w="2046" w:type="dxa"/>
          </w:tcPr>
          <w:p w14:paraId="4E86D2E7">
            <w:pPr>
              <w:spacing w:line="540" w:lineRule="exact"/>
              <w:jc w:val="center"/>
              <w:rPr>
                <w:rFonts w:eastAsia="黑体"/>
                <w:color w:val="auto"/>
                <w:sz w:val="28"/>
                <w:szCs w:val="21"/>
                <w:highlight w:val="none"/>
              </w:rPr>
            </w:pPr>
          </w:p>
        </w:tc>
      </w:tr>
      <w:tr w14:paraId="15EA00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dxa"/>
          </w:tcPr>
          <w:p w14:paraId="30203187">
            <w:pPr>
              <w:spacing w:line="540" w:lineRule="exact"/>
              <w:jc w:val="center"/>
              <w:rPr>
                <w:rFonts w:eastAsia="黑体"/>
                <w:color w:val="auto"/>
                <w:sz w:val="28"/>
                <w:szCs w:val="21"/>
                <w:highlight w:val="none"/>
              </w:rPr>
            </w:pPr>
          </w:p>
        </w:tc>
        <w:tc>
          <w:tcPr>
            <w:tcW w:w="776" w:type="dxa"/>
          </w:tcPr>
          <w:p w14:paraId="19B631EF">
            <w:pPr>
              <w:spacing w:line="540" w:lineRule="exact"/>
              <w:jc w:val="center"/>
              <w:rPr>
                <w:rFonts w:eastAsia="黑体"/>
                <w:color w:val="auto"/>
                <w:sz w:val="28"/>
                <w:szCs w:val="21"/>
                <w:highlight w:val="none"/>
              </w:rPr>
            </w:pPr>
          </w:p>
        </w:tc>
        <w:tc>
          <w:tcPr>
            <w:tcW w:w="3137" w:type="dxa"/>
          </w:tcPr>
          <w:p w14:paraId="25B795E5">
            <w:pPr>
              <w:spacing w:line="540" w:lineRule="exact"/>
              <w:jc w:val="center"/>
              <w:rPr>
                <w:rFonts w:eastAsia="黑体"/>
                <w:color w:val="auto"/>
                <w:sz w:val="28"/>
                <w:szCs w:val="21"/>
                <w:highlight w:val="none"/>
              </w:rPr>
            </w:pPr>
          </w:p>
        </w:tc>
        <w:tc>
          <w:tcPr>
            <w:tcW w:w="1320" w:type="dxa"/>
          </w:tcPr>
          <w:p w14:paraId="5EF1CDA6">
            <w:pPr>
              <w:spacing w:line="540" w:lineRule="exact"/>
              <w:jc w:val="center"/>
              <w:rPr>
                <w:rFonts w:eastAsia="黑体"/>
                <w:color w:val="auto"/>
                <w:sz w:val="28"/>
                <w:szCs w:val="21"/>
                <w:highlight w:val="none"/>
              </w:rPr>
            </w:pPr>
          </w:p>
        </w:tc>
        <w:tc>
          <w:tcPr>
            <w:tcW w:w="1444" w:type="dxa"/>
          </w:tcPr>
          <w:p w14:paraId="4A0119F2">
            <w:pPr>
              <w:spacing w:line="540" w:lineRule="exact"/>
              <w:jc w:val="center"/>
              <w:rPr>
                <w:rFonts w:eastAsia="黑体"/>
                <w:color w:val="auto"/>
                <w:sz w:val="28"/>
                <w:szCs w:val="21"/>
                <w:highlight w:val="none"/>
              </w:rPr>
            </w:pPr>
          </w:p>
        </w:tc>
        <w:tc>
          <w:tcPr>
            <w:tcW w:w="2046" w:type="dxa"/>
          </w:tcPr>
          <w:p w14:paraId="44904BC8">
            <w:pPr>
              <w:spacing w:line="540" w:lineRule="exact"/>
              <w:jc w:val="center"/>
              <w:rPr>
                <w:rFonts w:eastAsia="黑体"/>
                <w:color w:val="auto"/>
                <w:sz w:val="28"/>
                <w:szCs w:val="21"/>
                <w:highlight w:val="none"/>
              </w:rPr>
            </w:pPr>
          </w:p>
        </w:tc>
      </w:tr>
      <w:tr w14:paraId="65819F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dxa"/>
          </w:tcPr>
          <w:p w14:paraId="19C7A23C">
            <w:pPr>
              <w:spacing w:line="540" w:lineRule="exact"/>
              <w:jc w:val="center"/>
              <w:rPr>
                <w:rFonts w:eastAsia="黑体"/>
                <w:color w:val="auto"/>
                <w:sz w:val="28"/>
                <w:szCs w:val="21"/>
                <w:highlight w:val="none"/>
              </w:rPr>
            </w:pPr>
          </w:p>
        </w:tc>
        <w:tc>
          <w:tcPr>
            <w:tcW w:w="776" w:type="dxa"/>
          </w:tcPr>
          <w:p w14:paraId="2B224C41">
            <w:pPr>
              <w:spacing w:line="540" w:lineRule="exact"/>
              <w:jc w:val="center"/>
              <w:rPr>
                <w:rFonts w:eastAsia="黑体"/>
                <w:color w:val="auto"/>
                <w:sz w:val="28"/>
                <w:szCs w:val="21"/>
                <w:highlight w:val="none"/>
              </w:rPr>
            </w:pPr>
          </w:p>
        </w:tc>
        <w:tc>
          <w:tcPr>
            <w:tcW w:w="3137" w:type="dxa"/>
          </w:tcPr>
          <w:p w14:paraId="47630A4C">
            <w:pPr>
              <w:spacing w:line="540" w:lineRule="exact"/>
              <w:jc w:val="center"/>
              <w:rPr>
                <w:rFonts w:eastAsia="黑体"/>
                <w:color w:val="auto"/>
                <w:sz w:val="28"/>
                <w:szCs w:val="21"/>
                <w:highlight w:val="none"/>
              </w:rPr>
            </w:pPr>
          </w:p>
        </w:tc>
        <w:tc>
          <w:tcPr>
            <w:tcW w:w="1320" w:type="dxa"/>
          </w:tcPr>
          <w:p w14:paraId="1180A944">
            <w:pPr>
              <w:spacing w:line="540" w:lineRule="exact"/>
              <w:jc w:val="center"/>
              <w:rPr>
                <w:rFonts w:eastAsia="黑体"/>
                <w:color w:val="auto"/>
                <w:sz w:val="28"/>
                <w:szCs w:val="21"/>
                <w:highlight w:val="none"/>
              </w:rPr>
            </w:pPr>
          </w:p>
        </w:tc>
        <w:tc>
          <w:tcPr>
            <w:tcW w:w="1444" w:type="dxa"/>
          </w:tcPr>
          <w:p w14:paraId="6C598E26">
            <w:pPr>
              <w:spacing w:line="540" w:lineRule="exact"/>
              <w:jc w:val="center"/>
              <w:rPr>
                <w:rFonts w:eastAsia="黑体"/>
                <w:color w:val="auto"/>
                <w:sz w:val="28"/>
                <w:szCs w:val="21"/>
                <w:highlight w:val="none"/>
              </w:rPr>
            </w:pPr>
          </w:p>
        </w:tc>
        <w:tc>
          <w:tcPr>
            <w:tcW w:w="2046" w:type="dxa"/>
          </w:tcPr>
          <w:p w14:paraId="4114FB4E">
            <w:pPr>
              <w:spacing w:line="540" w:lineRule="exact"/>
              <w:jc w:val="center"/>
              <w:rPr>
                <w:rFonts w:eastAsia="黑体"/>
                <w:color w:val="auto"/>
                <w:sz w:val="28"/>
                <w:szCs w:val="21"/>
                <w:highlight w:val="none"/>
              </w:rPr>
            </w:pPr>
          </w:p>
        </w:tc>
      </w:tr>
      <w:tr w14:paraId="6D23D3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dxa"/>
          </w:tcPr>
          <w:p w14:paraId="63ED1B3D">
            <w:pPr>
              <w:spacing w:line="540" w:lineRule="exact"/>
              <w:jc w:val="center"/>
              <w:rPr>
                <w:rFonts w:eastAsia="黑体"/>
                <w:color w:val="auto"/>
                <w:sz w:val="28"/>
                <w:szCs w:val="21"/>
                <w:highlight w:val="none"/>
              </w:rPr>
            </w:pPr>
          </w:p>
        </w:tc>
        <w:tc>
          <w:tcPr>
            <w:tcW w:w="776" w:type="dxa"/>
          </w:tcPr>
          <w:p w14:paraId="591239E4">
            <w:pPr>
              <w:spacing w:line="540" w:lineRule="exact"/>
              <w:jc w:val="center"/>
              <w:rPr>
                <w:rFonts w:eastAsia="黑体"/>
                <w:color w:val="auto"/>
                <w:sz w:val="28"/>
                <w:szCs w:val="21"/>
                <w:highlight w:val="none"/>
              </w:rPr>
            </w:pPr>
          </w:p>
        </w:tc>
        <w:tc>
          <w:tcPr>
            <w:tcW w:w="3137" w:type="dxa"/>
          </w:tcPr>
          <w:p w14:paraId="44C7BD90">
            <w:pPr>
              <w:spacing w:line="540" w:lineRule="exact"/>
              <w:jc w:val="center"/>
              <w:rPr>
                <w:rFonts w:eastAsia="黑体"/>
                <w:color w:val="auto"/>
                <w:sz w:val="28"/>
                <w:szCs w:val="21"/>
                <w:highlight w:val="none"/>
              </w:rPr>
            </w:pPr>
          </w:p>
        </w:tc>
        <w:tc>
          <w:tcPr>
            <w:tcW w:w="1320" w:type="dxa"/>
          </w:tcPr>
          <w:p w14:paraId="02EAB687">
            <w:pPr>
              <w:spacing w:line="540" w:lineRule="exact"/>
              <w:jc w:val="center"/>
              <w:rPr>
                <w:rFonts w:eastAsia="黑体"/>
                <w:color w:val="auto"/>
                <w:sz w:val="28"/>
                <w:szCs w:val="21"/>
                <w:highlight w:val="none"/>
              </w:rPr>
            </w:pPr>
          </w:p>
        </w:tc>
        <w:tc>
          <w:tcPr>
            <w:tcW w:w="1444" w:type="dxa"/>
          </w:tcPr>
          <w:p w14:paraId="7181B197">
            <w:pPr>
              <w:spacing w:line="540" w:lineRule="exact"/>
              <w:jc w:val="center"/>
              <w:rPr>
                <w:rFonts w:eastAsia="黑体"/>
                <w:color w:val="auto"/>
                <w:sz w:val="28"/>
                <w:szCs w:val="21"/>
                <w:highlight w:val="none"/>
              </w:rPr>
            </w:pPr>
          </w:p>
        </w:tc>
        <w:tc>
          <w:tcPr>
            <w:tcW w:w="2046" w:type="dxa"/>
          </w:tcPr>
          <w:p w14:paraId="6F557344">
            <w:pPr>
              <w:spacing w:line="540" w:lineRule="exact"/>
              <w:jc w:val="center"/>
              <w:rPr>
                <w:rFonts w:eastAsia="黑体"/>
                <w:color w:val="auto"/>
                <w:sz w:val="28"/>
                <w:szCs w:val="21"/>
                <w:highlight w:val="none"/>
              </w:rPr>
            </w:pPr>
          </w:p>
        </w:tc>
      </w:tr>
      <w:tr w14:paraId="06A297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dxa"/>
          </w:tcPr>
          <w:p w14:paraId="3279005E">
            <w:pPr>
              <w:spacing w:line="540" w:lineRule="exact"/>
              <w:jc w:val="center"/>
              <w:rPr>
                <w:rFonts w:eastAsia="黑体"/>
                <w:color w:val="auto"/>
                <w:sz w:val="28"/>
                <w:szCs w:val="21"/>
                <w:highlight w:val="none"/>
              </w:rPr>
            </w:pPr>
          </w:p>
        </w:tc>
        <w:tc>
          <w:tcPr>
            <w:tcW w:w="776" w:type="dxa"/>
          </w:tcPr>
          <w:p w14:paraId="10D31D1E">
            <w:pPr>
              <w:spacing w:line="540" w:lineRule="exact"/>
              <w:jc w:val="center"/>
              <w:rPr>
                <w:rFonts w:eastAsia="黑体"/>
                <w:color w:val="auto"/>
                <w:sz w:val="28"/>
                <w:szCs w:val="21"/>
                <w:highlight w:val="none"/>
              </w:rPr>
            </w:pPr>
          </w:p>
        </w:tc>
        <w:tc>
          <w:tcPr>
            <w:tcW w:w="3137" w:type="dxa"/>
          </w:tcPr>
          <w:p w14:paraId="3F132DCB">
            <w:pPr>
              <w:spacing w:line="540" w:lineRule="exact"/>
              <w:jc w:val="center"/>
              <w:rPr>
                <w:rFonts w:eastAsia="黑体"/>
                <w:color w:val="auto"/>
                <w:sz w:val="28"/>
                <w:szCs w:val="21"/>
                <w:highlight w:val="none"/>
              </w:rPr>
            </w:pPr>
          </w:p>
        </w:tc>
        <w:tc>
          <w:tcPr>
            <w:tcW w:w="1320" w:type="dxa"/>
          </w:tcPr>
          <w:p w14:paraId="320F8519">
            <w:pPr>
              <w:spacing w:line="540" w:lineRule="exact"/>
              <w:jc w:val="center"/>
              <w:rPr>
                <w:rFonts w:eastAsia="黑体"/>
                <w:color w:val="auto"/>
                <w:sz w:val="28"/>
                <w:szCs w:val="21"/>
                <w:highlight w:val="none"/>
              </w:rPr>
            </w:pPr>
          </w:p>
        </w:tc>
        <w:tc>
          <w:tcPr>
            <w:tcW w:w="1444" w:type="dxa"/>
          </w:tcPr>
          <w:p w14:paraId="2B0F768D">
            <w:pPr>
              <w:spacing w:line="540" w:lineRule="exact"/>
              <w:jc w:val="center"/>
              <w:rPr>
                <w:rFonts w:eastAsia="黑体"/>
                <w:color w:val="auto"/>
                <w:sz w:val="28"/>
                <w:szCs w:val="21"/>
                <w:highlight w:val="none"/>
              </w:rPr>
            </w:pPr>
          </w:p>
        </w:tc>
        <w:tc>
          <w:tcPr>
            <w:tcW w:w="2046" w:type="dxa"/>
          </w:tcPr>
          <w:p w14:paraId="2D64D54D">
            <w:pPr>
              <w:spacing w:line="540" w:lineRule="exact"/>
              <w:jc w:val="center"/>
              <w:rPr>
                <w:rFonts w:eastAsia="黑体"/>
                <w:color w:val="auto"/>
                <w:sz w:val="28"/>
                <w:szCs w:val="21"/>
                <w:highlight w:val="none"/>
              </w:rPr>
            </w:pPr>
          </w:p>
        </w:tc>
      </w:tr>
    </w:tbl>
    <w:p w14:paraId="5615969B">
      <w:pPr>
        <w:spacing w:line="360" w:lineRule="auto"/>
        <w:jc w:val="left"/>
        <w:rPr>
          <w:color w:val="auto"/>
          <w:szCs w:val="21"/>
          <w:highlight w:val="none"/>
        </w:rPr>
      </w:pPr>
    </w:p>
    <w:p w14:paraId="0E362D36">
      <w:pPr>
        <w:spacing w:line="300" w:lineRule="exact"/>
        <w:ind w:left="281" w:leftChars="67" w:right="111" w:rightChars="53" w:hanging="140" w:hangingChars="67"/>
        <w:rPr>
          <w:rFonts w:eastAsia="仿宋_GB2312"/>
          <w:color w:val="auto"/>
          <w:szCs w:val="18"/>
          <w:highlight w:val="none"/>
        </w:rPr>
      </w:pPr>
      <w:r>
        <w:rPr>
          <w:rFonts w:eastAsia="仿宋_GB2312"/>
          <w:color w:val="auto"/>
          <w:szCs w:val="18"/>
          <w:highlight w:val="none"/>
        </w:rPr>
        <w:t>注：本表后应附：</w:t>
      </w:r>
      <w:r>
        <w:rPr>
          <w:rFonts w:hint="eastAsia" w:eastAsia="仿宋_GB2312"/>
          <w:color w:val="auto"/>
          <w:szCs w:val="18"/>
          <w:highlight w:val="none"/>
        </w:rPr>
        <w:t>供应商配置</w:t>
      </w:r>
      <w:r>
        <w:rPr>
          <w:rFonts w:eastAsia="仿宋_GB2312"/>
          <w:color w:val="auto"/>
          <w:szCs w:val="18"/>
          <w:highlight w:val="none"/>
        </w:rPr>
        <w:t>人员证明材料，具体详见评选办法。</w:t>
      </w:r>
    </w:p>
    <w:p w14:paraId="69C46DC7">
      <w:pPr>
        <w:tabs>
          <w:tab w:val="left" w:pos="2000"/>
        </w:tabs>
        <w:autoSpaceDE w:val="0"/>
        <w:autoSpaceDN w:val="0"/>
        <w:adjustRightInd w:val="0"/>
        <w:spacing w:line="500" w:lineRule="exact"/>
        <w:ind w:left="120"/>
        <w:jc w:val="left"/>
        <w:rPr>
          <w:color w:val="auto"/>
          <w:kern w:val="0"/>
          <w:position w:val="-1"/>
          <w:szCs w:val="21"/>
          <w:highlight w:val="none"/>
        </w:rPr>
      </w:pPr>
    </w:p>
    <w:p w14:paraId="6166EF49">
      <w:pPr>
        <w:tabs>
          <w:tab w:val="left" w:pos="2000"/>
        </w:tabs>
        <w:autoSpaceDE w:val="0"/>
        <w:autoSpaceDN w:val="0"/>
        <w:adjustRightInd w:val="0"/>
        <w:spacing w:line="500" w:lineRule="exact"/>
        <w:ind w:left="120"/>
        <w:jc w:val="left"/>
        <w:rPr>
          <w:color w:val="auto"/>
          <w:kern w:val="0"/>
          <w:position w:val="-1"/>
          <w:szCs w:val="21"/>
          <w:highlight w:val="none"/>
        </w:rPr>
      </w:pPr>
    </w:p>
    <w:p w14:paraId="7021F861">
      <w:pPr>
        <w:tabs>
          <w:tab w:val="left" w:pos="2000"/>
        </w:tabs>
        <w:autoSpaceDE w:val="0"/>
        <w:autoSpaceDN w:val="0"/>
        <w:adjustRightInd w:val="0"/>
        <w:spacing w:line="500" w:lineRule="exact"/>
        <w:ind w:left="120"/>
        <w:jc w:val="center"/>
        <w:rPr>
          <w:rFonts w:eastAsia="黑体"/>
          <w:color w:val="auto"/>
          <w:kern w:val="0"/>
          <w:position w:val="-1"/>
          <w:sz w:val="28"/>
          <w:szCs w:val="28"/>
          <w:highlight w:val="none"/>
        </w:rPr>
      </w:pPr>
    </w:p>
    <w:p w14:paraId="1CA6AF2B">
      <w:pPr>
        <w:widowControl/>
        <w:jc w:val="center"/>
        <w:outlineLvl w:val="0"/>
        <w:rPr>
          <w:rFonts w:eastAsia="黑体"/>
          <w:color w:val="auto"/>
          <w:sz w:val="28"/>
          <w:szCs w:val="28"/>
          <w:highlight w:val="none"/>
        </w:rPr>
      </w:pPr>
      <w:r>
        <w:rPr>
          <w:rFonts w:eastAsia="黑体"/>
          <w:color w:val="auto"/>
          <w:kern w:val="0"/>
          <w:position w:val="-1"/>
          <w:sz w:val="28"/>
          <w:szCs w:val="28"/>
          <w:highlight w:val="none"/>
        </w:rPr>
        <w:br w:type="page"/>
      </w:r>
      <w:bookmarkStart w:id="164" w:name="_Toc28205"/>
      <w:r>
        <w:rPr>
          <w:rFonts w:eastAsia="黑体"/>
          <w:color w:val="auto"/>
          <w:sz w:val="28"/>
          <w:szCs w:val="28"/>
          <w:highlight w:val="none"/>
        </w:rPr>
        <w:t>七、</w:t>
      </w:r>
      <w:bookmarkEnd w:id="164"/>
      <w:r>
        <w:rPr>
          <w:rFonts w:eastAsia="黑体"/>
          <w:color w:val="auto"/>
          <w:sz w:val="28"/>
          <w:szCs w:val="28"/>
          <w:highlight w:val="none"/>
        </w:rPr>
        <w:t>咨询服务方案</w:t>
      </w:r>
    </w:p>
    <w:p w14:paraId="5B6662B9">
      <w:pPr>
        <w:spacing w:line="440" w:lineRule="exact"/>
        <w:ind w:firstLine="480" w:firstLineChars="200"/>
        <w:rPr>
          <w:rFonts w:ascii="Times New Roman" w:hAnsi="Times New Roman" w:cs="Times New Roman"/>
          <w:color w:val="auto"/>
          <w:sz w:val="24"/>
          <w:highlight w:val="none"/>
        </w:rPr>
      </w:pPr>
      <w:r>
        <w:rPr>
          <w:rFonts w:ascii="Times New Roman" w:hAnsi="Times New Roman" w:cs="Times New Roman"/>
          <w:color w:val="auto"/>
          <w:sz w:val="24"/>
          <w:highlight w:val="none"/>
        </w:rPr>
        <w:t>供应商应按</w:t>
      </w:r>
      <w:r>
        <w:rPr>
          <w:rFonts w:hint="eastAsia" w:ascii="Times New Roman" w:hAnsi="Times New Roman" w:cs="Times New Roman"/>
          <w:color w:val="auto"/>
          <w:sz w:val="24"/>
          <w:highlight w:val="none"/>
        </w:rPr>
        <w:t>项目特点</w:t>
      </w:r>
      <w:r>
        <w:rPr>
          <w:rFonts w:ascii="Times New Roman" w:hAnsi="Times New Roman" w:cs="Times New Roman"/>
          <w:color w:val="auto"/>
          <w:sz w:val="24"/>
          <w:highlight w:val="none"/>
        </w:rPr>
        <w:t>编制咨询服务方案(文字宜精炼、内容具有针对性)</w:t>
      </w:r>
      <w:r>
        <w:rPr>
          <w:rFonts w:hint="eastAsia" w:ascii="Times New Roman" w:hAnsi="Times New Roman" w:cs="Times New Roman"/>
          <w:color w:val="auto"/>
          <w:sz w:val="24"/>
          <w:highlight w:val="none"/>
        </w:rPr>
        <w:t>。</w:t>
      </w:r>
    </w:p>
    <w:p w14:paraId="4C9EFAFA">
      <w:pPr>
        <w:jc w:val="center"/>
        <w:rPr>
          <w:rFonts w:ascii="宋体" w:hAnsi="宋体"/>
          <w:b/>
          <w:bCs/>
          <w:color w:val="auto"/>
          <w:sz w:val="28"/>
          <w:szCs w:val="32"/>
          <w:highlight w:val="none"/>
        </w:rPr>
      </w:pPr>
    </w:p>
    <w:p w14:paraId="50A5E780">
      <w:pPr>
        <w:jc w:val="center"/>
        <w:rPr>
          <w:rFonts w:ascii="宋体" w:hAnsi="宋体"/>
          <w:b/>
          <w:bCs/>
          <w:color w:val="auto"/>
          <w:sz w:val="28"/>
          <w:szCs w:val="32"/>
          <w:highlight w:val="none"/>
        </w:rPr>
      </w:pPr>
    </w:p>
    <w:p w14:paraId="0E2A4C35">
      <w:pPr>
        <w:jc w:val="center"/>
        <w:rPr>
          <w:rFonts w:ascii="宋体" w:hAnsi="宋体"/>
          <w:b/>
          <w:bCs/>
          <w:color w:val="auto"/>
          <w:sz w:val="28"/>
          <w:szCs w:val="32"/>
          <w:highlight w:val="none"/>
        </w:rPr>
      </w:pPr>
    </w:p>
    <w:p w14:paraId="43DE3567">
      <w:pPr>
        <w:jc w:val="center"/>
        <w:rPr>
          <w:rFonts w:ascii="宋体" w:hAnsi="宋体"/>
          <w:b/>
          <w:bCs/>
          <w:color w:val="auto"/>
          <w:sz w:val="28"/>
          <w:szCs w:val="32"/>
          <w:highlight w:val="none"/>
        </w:rPr>
      </w:pPr>
    </w:p>
    <w:p w14:paraId="653FAA91">
      <w:pPr>
        <w:jc w:val="center"/>
        <w:rPr>
          <w:rFonts w:ascii="宋体" w:hAnsi="宋体"/>
          <w:b/>
          <w:bCs/>
          <w:color w:val="auto"/>
          <w:sz w:val="28"/>
          <w:szCs w:val="32"/>
          <w:highlight w:val="none"/>
        </w:rPr>
      </w:pPr>
    </w:p>
    <w:p w14:paraId="25092BCF">
      <w:pPr>
        <w:jc w:val="center"/>
        <w:rPr>
          <w:rFonts w:ascii="宋体" w:hAnsi="宋体"/>
          <w:b/>
          <w:bCs/>
          <w:color w:val="auto"/>
          <w:sz w:val="28"/>
          <w:szCs w:val="32"/>
          <w:highlight w:val="none"/>
        </w:rPr>
      </w:pPr>
    </w:p>
    <w:p w14:paraId="4F03D56C">
      <w:pPr>
        <w:jc w:val="center"/>
        <w:rPr>
          <w:rFonts w:ascii="宋体" w:hAnsi="宋体"/>
          <w:b/>
          <w:bCs/>
          <w:color w:val="auto"/>
          <w:sz w:val="28"/>
          <w:szCs w:val="32"/>
          <w:highlight w:val="none"/>
        </w:rPr>
      </w:pPr>
    </w:p>
    <w:p w14:paraId="2CF1FB6E">
      <w:pPr>
        <w:jc w:val="center"/>
        <w:rPr>
          <w:rFonts w:ascii="宋体" w:hAnsi="宋体"/>
          <w:b/>
          <w:bCs/>
          <w:color w:val="auto"/>
          <w:sz w:val="28"/>
          <w:szCs w:val="32"/>
          <w:highlight w:val="none"/>
        </w:rPr>
      </w:pPr>
    </w:p>
    <w:p w14:paraId="6E61918D">
      <w:pPr>
        <w:jc w:val="center"/>
        <w:rPr>
          <w:rFonts w:ascii="宋体" w:hAnsi="宋体"/>
          <w:b/>
          <w:bCs/>
          <w:color w:val="auto"/>
          <w:sz w:val="28"/>
          <w:szCs w:val="32"/>
          <w:highlight w:val="none"/>
        </w:rPr>
      </w:pPr>
    </w:p>
    <w:p w14:paraId="69AC4A67">
      <w:pPr>
        <w:jc w:val="center"/>
        <w:rPr>
          <w:rFonts w:ascii="宋体" w:hAnsi="宋体"/>
          <w:b/>
          <w:bCs/>
          <w:color w:val="auto"/>
          <w:sz w:val="28"/>
          <w:szCs w:val="32"/>
          <w:highlight w:val="none"/>
        </w:rPr>
      </w:pPr>
    </w:p>
    <w:p w14:paraId="09418F2B">
      <w:pPr>
        <w:jc w:val="center"/>
        <w:rPr>
          <w:rFonts w:ascii="宋体" w:hAnsi="宋体"/>
          <w:b/>
          <w:bCs/>
          <w:color w:val="auto"/>
          <w:sz w:val="28"/>
          <w:szCs w:val="32"/>
          <w:highlight w:val="none"/>
        </w:rPr>
      </w:pPr>
    </w:p>
    <w:p w14:paraId="6C3B4058">
      <w:pPr>
        <w:jc w:val="center"/>
        <w:rPr>
          <w:rFonts w:ascii="宋体" w:hAnsi="宋体"/>
          <w:b/>
          <w:bCs/>
          <w:color w:val="auto"/>
          <w:sz w:val="28"/>
          <w:szCs w:val="32"/>
          <w:highlight w:val="none"/>
        </w:rPr>
      </w:pPr>
    </w:p>
    <w:p w14:paraId="0E6CADFF">
      <w:pPr>
        <w:jc w:val="center"/>
        <w:rPr>
          <w:rFonts w:ascii="宋体" w:hAnsi="宋体"/>
          <w:b/>
          <w:bCs/>
          <w:color w:val="auto"/>
          <w:sz w:val="28"/>
          <w:szCs w:val="32"/>
          <w:highlight w:val="none"/>
        </w:rPr>
      </w:pPr>
    </w:p>
    <w:p w14:paraId="4EF58C82">
      <w:pPr>
        <w:jc w:val="center"/>
        <w:rPr>
          <w:rFonts w:ascii="宋体" w:hAnsi="宋体"/>
          <w:b/>
          <w:bCs/>
          <w:color w:val="auto"/>
          <w:sz w:val="28"/>
          <w:szCs w:val="32"/>
          <w:highlight w:val="none"/>
        </w:rPr>
      </w:pPr>
    </w:p>
    <w:p w14:paraId="2A0C0BCD">
      <w:pPr>
        <w:jc w:val="center"/>
        <w:rPr>
          <w:rFonts w:ascii="宋体" w:hAnsi="宋体"/>
          <w:b/>
          <w:bCs/>
          <w:color w:val="auto"/>
          <w:sz w:val="28"/>
          <w:szCs w:val="32"/>
          <w:highlight w:val="none"/>
        </w:rPr>
      </w:pPr>
    </w:p>
    <w:p w14:paraId="276385FE">
      <w:pPr>
        <w:jc w:val="center"/>
        <w:rPr>
          <w:rFonts w:ascii="宋体" w:hAnsi="宋体"/>
          <w:b/>
          <w:bCs/>
          <w:color w:val="auto"/>
          <w:sz w:val="28"/>
          <w:szCs w:val="32"/>
          <w:highlight w:val="none"/>
        </w:rPr>
      </w:pPr>
    </w:p>
    <w:p w14:paraId="5C1118A4">
      <w:pPr>
        <w:jc w:val="center"/>
        <w:rPr>
          <w:rFonts w:ascii="宋体" w:hAnsi="宋体"/>
          <w:b/>
          <w:bCs/>
          <w:color w:val="auto"/>
          <w:sz w:val="28"/>
          <w:szCs w:val="32"/>
          <w:highlight w:val="none"/>
        </w:rPr>
      </w:pPr>
    </w:p>
    <w:p w14:paraId="4513667D">
      <w:pPr>
        <w:jc w:val="center"/>
        <w:rPr>
          <w:rFonts w:ascii="宋体" w:hAnsi="宋体"/>
          <w:b/>
          <w:bCs/>
          <w:color w:val="auto"/>
          <w:sz w:val="28"/>
          <w:szCs w:val="32"/>
          <w:highlight w:val="none"/>
        </w:rPr>
      </w:pPr>
    </w:p>
    <w:p w14:paraId="28940D34">
      <w:pPr>
        <w:jc w:val="center"/>
        <w:rPr>
          <w:rFonts w:ascii="宋体" w:hAnsi="宋体"/>
          <w:b/>
          <w:bCs/>
          <w:color w:val="auto"/>
          <w:sz w:val="28"/>
          <w:szCs w:val="32"/>
          <w:highlight w:val="none"/>
        </w:rPr>
      </w:pPr>
    </w:p>
    <w:p w14:paraId="2308C2CC">
      <w:pPr>
        <w:jc w:val="center"/>
        <w:rPr>
          <w:rFonts w:ascii="宋体" w:hAnsi="宋体"/>
          <w:b/>
          <w:bCs/>
          <w:color w:val="auto"/>
          <w:sz w:val="28"/>
          <w:szCs w:val="32"/>
          <w:highlight w:val="none"/>
        </w:rPr>
        <w:sectPr>
          <w:footnotePr>
            <w:numFmt w:val="decimalEnclosedCircleChinese"/>
            <w:numRestart w:val="eachPage"/>
          </w:footnotePr>
          <w:pgSz w:w="12240" w:h="15840"/>
          <w:pgMar w:top="1417" w:right="1417" w:bottom="1417" w:left="1417" w:header="720" w:footer="720" w:gutter="0"/>
          <w:cols w:space="720" w:num="1"/>
          <w:docGrid w:linePitch="312" w:charSpace="0"/>
        </w:sectPr>
      </w:pPr>
    </w:p>
    <w:bookmarkEnd w:id="152"/>
    <w:bookmarkEnd w:id="153"/>
    <w:bookmarkEnd w:id="154"/>
    <w:bookmarkEnd w:id="155"/>
    <w:bookmarkEnd w:id="156"/>
    <w:p w14:paraId="2CA89D4C">
      <w:pPr>
        <w:jc w:val="center"/>
        <w:outlineLvl w:val="0"/>
        <w:rPr>
          <w:rFonts w:ascii="宋体" w:hAnsi="宋体"/>
          <w:b/>
          <w:bCs/>
          <w:color w:val="auto"/>
          <w:sz w:val="28"/>
          <w:szCs w:val="32"/>
          <w:highlight w:val="none"/>
        </w:rPr>
        <w:sectPr>
          <w:footnotePr>
            <w:numFmt w:val="decimalEnclosedCircleChinese"/>
            <w:numRestart w:val="eachPage"/>
          </w:footnotePr>
          <w:pgSz w:w="12240" w:h="15840"/>
          <w:pgMar w:top="1417" w:right="1417" w:bottom="1417" w:left="1417" w:header="720" w:footer="720" w:gutter="0"/>
          <w:cols w:space="720" w:num="1"/>
          <w:docGrid w:linePitch="312" w:charSpace="0"/>
        </w:sectPr>
      </w:pPr>
      <w:bookmarkStart w:id="165" w:name="_Toc10959"/>
      <w:bookmarkStart w:id="166" w:name="_Toc513734822"/>
      <w:bookmarkStart w:id="167" w:name="_Toc1000"/>
      <w:r>
        <w:rPr>
          <w:rFonts w:hint="eastAsia" w:ascii="宋体" w:hAnsi="宋体"/>
          <w:b/>
          <w:bCs/>
          <w:color w:val="auto"/>
          <w:sz w:val="28"/>
          <w:szCs w:val="32"/>
          <w:highlight w:val="none"/>
        </w:rPr>
        <w:t>八、服务承诺（供应商自行承诺，格式自拟）</w:t>
      </w:r>
      <w:bookmarkEnd w:id="165"/>
    </w:p>
    <w:p w14:paraId="4FEED421">
      <w:pPr>
        <w:jc w:val="center"/>
        <w:outlineLvl w:val="0"/>
        <w:rPr>
          <w:rFonts w:ascii="黑体" w:hAnsi="黑体" w:eastAsia="黑体"/>
          <w:b/>
          <w:bCs/>
          <w:color w:val="auto"/>
          <w:sz w:val="28"/>
          <w:szCs w:val="32"/>
          <w:highlight w:val="none"/>
        </w:rPr>
      </w:pPr>
      <w:bookmarkStart w:id="168" w:name="_Toc1646"/>
      <w:r>
        <w:rPr>
          <w:rFonts w:hint="eastAsia" w:ascii="宋体" w:hAnsi="宋体"/>
          <w:b/>
          <w:bCs/>
          <w:color w:val="auto"/>
          <w:sz w:val="28"/>
          <w:szCs w:val="32"/>
          <w:highlight w:val="none"/>
        </w:rPr>
        <w:t>九、</w:t>
      </w:r>
      <w:bookmarkEnd w:id="166"/>
      <w:bookmarkEnd w:id="167"/>
      <w:r>
        <w:rPr>
          <w:rFonts w:hint="eastAsia" w:ascii="宋体" w:hAnsi="宋体"/>
          <w:b/>
          <w:bCs/>
          <w:color w:val="auto"/>
          <w:sz w:val="28"/>
          <w:szCs w:val="32"/>
          <w:highlight w:val="none"/>
        </w:rPr>
        <w:t>近三年无行贿犯罪行为承诺书</w:t>
      </w:r>
      <w:bookmarkEnd w:id="168"/>
      <w:r>
        <w:rPr>
          <w:rFonts w:ascii="黑体" w:hAnsi="黑体" w:eastAsia="黑体"/>
          <w:b/>
          <w:bCs/>
          <w:color w:val="auto"/>
          <w:sz w:val="28"/>
          <w:szCs w:val="32"/>
          <w:highlight w:val="none"/>
        </w:rPr>
        <w:tab/>
      </w:r>
    </w:p>
    <w:p w14:paraId="1378D6AB">
      <w:pPr>
        <w:widowControl/>
        <w:shd w:val="clear" w:color="auto" w:fill="FFFFFF"/>
        <w:spacing w:line="560" w:lineRule="atLeast"/>
        <w:jc w:val="left"/>
        <w:rPr>
          <w:rFonts w:ascii="宋体" w:hAnsi="宋体" w:cs="宋体"/>
          <w:color w:val="auto"/>
          <w:sz w:val="24"/>
          <w:highlight w:val="none"/>
        </w:rPr>
      </w:pPr>
      <w:r>
        <w:rPr>
          <w:rFonts w:hint="eastAsia" w:ascii="宋体" w:hAnsi="宋体" w:cs="宋体"/>
          <w:color w:val="auto"/>
          <w:kern w:val="0"/>
          <w:sz w:val="24"/>
          <w:highlight w:val="none"/>
          <w:shd w:val="clear" w:color="auto" w:fill="FFFFFF"/>
        </w:rPr>
        <w:t>本人以企业法定代表人的身份郑重承诺：</w:t>
      </w:r>
    </w:p>
    <w:p w14:paraId="77C6C9EE">
      <w:pPr>
        <w:widowControl/>
        <w:shd w:val="clear" w:color="auto" w:fill="FFFFFF"/>
        <w:spacing w:line="560" w:lineRule="atLeast"/>
        <w:ind w:firstLine="640"/>
        <w:jc w:val="left"/>
        <w:rPr>
          <w:rFonts w:ascii="宋体" w:hAnsi="宋体" w:cs="宋体"/>
          <w:color w:val="auto"/>
          <w:sz w:val="24"/>
          <w:highlight w:val="none"/>
        </w:rPr>
      </w:pPr>
      <w:r>
        <w:rPr>
          <w:rFonts w:hint="eastAsia" w:ascii="宋体" w:hAnsi="宋体" w:cs="宋体"/>
          <w:color w:val="auto"/>
          <w:kern w:val="0"/>
          <w:sz w:val="24"/>
          <w:highlight w:val="none"/>
          <w:shd w:val="clear" w:color="auto" w:fill="FFFFFF"/>
        </w:rPr>
        <w:t>本公司、公司法定代表人及其项目负责人近三年无行贿犯罪行为，愿意接受社会各界监督。</w:t>
      </w:r>
    </w:p>
    <w:p w14:paraId="32E20B73">
      <w:pPr>
        <w:widowControl/>
        <w:shd w:val="clear" w:color="auto" w:fill="FFFFFF"/>
        <w:spacing w:line="560" w:lineRule="atLeast"/>
        <w:ind w:firstLine="640"/>
        <w:jc w:val="left"/>
        <w:rPr>
          <w:rFonts w:ascii="宋体" w:hAnsi="宋体" w:cs="宋体"/>
          <w:color w:val="auto"/>
          <w:kern w:val="0"/>
          <w:sz w:val="24"/>
          <w:highlight w:val="none"/>
          <w:shd w:val="clear" w:color="auto" w:fill="FFFFFF"/>
        </w:rPr>
      </w:pPr>
      <w:r>
        <w:rPr>
          <w:rFonts w:hint="eastAsia" w:ascii="宋体" w:hAnsi="宋体" w:cs="宋体"/>
          <w:color w:val="auto"/>
          <w:kern w:val="0"/>
          <w:sz w:val="24"/>
          <w:highlight w:val="none"/>
          <w:shd w:val="clear" w:color="auto" w:fill="FFFFFF"/>
        </w:rPr>
        <w:t>本公司、法定代表人及其项目负责人若有违反承诺内容的行为，自愿接受取消参选资格、记入信用档案、取消中选资格等有关处理，愿意承担法律责任，给采购人造成损失的，依法承担赔偿责任。</w:t>
      </w:r>
    </w:p>
    <w:p w14:paraId="36DBE853">
      <w:pPr>
        <w:widowControl/>
        <w:shd w:val="clear" w:color="auto" w:fill="FFFFFF"/>
        <w:spacing w:line="560" w:lineRule="atLeast"/>
        <w:ind w:firstLine="640"/>
        <w:jc w:val="left"/>
        <w:rPr>
          <w:rFonts w:ascii="宋体" w:hAnsi="宋体" w:cs="宋体"/>
          <w:color w:val="auto"/>
          <w:kern w:val="0"/>
          <w:sz w:val="24"/>
          <w:highlight w:val="none"/>
          <w:shd w:val="clear" w:color="auto" w:fill="FFFFFF"/>
        </w:rPr>
      </w:pPr>
    </w:p>
    <w:p w14:paraId="5A890690">
      <w:pPr>
        <w:widowControl/>
        <w:shd w:val="clear" w:color="auto" w:fill="FFFFFF"/>
        <w:spacing w:line="560" w:lineRule="atLeast"/>
        <w:ind w:firstLine="640"/>
        <w:jc w:val="left"/>
        <w:rPr>
          <w:rFonts w:ascii="宋体" w:hAnsi="宋体" w:cs="宋体"/>
          <w:color w:val="auto"/>
          <w:kern w:val="0"/>
          <w:sz w:val="24"/>
          <w:highlight w:val="none"/>
          <w:shd w:val="clear" w:color="auto" w:fill="FFFFFF"/>
        </w:rPr>
      </w:pPr>
    </w:p>
    <w:p w14:paraId="7CAC6D56">
      <w:pPr>
        <w:widowControl/>
        <w:shd w:val="clear" w:color="auto" w:fill="FFFFFF"/>
        <w:spacing w:line="560" w:lineRule="atLeast"/>
        <w:ind w:firstLine="640"/>
        <w:jc w:val="left"/>
        <w:rPr>
          <w:rFonts w:ascii="宋体" w:hAnsi="宋体" w:cs="宋体"/>
          <w:color w:val="auto"/>
          <w:kern w:val="0"/>
          <w:sz w:val="24"/>
          <w:highlight w:val="none"/>
          <w:shd w:val="clear" w:color="auto" w:fill="FFFFFF"/>
        </w:rPr>
      </w:pPr>
    </w:p>
    <w:p w14:paraId="385D2074">
      <w:pPr>
        <w:widowControl/>
        <w:shd w:val="clear" w:color="auto" w:fill="FFFFFF"/>
        <w:spacing w:line="560" w:lineRule="atLeast"/>
        <w:ind w:firstLine="640"/>
        <w:jc w:val="left"/>
        <w:rPr>
          <w:rFonts w:ascii="宋体" w:hAnsi="宋体" w:cs="宋体"/>
          <w:color w:val="auto"/>
          <w:kern w:val="0"/>
          <w:sz w:val="24"/>
          <w:highlight w:val="none"/>
          <w:shd w:val="clear" w:color="auto" w:fill="FFFFFF"/>
        </w:rPr>
      </w:pPr>
    </w:p>
    <w:p w14:paraId="628C1F54">
      <w:pPr>
        <w:widowControl/>
        <w:shd w:val="clear" w:color="auto" w:fill="FFFFFF"/>
        <w:spacing w:line="560" w:lineRule="atLeast"/>
        <w:ind w:firstLine="640"/>
        <w:jc w:val="left"/>
        <w:rPr>
          <w:rFonts w:ascii="宋体" w:hAnsi="宋体" w:cs="宋体"/>
          <w:color w:val="auto"/>
          <w:kern w:val="0"/>
          <w:sz w:val="24"/>
          <w:highlight w:val="none"/>
          <w:shd w:val="clear" w:color="auto" w:fill="FFFFFF"/>
        </w:rPr>
      </w:pPr>
    </w:p>
    <w:p w14:paraId="314809BD">
      <w:pPr>
        <w:widowControl/>
        <w:shd w:val="clear" w:color="auto" w:fill="FFFFFF"/>
        <w:spacing w:line="560" w:lineRule="atLeast"/>
        <w:ind w:firstLine="640"/>
        <w:jc w:val="left"/>
        <w:rPr>
          <w:rFonts w:ascii="宋体" w:hAnsi="宋体" w:cs="宋体"/>
          <w:color w:val="auto"/>
          <w:kern w:val="0"/>
          <w:sz w:val="24"/>
          <w:highlight w:val="none"/>
          <w:shd w:val="clear" w:color="auto" w:fill="FFFFFF"/>
        </w:rPr>
      </w:pPr>
    </w:p>
    <w:p w14:paraId="084EEAC9">
      <w:pPr>
        <w:widowControl/>
        <w:shd w:val="clear" w:color="auto" w:fill="FFFFFF"/>
        <w:spacing w:line="560" w:lineRule="atLeast"/>
        <w:ind w:firstLine="420"/>
        <w:jc w:val="left"/>
        <w:rPr>
          <w:rFonts w:ascii="宋体" w:hAnsi="宋体" w:cs="宋体"/>
          <w:color w:val="auto"/>
          <w:sz w:val="24"/>
          <w:highlight w:val="none"/>
        </w:rPr>
      </w:pPr>
      <w:r>
        <w:rPr>
          <w:rFonts w:hint="eastAsia" w:ascii="宋体" w:hAnsi="宋体" w:cs="宋体"/>
          <w:color w:val="auto"/>
          <w:kern w:val="0"/>
          <w:sz w:val="24"/>
          <w:highlight w:val="none"/>
          <w:shd w:val="clear" w:color="auto" w:fill="FFFFFF"/>
        </w:rPr>
        <w:t> </w:t>
      </w:r>
    </w:p>
    <w:p w14:paraId="6C1397C8">
      <w:pPr>
        <w:widowControl/>
        <w:shd w:val="clear" w:color="auto" w:fill="FFFFFF"/>
        <w:spacing w:line="560" w:lineRule="atLeast"/>
        <w:ind w:firstLine="420"/>
        <w:jc w:val="center"/>
        <w:rPr>
          <w:rFonts w:ascii="宋体" w:hAnsi="宋体" w:cs="宋体"/>
          <w:color w:val="auto"/>
          <w:kern w:val="0"/>
          <w:sz w:val="24"/>
          <w:highlight w:val="none"/>
          <w:shd w:val="clear" w:color="auto" w:fill="FFFFFF"/>
        </w:rPr>
      </w:pPr>
      <w:r>
        <w:rPr>
          <w:rFonts w:hint="eastAsia" w:ascii="宋体" w:hAnsi="宋体" w:cs="宋体"/>
          <w:color w:val="auto"/>
          <w:kern w:val="0"/>
          <w:sz w:val="24"/>
          <w:highlight w:val="none"/>
          <w:shd w:val="clear" w:color="auto" w:fill="FFFFFF"/>
        </w:rPr>
        <w:t xml:space="preserve">                    法定代表人（签字或盖章）：</w:t>
      </w:r>
    </w:p>
    <w:p w14:paraId="14A8290B">
      <w:pPr>
        <w:rPr>
          <w:rFonts w:ascii="宋体" w:hAnsi="宋体" w:cs="宋体"/>
          <w:color w:val="auto"/>
          <w:sz w:val="24"/>
          <w:highlight w:val="none"/>
        </w:rPr>
      </w:pPr>
    </w:p>
    <w:p w14:paraId="4A74501A">
      <w:pPr>
        <w:widowControl/>
        <w:shd w:val="clear" w:color="auto" w:fill="FFFFFF"/>
        <w:spacing w:line="560" w:lineRule="atLeast"/>
        <w:ind w:firstLine="420"/>
        <w:jc w:val="center"/>
        <w:rPr>
          <w:rFonts w:ascii="宋体" w:hAnsi="宋体" w:cs="宋体"/>
          <w:color w:val="auto"/>
          <w:kern w:val="0"/>
          <w:sz w:val="24"/>
          <w:highlight w:val="none"/>
          <w:shd w:val="clear" w:color="auto" w:fill="FFFFFF"/>
        </w:rPr>
      </w:pPr>
      <w:r>
        <w:rPr>
          <w:rFonts w:hint="eastAsia" w:ascii="宋体" w:hAnsi="宋体" w:cs="宋体"/>
          <w:color w:val="auto"/>
          <w:kern w:val="0"/>
          <w:sz w:val="24"/>
          <w:highlight w:val="none"/>
          <w:shd w:val="clear" w:color="auto" w:fill="FFFFFF"/>
        </w:rPr>
        <w:t xml:space="preserve">                     供应商名称（加盖公章）：</w:t>
      </w:r>
    </w:p>
    <w:p w14:paraId="4B25498C">
      <w:pPr>
        <w:rPr>
          <w:rFonts w:ascii="宋体" w:hAnsi="宋体" w:cs="宋体"/>
          <w:color w:val="auto"/>
          <w:sz w:val="24"/>
          <w:highlight w:val="none"/>
        </w:rPr>
      </w:pPr>
    </w:p>
    <w:p w14:paraId="2A7CD76F">
      <w:pPr>
        <w:widowControl/>
        <w:shd w:val="clear" w:color="auto" w:fill="FFFFFF"/>
        <w:wordWrap w:val="0"/>
        <w:spacing w:line="560" w:lineRule="atLeast"/>
        <w:ind w:right="150" w:firstLine="420"/>
        <w:jc w:val="right"/>
        <w:rPr>
          <w:rFonts w:ascii="宋体" w:hAnsi="宋体" w:cs="宋体"/>
          <w:color w:val="auto"/>
          <w:sz w:val="24"/>
          <w:highlight w:val="none"/>
        </w:rPr>
      </w:pPr>
      <w:r>
        <w:rPr>
          <w:rFonts w:hint="eastAsia" w:ascii="宋体" w:hAnsi="宋体" w:cs="宋体"/>
          <w:color w:val="auto"/>
          <w:kern w:val="0"/>
          <w:sz w:val="24"/>
          <w:highlight w:val="none"/>
          <w:shd w:val="clear" w:color="auto" w:fill="FFFFFF"/>
        </w:rPr>
        <w:t>年   月  日</w:t>
      </w:r>
    </w:p>
    <w:bookmarkEnd w:id="157"/>
    <w:bookmarkEnd w:id="158"/>
    <w:bookmarkEnd w:id="159"/>
    <w:p w14:paraId="54736546">
      <w:pPr>
        <w:jc w:val="center"/>
        <w:rPr>
          <w:rFonts w:ascii="宋体" w:hAnsi="宋体"/>
          <w:b/>
          <w:bCs/>
          <w:color w:val="auto"/>
          <w:sz w:val="28"/>
          <w:szCs w:val="32"/>
          <w:highlight w:val="none"/>
        </w:rPr>
      </w:pPr>
      <w:bookmarkStart w:id="169" w:name="_Toc256179545"/>
      <w:bookmarkStart w:id="170" w:name="_Toc521537240"/>
      <w:bookmarkStart w:id="171" w:name="_Toc447188037"/>
    </w:p>
    <w:p w14:paraId="5FFDA845">
      <w:pPr>
        <w:jc w:val="center"/>
        <w:rPr>
          <w:rFonts w:ascii="宋体" w:hAnsi="宋体"/>
          <w:b/>
          <w:bCs/>
          <w:color w:val="auto"/>
          <w:sz w:val="28"/>
          <w:szCs w:val="32"/>
          <w:highlight w:val="none"/>
        </w:rPr>
      </w:pPr>
    </w:p>
    <w:p w14:paraId="247E7AAE">
      <w:pPr>
        <w:jc w:val="center"/>
        <w:rPr>
          <w:rFonts w:ascii="宋体" w:hAnsi="宋体"/>
          <w:b/>
          <w:bCs/>
          <w:color w:val="auto"/>
          <w:sz w:val="28"/>
          <w:szCs w:val="32"/>
          <w:highlight w:val="none"/>
        </w:rPr>
      </w:pPr>
    </w:p>
    <w:p w14:paraId="575B9E0A">
      <w:pPr>
        <w:rPr>
          <w:rFonts w:ascii="宋体" w:hAnsi="宋体"/>
          <w:b/>
          <w:bCs/>
          <w:color w:val="auto"/>
          <w:sz w:val="28"/>
          <w:szCs w:val="32"/>
          <w:highlight w:val="none"/>
        </w:rPr>
      </w:pPr>
    </w:p>
    <w:p w14:paraId="01E7789E">
      <w:pPr>
        <w:rPr>
          <w:rFonts w:ascii="宋体" w:hAnsi="宋体"/>
          <w:b/>
          <w:bCs/>
          <w:color w:val="auto"/>
          <w:sz w:val="28"/>
          <w:szCs w:val="32"/>
          <w:highlight w:val="none"/>
        </w:rPr>
      </w:pPr>
    </w:p>
    <w:p w14:paraId="6746FF2D">
      <w:pPr>
        <w:jc w:val="center"/>
        <w:rPr>
          <w:rFonts w:ascii="宋体" w:hAnsi="宋体"/>
          <w:b/>
          <w:bCs/>
          <w:color w:val="auto"/>
          <w:sz w:val="28"/>
          <w:szCs w:val="32"/>
          <w:highlight w:val="none"/>
        </w:rPr>
        <w:sectPr>
          <w:footnotePr>
            <w:numFmt w:val="decimalEnclosedCircleChinese"/>
            <w:numRestart w:val="eachPage"/>
          </w:footnotePr>
          <w:pgSz w:w="12240" w:h="15840"/>
          <w:pgMar w:top="1417" w:right="1417" w:bottom="1417" w:left="1417" w:header="720" w:footer="720" w:gutter="0"/>
          <w:cols w:space="720" w:num="1"/>
          <w:docGrid w:linePitch="312" w:charSpace="0"/>
        </w:sectPr>
      </w:pPr>
    </w:p>
    <w:p w14:paraId="16F5EF67">
      <w:pPr>
        <w:jc w:val="center"/>
        <w:outlineLvl w:val="0"/>
        <w:rPr>
          <w:rFonts w:ascii="宋体" w:hAnsi="宋体"/>
          <w:b/>
          <w:bCs/>
          <w:color w:val="auto"/>
          <w:sz w:val="28"/>
          <w:szCs w:val="32"/>
          <w:highlight w:val="none"/>
        </w:rPr>
      </w:pPr>
      <w:bookmarkStart w:id="172" w:name="_Toc18927"/>
      <w:r>
        <w:rPr>
          <w:rFonts w:hint="eastAsia" w:ascii="宋体" w:hAnsi="宋体"/>
          <w:b/>
          <w:bCs/>
          <w:color w:val="auto"/>
          <w:sz w:val="28"/>
          <w:szCs w:val="32"/>
          <w:highlight w:val="none"/>
        </w:rPr>
        <w:t>十、其他</w:t>
      </w:r>
      <w:bookmarkEnd w:id="169"/>
      <w:bookmarkEnd w:id="170"/>
      <w:bookmarkEnd w:id="171"/>
      <w:r>
        <w:rPr>
          <w:rFonts w:hint="eastAsia" w:ascii="宋体" w:hAnsi="宋体"/>
          <w:b/>
          <w:bCs/>
          <w:color w:val="auto"/>
          <w:sz w:val="28"/>
          <w:szCs w:val="32"/>
          <w:highlight w:val="none"/>
        </w:rPr>
        <w:t>资料</w:t>
      </w:r>
      <w:bookmarkEnd w:id="172"/>
    </w:p>
    <w:p w14:paraId="46C09CE6">
      <w:pPr>
        <w:tabs>
          <w:tab w:val="left" w:pos="4620"/>
        </w:tabs>
        <w:spacing w:line="360" w:lineRule="auto"/>
        <w:ind w:firstLine="480" w:firstLineChars="200"/>
        <w:rPr>
          <w:rFonts w:ascii="宋体" w:hAnsi="宋体"/>
          <w:b/>
          <w:bCs/>
          <w:color w:val="auto"/>
          <w:sz w:val="24"/>
          <w:highlight w:val="none"/>
        </w:rPr>
      </w:pPr>
      <w:r>
        <w:rPr>
          <w:rFonts w:hint="eastAsia" w:ascii="宋体" w:hAnsi="宋体"/>
          <w:color w:val="auto"/>
          <w:sz w:val="24"/>
          <w:highlight w:val="none"/>
        </w:rPr>
        <w:t>1.在国家企业信用信息公示系统（http://www.gsxt.gov.cn）中未被列入严重违法失信企业名单的截图</w:t>
      </w:r>
      <w:r>
        <w:rPr>
          <w:rFonts w:hint="eastAsia" w:ascii="宋体" w:hAnsi="宋体"/>
          <w:b/>
          <w:bCs/>
          <w:color w:val="auto"/>
          <w:sz w:val="24"/>
          <w:highlight w:val="none"/>
        </w:rPr>
        <w:t>；</w:t>
      </w:r>
    </w:p>
    <w:p w14:paraId="44AF1F6E">
      <w:pPr>
        <w:tabs>
          <w:tab w:val="left" w:pos="4620"/>
        </w:tabs>
        <w:spacing w:line="360" w:lineRule="auto"/>
        <w:ind w:firstLine="480" w:firstLineChars="200"/>
        <w:rPr>
          <w:rFonts w:ascii="宋体" w:hAnsi="宋体"/>
          <w:b/>
          <w:bCs/>
          <w:color w:val="auto"/>
          <w:sz w:val="24"/>
          <w:highlight w:val="none"/>
        </w:rPr>
      </w:pPr>
      <w:r>
        <w:rPr>
          <w:rFonts w:hint="eastAsia" w:ascii="宋体" w:hAnsi="宋体"/>
          <w:color w:val="auto"/>
          <w:sz w:val="24"/>
          <w:highlight w:val="none"/>
        </w:rPr>
        <w:t>2.在中国执行信息公开网（http://zxgk.court.gov.cn/index.jsp）</w:t>
      </w:r>
      <w:r>
        <w:rPr>
          <w:rFonts w:hint="eastAsia" w:ascii="宋体" w:hAnsi="宋体" w:cs="宋体"/>
          <w:color w:val="auto"/>
          <w:sz w:val="24"/>
          <w:highlight w:val="none"/>
        </w:rPr>
        <w:t>中未被列入失信被执行人名单</w:t>
      </w:r>
      <w:r>
        <w:rPr>
          <w:rFonts w:hint="eastAsia" w:ascii="宋体" w:hAnsi="宋体"/>
          <w:color w:val="auto"/>
          <w:sz w:val="24"/>
          <w:highlight w:val="none"/>
        </w:rPr>
        <w:t>的截图</w:t>
      </w:r>
      <w:r>
        <w:rPr>
          <w:rFonts w:hint="eastAsia" w:ascii="宋体" w:hAnsi="宋体"/>
          <w:b/>
          <w:bCs/>
          <w:color w:val="auto"/>
          <w:sz w:val="24"/>
          <w:highlight w:val="none"/>
        </w:rPr>
        <w:t>；</w:t>
      </w:r>
    </w:p>
    <w:p w14:paraId="0F57E03A">
      <w:pPr>
        <w:spacing w:beforeLines="20" w:afterLines="20" w:line="360" w:lineRule="auto"/>
        <w:ind w:firstLine="480" w:firstLineChars="200"/>
        <w:rPr>
          <w:rFonts w:ascii="宋体" w:hAnsi="宋体"/>
          <w:color w:val="auto"/>
          <w:sz w:val="24"/>
          <w:highlight w:val="none"/>
        </w:rPr>
      </w:pPr>
      <w:r>
        <w:rPr>
          <w:rFonts w:hint="eastAsia" w:ascii="宋体" w:hAnsi="宋体"/>
          <w:color w:val="auto"/>
          <w:sz w:val="24"/>
          <w:highlight w:val="none"/>
        </w:rPr>
        <w:t>3.其他材料（根据询比文件自行提供）。</w:t>
      </w:r>
    </w:p>
    <w:p w14:paraId="74C8F9C3">
      <w:pPr>
        <w:rPr>
          <w:rFonts w:ascii="宋体" w:hAnsi="宋体" w:cs="宋体"/>
          <w:color w:val="auto"/>
          <w:sz w:val="24"/>
          <w:highlight w:val="none"/>
        </w:rPr>
      </w:pPr>
    </w:p>
    <w:p w14:paraId="7A96AD7A">
      <w:pPr>
        <w:pStyle w:val="13"/>
        <w:rPr>
          <w:rFonts w:ascii="Times New Roman" w:hAnsi="Times New Roman"/>
          <w:color w:val="auto"/>
          <w:highlight w:val="none"/>
          <w:u w:val="single"/>
        </w:rPr>
      </w:pPr>
    </w:p>
    <w:p w14:paraId="09A247A5">
      <w:pPr>
        <w:pStyle w:val="13"/>
        <w:jc w:val="left"/>
        <w:rPr>
          <w:color w:val="auto"/>
          <w:highlight w:val="none"/>
        </w:rPr>
      </w:pPr>
    </w:p>
    <w:sectPr>
      <w:headerReference r:id="rId7" w:type="default"/>
      <w:footerReference r:id="rId8" w:type="default"/>
      <w:pgSz w:w="11906" w:h="16838"/>
      <w:pgMar w:top="1417" w:right="1417" w:bottom="1417" w:left="141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Fang Song">
    <w:altName w:val="宋体"/>
    <w:panose1 w:val="00000000000000000000"/>
    <w:charset w:val="86"/>
    <w:family w:val="auto"/>
    <w:pitch w:val="default"/>
    <w:sig w:usb0="00000000" w:usb1="0000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7A666B">
    <w:pPr>
      <w:pStyle w:val="17"/>
      <w:ind w:firstLine="360"/>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Quad Arrow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436E8D99">
                          <w:pPr>
                            <w:pStyle w:val="17"/>
                            <w:ind w:firstLine="360"/>
                          </w:pPr>
                          <w:r>
                            <w:fldChar w:fldCharType="begin"/>
                          </w:r>
                          <w:r>
                            <w:instrText xml:space="preserve"> PAGE  \* MERGEFORMAT </w:instrText>
                          </w:r>
                          <w:r>
                            <w:fldChar w:fldCharType="separate"/>
                          </w:r>
                          <w:r>
                            <w:t>20</w:t>
                          </w:r>
                          <w:r>
                            <w:fldChar w:fldCharType="end"/>
                          </w:r>
                        </w:p>
                      </w:txbxContent>
                    </wps:txbx>
                    <wps:bodyPr wrap="none" lIns="0" tIns="0" rIns="0" bIns="0" upright="1">
                      <a:spAutoFit/>
                    </wps:bodyPr>
                  </wps:wsp>
                </a:graphicData>
              </a:graphic>
            </wp:anchor>
          </w:drawing>
        </mc:Choice>
        <mc:Fallback>
          <w:pict>
            <v:shape id="Quad Arrow 2"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cAwDFsEBAACoAwAADgAAAAAAAAABACAAAAAeAQAAZHJzL2Uyb0RvYy54bWxQSwUG&#10;AAAAAAYABgBZAQAAUQUAAAAA&#10;">
              <v:fill on="f" focussize="0,0"/>
              <v:stroke on="f"/>
              <v:imagedata o:title=""/>
              <o:lock v:ext="edit" aspectratio="f"/>
              <v:textbox inset="0mm,0mm,0mm,0mm" style="mso-fit-shape-to-text:t;">
                <w:txbxContent>
                  <w:p w14:paraId="436E8D99">
                    <w:pPr>
                      <w:pStyle w:val="17"/>
                      <w:ind w:firstLine="360"/>
                    </w:pPr>
                    <w:r>
                      <w:fldChar w:fldCharType="begin"/>
                    </w:r>
                    <w:r>
                      <w:instrText xml:space="preserve"> PAGE  \* MERGEFORMAT </w:instrText>
                    </w:r>
                    <w:r>
                      <w:fldChar w:fldCharType="separate"/>
                    </w:r>
                    <w:r>
                      <w:t>20</w:t>
                    </w:r>
                    <w:r>
                      <w:fldChar w:fldCharType="end"/>
                    </w:r>
                  </w:p>
                </w:txbxContent>
              </v:textbox>
            </v:shape>
          </w:pict>
        </mc:Fallback>
      </mc:AlternateContent>
    </w:r>
  </w:p>
  <w:p w14:paraId="76824F54">
    <w:pPr>
      <w:pStyle w:val="17"/>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2A7CA8">
    <w:pPr>
      <w:pStyle w:val="17"/>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103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1ACA09D2">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39</w:t>
                          </w:r>
                          <w:r>
                            <w:rPr>
                              <w:rFonts w:hint="eastAsia"/>
                              <w:sz w:val="18"/>
                            </w:rPr>
                            <w:fldChar w:fldCharType="end"/>
                          </w:r>
                        </w:p>
                      </w:txbxContent>
                    </wps:txbx>
                    <wps:bodyPr wrap="none" lIns="0" tIns="0" rIns="0" bIns="0" upright="1">
                      <a:spAutoFit/>
                    </wps:bodyPr>
                  </wps:wsp>
                </a:graphicData>
              </a:graphic>
            </wp:anchor>
          </w:drawing>
        </mc:Choice>
        <mc:Fallback>
          <w:pict>
            <v:shape id="文本框 1037"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DOqXm5zwAAAAUBAAAPAAAAAAAAAAEAIAAAACIAAABkcnMvZG93&#10;bnJldi54bWxQSwECFAAUAAAACACHTuJAFEwgjNABAACqAwAADgAAAAAAAAABACAAAAAeAQAAZHJz&#10;L2Uyb0RvYy54bWxQSwUGAAAAAAYABgBZAQAAYAUAAAAA&#10;">
              <v:fill on="f" focussize="0,0"/>
              <v:stroke on="f"/>
              <v:imagedata o:title=""/>
              <o:lock v:ext="edit" aspectratio="f"/>
              <v:textbox inset="0mm,0mm,0mm,0mm" style="mso-fit-shape-to-text:t;">
                <w:txbxContent>
                  <w:p w14:paraId="1ACA09D2">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39</w:t>
                    </w:r>
                    <w:r>
                      <w:rPr>
                        <w:rFonts w:hint="eastAsia"/>
                        <w:sz w:val="18"/>
                      </w:rPr>
                      <w:fldChar w:fldCharType="end"/>
                    </w:r>
                  </w:p>
                </w:txbxContent>
              </v:textbox>
            </v:shape>
          </w:pict>
        </mc:Fallback>
      </mc:AlternateContent>
    </w: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103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1BDD3994"/>
                      </w:txbxContent>
                    </wps:txbx>
                    <wps:bodyPr wrap="none" lIns="0" tIns="0" rIns="0" bIns="0" upright="1">
                      <a:spAutoFit/>
                    </wps:bodyPr>
                  </wps:wsp>
                </a:graphicData>
              </a:graphic>
            </wp:anchor>
          </w:drawing>
        </mc:Choice>
        <mc:Fallback>
          <w:pict>
            <v:shape id="文本框 103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DOqXm5zwAAAAUBAAAPAAAAAAAAAAEAIAAAACIAAABkcnMvZG93&#10;bnJldi54bWxQSwECFAAUAAAACACHTuJAAg34fdABAACqAwAADgAAAAAAAAABACAAAAAeAQAAZHJz&#10;L2Uyb0RvYy54bWxQSwUGAAAAAAYABgBZAQAAYAUAAAAA&#10;">
              <v:fill on="f" focussize="0,0"/>
              <v:stroke on="f"/>
              <v:imagedata o:title=""/>
              <o:lock v:ext="edit" aspectratio="f"/>
              <v:textbox inset="0mm,0mm,0mm,0mm" style="mso-fit-shape-to-text:t;">
                <w:txbxContent>
                  <w:p w14:paraId="1BDD3994"/>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31B593">
    <w:pPr>
      <w:pStyle w:val="17"/>
      <w:ind w:firstLine="36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Quad Arrow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61478DAB">
                          <w:pPr>
                            <w:pStyle w:val="17"/>
                            <w:ind w:firstLine="360"/>
                          </w:pPr>
                          <w:r>
                            <w:fldChar w:fldCharType="begin"/>
                          </w:r>
                          <w:r>
                            <w:instrText xml:space="preserve"> PAGE  \* MERGEFORMAT </w:instrText>
                          </w:r>
                          <w:r>
                            <w:fldChar w:fldCharType="separate"/>
                          </w:r>
                          <w:r>
                            <w:t>40</w:t>
                          </w:r>
                          <w:r>
                            <w:fldChar w:fldCharType="end"/>
                          </w:r>
                        </w:p>
                      </w:txbxContent>
                    </wps:txbx>
                    <wps:bodyPr wrap="none" lIns="0" tIns="0" rIns="0" bIns="0" upright="1">
                      <a:spAutoFit/>
                    </wps:bodyPr>
                  </wps:wsp>
                </a:graphicData>
              </a:graphic>
            </wp:anchor>
          </w:drawing>
        </mc:Choice>
        <mc:Fallback>
          <w:pict>
            <v:shape id="Quad Arrow 3"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xZYEsEBAACoAwAADgAAAAAAAAABACAAAAAeAQAAZHJzL2Uyb0RvYy54bWxQSwUG&#10;AAAAAAYABgBZAQAAUQUAAAAA&#10;">
              <v:fill on="f" focussize="0,0"/>
              <v:stroke on="f"/>
              <v:imagedata o:title=""/>
              <o:lock v:ext="edit" aspectratio="f"/>
              <v:textbox inset="0mm,0mm,0mm,0mm" style="mso-fit-shape-to-text:t;">
                <w:txbxContent>
                  <w:p w14:paraId="61478DAB">
                    <w:pPr>
                      <w:pStyle w:val="17"/>
                      <w:ind w:firstLine="360"/>
                    </w:pPr>
                    <w:r>
                      <w:fldChar w:fldCharType="begin"/>
                    </w:r>
                    <w:r>
                      <w:instrText xml:space="preserve"> PAGE  \* MERGEFORMAT </w:instrText>
                    </w:r>
                    <w:r>
                      <w:fldChar w:fldCharType="separate"/>
                    </w:r>
                    <w:r>
                      <w:t>40</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AFC1B6">
    <w:pPr>
      <w:pStyle w:val="18"/>
      <w:pBdr>
        <w:bottom w:val="thinThickSmallGap" w:color="auto" w:sz="24" w:space="1"/>
      </w:pBdr>
    </w:pPr>
    <w:r>
      <w:rPr>
        <w:rFonts w:hint="eastAsia"/>
        <w:lang w:eastAsia="zh-CN"/>
      </w:rPr>
      <w:t>全椒经纬壹品、</w:t>
    </w:r>
    <w:r>
      <w:rPr>
        <w:rFonts w:hint="eastAsia"/>
        <w:lang w:val="en-US" w:eastAsia="zh-CN"/>
      </w:rPr>
      <w:t>淮北</w:t>
    </w:r>
    <w:r>
      <w:rPr>
        <w:rFonts w:hint="eastAsia"/>
        <w:lang w:eastAsia="zh-CN"/>
      </w:rPr>
      <w:t>朔湖东苑及瑞俪花都项目投资后评价服务</w:t>
    </w:r>
    <w:r>
      <w:rPr>
        <w:rFonts w:hint="eastAsia"/>
      </w:rPr>
      <w:t xml:space="preserve">                                      询比文件                                             </w:t>
    </w:r>
  </w:p>
  <w:p w14:paraId="24748E8A">
    <w:pPr>
      <w:pStyle w:val="1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E95B76">
    <w:pPr>
      <w:pStyle w:val="18"/>
      <w:pBdr>
        <w:bottom w:val="thinThickSmallGap" w:color="auto" w:sz="24" w:space="1"/>
      </w:pBdr>
    </w:pPr>
    <w:r>
      <w:rPr>
        <w:rFonts w:hint="eastAsia"/>
        <w:lang w:eastAsia="zh-CN"/>
      </w:rPr>
      <w:t>全椒经纬壹品、</w:t>
    </w:r>
    <w:r>
      <w:rPr>
        <w:rFonts w:hint="eastAsia"/>
        <w:lang w:val="en-US" w:eastAsia="zh-CN"/>
      </w:rPr>
      <w:t>淮北</w:t>
    </w:r>
    <w:r>
      <w:rPr>
        <w:rFonts w:hint="eastAsia"/>
        <w:lang w:eastAsia="zh-CN"/>
      </w:rPr>
      <w:t>朔湖东苑及瑞俪花都项目投资后评价服务</w:t>
    </w:r>
    <w:r>
      <w:rPr>
        <w:rFonts w:hint="eastAsia"/>
      </w:rPr>
      <w:t xml:space="preserve">      </w:t>
    </w:r>
    <w:r>
      <w:rPr>
        <w:rFonts w:hint="eastAsia"/>
        <w:lang w:val="en-US" w:eastAsia="zh-CN"/>
      </w:rPr>
      <w:t xml:space="preserve">                                     </w:t>
    </w:r>
    <w:r>
      <w:rPr>
        <w:rFonts w:hint="eastAsia"/>
      </w:rPr>
      <w:t>询比文件</w:t>
    </w:r>
    <w:r>
      <w:rPr>
        <w:rFonts w:hint="eastAsia"/>
        <w:lang w:val="en-US" w:eastAsia="zh-CN"/>
      </w:rPr>
      <w:t xml:space="preserve">           </w:t>
    </w:r>
    <w:r>
      <w:rPr>
        <w:rFonts w:hint="eastAsia"/>
      </w:rPr>
      <w:t xml:space="preserve">                                                         </w:t>
    </w:r>
  </w:p>
  <w:p w14:paraId="20D38C26">
    <w:pPr>
      <w:pStyle w:val="1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33914C">
    <w:pPr>
      <w:pStyle w:val="18"/>
      <w:pBdr>
        <w:bottom w:val="thinThickSmallGap" w:color="auto" w:sz="24" w:space="1"/>
      </w:pBdr>
    </w:pPr>
    <w:r>
      <w:rPr>
        <w:rFonts w:hint="eastAsia"/>
        <w:lang w:eastAsia="zh-CN"/>
      </w:rPr>
      <w:t>合肥时代公馆及包河时代首府项目投资后评价服务</w:t>
    </w:r>
    <w:r>
      <w:rPr>
        <w:rFonts w:hint="eastAsia"/>
        <w:lang w:val="en-US" w:eastAsia="zh-CN"/>
      </w:rPr>
      <w:t xml:space="preserve">                                        </w:t>
    </w:r>
    <w:r>
      <w:rPr>
        <w:rFonts w:hint="eastAsia"/>
      </w:rPr>
      <w:t>询比文件</w:t>
    </w:r>
    <w:r>
      <w:rPr>
        <w:rFonts w:hint="eastAsia"/>
        <w:lang w:val="en-US" w:eastAsia="zh-CN"/>
      </w:rPr>
      <w:t xml:space="preserve">           </w:t>
    </w:r>
  </w:p>
  <w:p w14:paraId="4F34702E">
    <w:pPr>
      <w:pStyle w:val="18"/>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59AA92"/>
    <w:multiLevelType w:val="multilevel"/>
    <w:tmpl w:val="9C59AA92"/>
    <w:lvl w:ilvl="0" w:tentative="0">
      <w:start w:val="1"/>
      <w:numFmt w:val="chineseCounting"/>
      <w:pStyle w:val="6"/>
      <w:suff w:val="nothing"/>
      <w:lvlText w:val="第%1章 "/>
      <w:lvlJc w:val="left"/>
      <w:pPr>
        <w:tabs>
          <w:tab w:val="left" w:pos="0"/>
        </w:tabs>
        <w:ind w:left="0" w:firstLine="402"/>
      </w:pPr>
      <w:rPr>
        <w:rFonts w:hint="eastAsia"/>
      </w:rPr>
    </w:lvl>
    <w:lvl w:ilvl="1" w:tentative="0">
      <w:start w:val="1"/>
      <w:numFmt w:val="chineseCounting"/>
      <w:suff w:val="nothing"/>
      <w:lvlText w:val="%2、"/>
      <w:lvlJc w:val="left"/>
      <w:pPr>
        <w:ind w:left="0" w:firstLine="402"/>
      </w:pPr>
      <w:rPr>
        <w:rFonts w:hint="eastAsia"/>
      </w:rPr>
    </w:lvl>
    <w:lvl w:ilvl="2" w:tentative="0">
      <w:start w:val="1"/>
      <w:numFmt w:val="decimal"/>
      <w:suff w:val="nothing"/>
      <w:lvlText w:val="%3．"/>
      <w:lvlJc w:val="left"/>
      <w:pPr>
        <w:ind w:left="0" w:firstLine="402"/>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1">
    <w:nsid w:val="C01D7B5A"/>
    <w:multiLevelType w:val="singleLevel"/>
    <w:tmpl w:val="C01D7B5A"/>
    <w:lvl w:ilvl="0" w:tentative="0">
      <w:start w:val="2"/>
      <w:numFmt w:val="decimal"/>
      <w:suff w:val="nothing"/>
      <w:lvlText w:val="（%1）"/>
      <w:lvlJc w:val="left"/>
    </w:lvl>
  </w:abstractNum>
  <w:abstractNum w:abstractNumId="2">
    <w:nsid w:val="F891A756"/>
    <w:multiLevelType w:val="singleLevel"/>
    <w:tmpl w:val="F891A756"/>
    <w:lvl w:ilvl="0" w:tentative="0">
      <w:start w:val="1"/>
      <w:numFmt w:val="chineseCounting"/>
      <w:suff w:val="space"/>
      <w:lvlText w:val="%1、"/>
      <w:lvlJc w:val="left"/>
      <w:rPr>
        <w:rFonts w:hint="eastAsia"/>
      </w:rPr>
    </w:lvl>
  </w:abstractNum>
  <w:abstractNum w:abstractNumId="3">
    <w:nsid w:val="2E95D47B"/>
    <w:multiLevelType w:val="singleLevel"/>
    <w:tmpl w:val="2E95D47B"/>
    <w:lvl w:ilvl="0" w:tentative="0">
      <w:start w:val="1"/>
      <w:numFmt w:val="decimal"/>
      <w:pStyle w:val="7"/>
      <w:suff w:val="nothing"/>
      <w:lvlText w:val="%1．"/>
      <w:lvlJc w:val="left"/>
      <w:pPr>
        <w:ind w:left="-193" w:firstLine="400"/>
      </w:pPr>
      <w:rPr>
        <w:rFonts w:hint="default"/>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7"/>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I1MzZhZTdjYjMwNDJkYmJmODZmOWEzYTlmZDFhMGQifQ=="/>
  </w:docVars>
  <w:rsids>
    <w:rsidRoot w:val="00D31B70"/>
    <w:rsid w:val="00043886"/>
    <w:rsid w:val="00043A18"/>
    <w:rsid w:val="000D2339"/>
    <w:rsid w:val="00126DE8"/>
    <w:rsid w:val="00146598"/>
    <w:rsid w:val="00161394"/>
    <w:rsid w:val="001659E6"/>
    <w:rsid w:val="00177EAC"/>
    <w:rsid w:val="00194702"/>
    <w:rsid w:val="001961C9"/>
    <w:rsid w:val="00236085"/>
    <w:rsid w:val="00283CCD"/>
    <w:rsid w:val="00286930"/>
    <w:rsid w:val="0029783C"/>
    <w:rsid w:val="003163DD"/>
    <w:rsid w:val="00321048"/>
    <w:rsid w:val="003C18C8"/>
    <w:rsid w:val="003C6A6E"/>
    <w:rsid w:val="00411E6A"/>
    <w:rsid w:val="00421B0F"/>
    <w:rsid w:val="00466F51"/>
    <w:rsid w:val="00470770"/>
    <w:rsid w:val="0049328F"/>
    <w:rsid w:val="004932B8"/>
    <w:rsid w:val="004A0ADB"/>
    <w:rsid w:val="004F6161"/>
    <w:rsid w:val="00507621"/>
    <w:rsid w:val="00512041"/>
    <w:rsid w:val="00525090"/>
    <w:rsid w:val="005B1C62"/>
    <w:rsid w:val="006312D4"/>
    <w:rsid w:val="00663EF6"/>
    <w:rsid w:val="006736C4"/>
    <w:rsid w:val="006A432E"/>
    <w:rsid w:val="00774C23"/>
    <w:rsid w:val="007E016E"/>
    <w:rsid w:val="007E5D01"/>
    <w:rsid w:val="007F0E50"/>
    <w:rsid w:val="007F4AD5"/>
    <w:rsid w:val="00876A95"/>
    <w:rsid w:val="00876E82"/>
    <w:rsid w:val="008C36B2"/>
    <w:rsid w:val="009D6349"/>
    <w:rsid w:val="009E3067"/>
    <w:rsid w:val="009E506F"/>
    <w:rsid w:val="009F26CD"/>
    <w:rsid w:val="00A03536"/>
    <w:rsid w:val="00A16088"/>
    <w:rsid w:val="00A34398"/>
    <w:rsid w:val="00A5202A"/>
    <w:rsid w:val="00AE1115"/>
    <w:rsid w:val="00AF0DA2"/>
    <w:rsid w:val="00B56F3C"/>
    <w:rsid w:val="00B860CD"/>
    <w:rsid w:val="00BA558A"/>
    <w:rsid w:val="00BE745B"/>
    <w:rsid w:val="00C82E73"/>
    <w:rsid w:val="00CA21F0"/>
    <w:rsid w:val="00CB7F9E"/>
    <w:rsid w:val="00CF3616"/>
    <w:rsid w:val="00D05A9A"/>
    <w:rsid w:val="00D3135B"/>
    <w:rsid w:val="00D31B70"/>
    <w:rsid w:val="00D9786D"/>
    <w:rsid w:val="00DB0507"/>
    <w:rsid w:val="00E67E1E"/>
    <w:rsid w:val="00E73D4D"/>
    <w:rsid w:val="00E87ECA"/>
    <w:rsid w:val="00E92CE5"/>
    <w:rsid w:val="00EA7A08"/>
    <w:rsid w:val="00EC2FA9"/>
    <w:rsid w:val="00F307E9"/>
    <w:rsid w:val="00F43DE7"/>
    <w:rsid w:val="00F653B6"/>
    <w:rsid w:val="00F91B28"/>
    <w:rsid w:val="00FA1044"/>
    <w:rsid w:val="00FD2626"/>
    <w:rsid w:val="00FE61CD"/>
    <w:rsid w:val="01082DCE"/>
    <w:rsid w:val="01196377"/>
    <w:rsid w:val="011A27E6"/>
    <w:rsid w:val="011B4B0A"/>
    <w:rsid w:val="011D6ED0"/>
    <w:rsid w:val="013C7065"/>
    <w:rsid w:val="014D641B"/>
    <w:rsid w:val="01604B65"/>
    <w:rsid w:val="01631629"/>
    <w:rsid w:val="016A3995"/>
    <w:rsid w:val="01767A67"/>
    <w:rsid w:val="018B2605"/>
    <w:rsid w:val="019312E0"/>
    <w:rsid w:val="0195715E"/>
    <w:rsid w:val="019D2FC7"/>
    <w:rsid w:val="019E058F"/>
    <w:rsid w:val="01B82FCB"/>
    <w:rsid w:val="01BC5540"/>
    <w:rsid w:val="01D34B7C"/>
    <w:rsid w:val="01DF57C9"/>
    <w:rsid w:val="01E22FC9"/>
    <w:rsid w:val="01ED4448"/>
    <w:rsid w:val="02047B14"/>
    <w:rsid w:val="021A334D"/>
    <w:rsid w:val="02241CA7"/>
    <w:rsid w:val="022C0382"/>
    <w:rsid w:val="022D7E5C"/>
    <w:rsid w:val="02454DC6"/>
    <w:rsid w:val="02460711"/>
    <w:rsid w:val="024B086A"/>
    <w:rsid w:val="024C3FDE"/>
    <w:rsid w:val="025C2FF3"/>
    <w:rsid w:val="0260580C"/>
    <w:rsid w:val="026F50F7"/>
    <w:rsid w:val="0292228F"/>
    <w:rsid w:val="02953469"/>
    <w:rsid w:val="029D3473"/>
    <w:rsid w:val="02A843B9"/>
    <w:rsid w:val="02AF018D"/>
    <w:rsid w:val="02B17534"/>
    <w:rsid w:val="02C148EA"/>
    <w:rsid w:val="02F11F86"/>
    <w:rsid w:val="031402A0"/>
    <w:rsid w:val="032D780D"/>
    <w:rsid w:val="03530EF0"/>
    <w:rsid w:val="03666726"/>
    <w:rsid w:val="036A6013"/>
    <w:rsid w:val="036B0042"/>
    <w:rsid w:val="03921536"/>
    <w:rsid w:val="03957CCA"/>
    <w:rsid w:val="03BA168E"/>
    <w:rsid w:val="03DE6BBF"/>
    <w:rsid w:val="03E71C60"/>
    <w:rsid w:val="03EA0F31"/>
    <w:rsid w:val="03EC548F"/>
    <w:rsid w:val="03FB6B06"/>
    <w:rsid w:val="040A4AA1"/>
    <w:rsid w:val="04233E93"/>
    <w:rsid w:val="04295DA0"/>
    <w:rsid w:val="04352FAD"/>
    <w:rsid w:val="04533F12"/>
    <w:rsid w:val="046B7205"/>
    <w:rsid w:val="047B3AB4"/>
    <w:rsid w:val="047C0CFA"/>
    <w:rsid w:val="047C234D"/>
    <w:rsid w:val="048328A9"/>
    <w:rsid w:val="04A52713"/>
    <w:rsid w:val="04A61CAB"/>
    <w:rsid w:val="04B66E9B"/>
    <w:rsid w:val="04D01D8E"/>
    <w:rsid w:val="04DF02F5"/>
    <w:rsid w:val="04EA65EC"/>
    <w:rsid w:val="04F54297"/>
    <w:rsid w:val="04F76AAC"/>
    <w:rsid w:val="04F95D73"/>
    <w:rsid w:val="050022AA"/>
    <w:rsid w:val="05162632"/>
    <w:rsid w:val="05474D67"/>
    <w:rsid w:val="057351EA"/>
    <w:rsid w:val="059761EF"/>
    <w:rsid w:val="059F2433"/>
    <w:rsid w:val="05A12F8F"/>
    <w:rsid w:val="05B16949"/>
    <w:rsid w:val="05C614B1"/>
    <w:rsid w:val="05EC3DBF"/>
    <w:rsid w:val="05F90297"/>
    <w:rsid w:val="060C39DD"/>
    <w:rsid w:val="061006D5"/>
    <w:rsid w:val="06227012"/>
    <w:rsid w:val="06291D77"/>
    <w:rsid w:val="062929E2"/>
    <w:rsid w:val="063772AF"/>
    <w:rsid w:val="064B1FD0"/>
    <w:rsid w:val="06510831"/>
    <w:rsid w:val="0655574A"/>
    <w:rsid w:val="066756C3"/>
    <w:rsid w:val="066E7995"/>
    <w:rsid w:val="0671119D"/>
    <w:rsid w:val="068C07A0"/>
    <w:rsid w:val="069C2279"/>
    <w:rsid w:val="06C75E0F"/>
    <w:rsid w:val="06CD2659"/>
    <w:rsid w:val="06D9617D"/>
    <w:rsid w:val="06E209B7"/>
    <w:rsid w:val="06EE5449"/>
    <w:rsid w:val="071D3AEF"/>
    <w:rsid w:val="071F775B"/>
    <w:rsid w:val="0725414F"/>
    <w:rsid w:val="073E4D0F"/>
    <w:rsid w:val="07914D92"/>
    <w:rsid w:val="07C93DD2"/>
    <w:rsid w:val="07F10BD9"/>
    <w:rsid w:val="07F33261"/>
    <w:rsid w:val="07FB3039"/>
    <w:rsid w:val="07FC2047"/>
    <w:rsid w:val="080A4F8B"/>
    <w:rsid w:val="081D312D"/>
    <w:rsid w:val="0822685D"/>
    <w:rsid w:val="08290DFC"/>
    <w:rsid w:val="082D031A"/>
    <w:rsid w:val="083227D0"/>
    <w:rsid w:val="083E61F6"/>
    <w:rsid w:val="08441F41"/>
    <w:rsid w:val="0871359F"/>
    <w:rsid w:val="08762289"/>
    <w:rsid w:val="088909C5"/>
    <w:rsid w:val="08A45B58"/>
    <w:rsid w:val="08A75E9F"/>
    <w:rsid w:val="08B51EFD"/>
    <w:rsid w:val="08C520FD"/>
    <w:rsid w:val="08C644EB"/>
    <w:rsid w:val="08CB31B1"/>
    <w:rsid w:val="08DE0702"/>
    <w:rsid w:val="08E36B16"/>
    <w:rsid w:val="08EB2A28"/>
    <w:rsid w:val="09033D88"/>
    <w:rsid w:val="091033C7"/>
    <w:rsid w:val="091D675B"/>
    <w:rsid w:val="092454AE"/>
    <w:rsid w:val="094350D2"/>
    <w:rsid w:val="09520EC1"/>
    <w:rsid w:val="09522E65"/>
    <w:rsid w:val="09592D3E"/>
    <w:rsid w:val="096126C2"/>
    <w:rsid w:val="09904735"/>
    <w:rsid w:val="09A1577F"/>
    <w:rsid w:val="09B1743D"/>
    <w:rsid w:val="09BF3C5F"/>
    <w:rsid w:val="09EC3543"/>
    <w:rsid w:val="0A017749"/>
    <w:rsid w:val="0A31325F"/>
    <w:rsid w:val="0A433EA3"/>
    <w:rsid w:val="0A4C0A53"/>
    <w:rsid w:val="0A562E5C"/>
    <w:rsid w:val="0A595E3B"/>
    <w:rsid w:val="0A6D4428"/>
    <w:rsid w:val="0A70103F"/>
    <w:rsid w:val="0A830A8F"/>
    <w:rsid w:val="0ADB488F"/>
    <w:rsid w:val="0ADF4740"/>
    <w:rsid w:val="0AF404CA"/>
    <w:rsid w:val="0B237F0C"/>
    <w:rsid w:val="0B25655D"/>
    <w:rsid w:val="0B3B41A4"/>
    <w:rsid w:val="0B466158"/>
    <w:rsid w:val="0B765704"/>
    <w:rsid w:val="0B7D0BA2"/>
    <w:rsid w:val="0B831417"/>
    <w:rsid w:val="0B976282"/>
    <w:rsid w:val="0BAA0921"/>
    <w:rsid w:val="0BAB4B61"/>
    <w:rsid w:val="0BBE3C8E"/>
    <w:rsid w:val="0BD75140"/>
    <w:rsid w:val="0BD821CA"/>
    <w:rsid w:val="0BE00F68"/>
    <w:rsid w:val="0C0A4650"/>
    <w:rsid w:val="0C122E87"/>
    <w:rsid w:val="0C142061"/>
    <w:rsid w:val="0C25115F"/>
    <w:rsid w:val="0C30164C"/>
    <w:rsid w:val="0C4909C1"/>
    <w:rsid w:val="0C54553C"/>
    <w:rsid w:val="0C6153DA"/>
    <w:rsid w:val="0C680BDD"/>
    <w:rsid w:val="0C715D36"/>
    <w:rsid w:val="0C72723E"/>
    <w:rsid w:val="0C8830F0"/>
    <w:rsid w:val="0C915D6B"/>
    <w:rsid w:val="0C9F0011"/>
    <w:rsid w:val="0CA8035A"/>
    <w:rsid w:val="0CAD361F"/>
    <w:rsid w:val="0CAD70A0"/>
    <w:rsid w:val="0CBC18F6"/>
    <w:rsid w:val="0CCA7A68"/>
    <w:rsid w:val="0CCE250A"/>
    <w:rsid w:val="0CE01766"/>
    <w:rsid w:val="0CE45ABA"/>
    <w:rsid w:val="0CE55D2A"/>
    <w:rsid w:val="0CEA1161"/>
    <w:rsid w:val="0D0E1A16"/>
    <w:rsid w:val="0D10611A"/>
    <w:rsid w:val="0D204464"/>
    <w:rsid w:val="0D245D5D"/>
    <w:rsid w:val="0D2A5D78"/>
    <w:rsid w:val="0D643C93"/>
    <w:rsid w:val="0D755E61"/>
    <w:rsid w:val="0D840310"/>
    <w:rsid w:val="0D935001"/>
    <w:rsid w:val="0DA75F7E"/>
    <w:rsid w:val="0DB17FB5"/>
    <w:rsid w:val="0DCE19B4"/>
    <w:rsid w:val="0DD1526B"/>
    <w:rsid w:val="0DE933E1"/>
    <w:rsid w:val="0E14052A"/>
    <w:rsid w:val="0E1B588D"/>
    <w:rsid w:val="0E265F28"/>
    <w:rsid w:val="0E2873E9"/>
    <w:rsid w:val="0E460DCC"/>
    <w:rsid w:val="0E744B2D"/>
    <w:rsid w:val="0E8D05E0"/>
    <w:rsid w:val="0E9B3C63"/>
    <w:rsid w:val="0EB4636E"/>
    <w:rsid w:val="0EB75DCA"/>
    <w:rsid w:val="0EC81177"/>
    <w:rsid w:val="0ED12EB4"/>
    <w:rsid w:val="0ED16605"/>
    <w:rsid w:val="0ED97B37"/>
    <w:rsid w:val="0EE3071C"/>
    <w:rsid w:val="0EED2DF2"/>
    <w:rsid w:val="0EF83DB8"/>
    <w:rsid w:val="0F401FA4"/>
    <w:rsid w:val="0F4F57E8"/>
    <w:rsid w:val="0F6C3B60"/>
    <w:rsid w:val="0F6F6315"/>
    <w:rsid w:val="0F7150A0"/>
    <w:rsid w:val="0F7A125F"/>
    <w:rsid w:val="0F7C2CF7"/>
    <w:rsid w:val="0FB81B5B"/>
    <w:rsid w:val="0FCC5981"/>
    <w:rsid w:val="0FD00E8A"/>
    <w:rsid w:val="0FE65A61"/>
    <w:rsid w:val="10090199"/>
    <w:rsid w:val="10337DDD"/>
    <w:rsid w:val="103656D1"/>
    <w:rsid w:val="103C7917"/>
    <w:rsid w:val="10564A8B"/>
    <w:rsid w:val="1057467F"/>
    <w:rsid w:val="1058602D"/>
    <w:rsid w:val="10795C93"/>
    <w:rsid w:val="108B3AFA"/>
    <w:rsid w:val="10B15280"/>
    <w:rsid w:val="10CF164C"/>
    <w:rsid w:val="10D20ADD"/>
    <w:rsid w:val="10D50461"/>
    <w:rsid w:val="10E24CD8"/>
    <w:rsid w:val="10F15163"/>
    <w:rsid w:val="10F26CDC"/>
    <w:rsid w:val="11163C77"/>
    <w:rsid w:val="1139732F"/>
    <w:rsid w:val="114A7510"/>
    <w:rsid w:val="114C67B8"/>
    <w:rsid w:val="115A53BC"/>
    <w:rsid w:val="11602E5F"/>
    <w:rsid w:val="11696085"/>
    <w:rsid w:val="117A2D8F"/>
    <w:rsid w:val="118E75B9"/>
    <w:rsid w:val="1194155A"/>
    <w:rsid w:val="119C1623"/>
    <w:rsid w:val="11A4575D"/>
    <w:rsid w:val="11AB3509"/>
    <w:rsid w:val="11B5299E"/>
    <w:rsid w:val="11E52624"/>
    <w:rsid w:val="11E8124D"/>
    <w:rsid w:val="11F9333E"/>
    <w:rsid w:val="11FE31AD"/>
    <w:rsid w:val="121466AA"/>
    <w:rsid w:val="122B6577"/>
    <w:rsid w:val="12343761"/>
    <w:rsid w:val="123756D1"/>
    <w:rsid w:val="123B7167"/>
    <w:rsid w:val="124E5F2C"/>
    <w:rsid w:val="12597E87"/>
    <w:rsid w:val="125B3739"/>
    <w:rsid w:val="126943EE"/>
    <w:rsid w:val="12763100"/>
    <w:rsid w:val="12865675"/>
    <w:rsid w:val="129A697A"/>
    <w:rsid w:val="12C6189A"/>
    <w:rsid w:val="12CE785B"/>
    <w:rsid w:val="12D16BCB"/>
    <w:rsid w:val="12DC2AAB"/>
    <w:rsid w:val="12E0359D"/>
    <w:rsid w:val="12E74E3F"/>
    <w:rsid w:val="12ED7F8F"/>
    <w:rsid w:val="12F04674"/>
    <w:rsid w:val="12FE1AE7"/>
    <w:rsid w:val="13190BA4"/>
    <w:rsid w:val="13293F8A"/>
    <w:rsid w:val="132A5815"/>
    <w:rsid w:val="13356A71"/>
    <w:rsid w:val="134854F2"/>
    <w:rsid w:val="13594F2D"/>
    <w:rsid w:val="13714DE1"/>
    <w:rsid w:val="137A5B19"/>
    <w:rsid w:val="13A70B15"/>
    <w:rsid w:val="13B72E13"/>
    <w:rsid w:val="13BA32C6"/>
    <w:rsid w:val="13DE4A24"/>
    <w:rsid w:val="14003B68"/>
    <w:rsid w:val="14077165"/>
    <w:rsid w:val="140A4876"/>
    <w:rsid w:val="14231FAC"/>
    <w:rsid w:val="14264818"/>
    <w:rsid w:val="142F7969"/>
    <w:rsid w:val="145378D4"/>
    <w:rsid w:val="1463315F"/>
    <w:rsid w:val="14664519"/>
    <w:rsid w:val="146F09C5"/>
    <w:rsid w:val="147441B4"/>
    <w:rsid w:val="14745B8C"/>
    <w:rsid w:val="14832530"/>
    <w:rsid w:val="14936D19"/>
    <w:rsid w:val="14D668A4"/>
    <w:rsid w:val="14F33B67"/>
    <w:rsid w:val="151E62FD"/>
    <w:rsid w:val="151F03B5"/>
    <w:rsid w:val="153A65BE"/>
    <w:rsid w:val="15422B45"/>
    <w:rsid w:val="156629A4"/>
    <w:rsid w:val="156A38D6"/>
    <w:rsid w:val="1584295D"/>
    <w:rsid w:val="158735B1"/>
    <w:rsid w:val="15895244"/>
    <w:rsid w:val="159E013D"/>
    <w:rsid w:val="15BA0961"/>
    <w:rsid w:val="15BC6BCB"/>
    <w:rsid w:val="15D32868"/>
    <w:rsid w:val="15EE1192"/>
    <w:rsid w:val="15FD0081"/>
    <w:rsid w:val="161713B9"/>
    <w:rsid w:val="162117F2"/>
    <w:rsid w:val="163D38BD"/>
    <w:rsid w:val="164432FC"/>
    <w:rsid w:val="166867F9"/>
    <w:rsid w:val="16713C4A"/>
    <w:rsid w:val="16746A12"/>
    <w:rsid w:val="16763172"/>
    <w:rsid w:val="167E2633"/>
    <w:rsid w:val="168431DE"/>
    <w:rsid w:val="168C763B"/>
    <w:rsid w:val="1690501F"/>
    <w:rsid w:val="16B22F9A"/>
    <w:rsid w:val="16D147CF"/>
    <w:rsid w:val="16DB2D50"/>
    <w:rsid w:val="16DE5569"/>
    <w:rsid w:val="16E8299C"/>
    <w:rsid w:val="16F40010"/>
    <w:rsid w:val="16FB1042"/>
    <w:rsid w:val="17096A52"/>
    <w:rsid w:val="170A608F"/>
    <w:rsid w:val="17176EC0"/>
    <w:rsid w:val="171A22E9"/>
    <w:rsid w:val="173213AE"/>
    <w:rsid w:val="1735048C"/>
    <w:rsid w:val="173C70F5"/>
    <w:rsid w:val="174206F3"/>
    <w:rsid w:val="1761165F"/>
    <w:rsid w:val="176A3201"/>
    <w:rsid w:val="176B4C2E"/>
    <w:rsid w:val="17912DBB"/>
    <w:rsid w:val="179E2BB2"/>
    <w:rsid w:val="17A31E57"/>
    <w:rsid w:val="17A41A09"/>
    <w:rsid w:val="17B615F2"/>
    <w:rsid w:val="17BE7705"/>
    <w:rsid w:val="17DE1931"/>
    <w:rsid w:val="17E43CA4"/>
    <w:rsid w:val="1803234F"/>
    <w:rsid w:val="1810744F"/>
    <w:rsid w:val="181F7B0D"/>
    <w:rsid w:val="184D7361"/>
    <w:rsid w:val="18611ADF"/>
    <w:rsid w:val="18660D83"/>
    <w:rsid w:val="188F0361"/>
    <w:rsid w:val="18A34D8C"/>
    <w:rsid w:val="18AD0BE1"/>
    <w:rsid w:val="18B619A6"/>
    <w:rsid w:val="18BB43F9"/>
    <w:rsid w:val="18BD2A66"/>
    <w:rsid w:val="18C13AC1"/>
    <w:rsid w:val="18D119EE"/>
    <w:rsid w:val="190524A1"/>
    <w:rsid w:val="19111C94"/>
    <w:rsid w:val="193809C2"/>
    <w:rsid w:val="194361A3"/>
    <w:rsid w:val="194E641E"/>
    <w:rsid w:val="19651738"/>
    <w:rsid w:val="198243F0"/>
    <w:rsid w:val="198365E2"/>
    <w:rsid w:val="19976995"/>
    <w:rsid w:val="19B044DF"/>
    <w:rsid w:val="19FA5475"/>
    <w:rsid w:val="19FC5052"/>
    <w:rsid w:val="19FC6A1D"/>
    <w:rsid w:val="1A110767"/>
    <w:rsid w:val="1A1964F4"/>
    <w:rsid w:val="1A407CBE"/>
    <w:rsid w:val="1A576AE8"/>
    <w:rsid w:val="1A613F40"/>
    <w:rsid w:val="1A6450AE"/>
    <w:rsid w:val="1A6F3D1D"/>
    <w:rsid w:val="1A742AE7"/>
    <w:rsid w:val="1A851E5E"/>
    <w:rsid w:val="1A976D8E"/>
    <w:rsid w:val="1A9A00BD"/>
    <w:rsid w:val="1A9F3526"/>
    <w:rsid w:val="1AB60854"/>
    <w:rsid w:val="1AB62259"/>
    <w:rsid w:val="1ADB5923"/>
    <w:rsid w:val="1ADF24BC"/>
    <w:rsid w:val="1AFB2F34"/>
    <w:rsid w:val="1B111758"/>
    <w:rsid w:val="1B142E41"/>
    <w:rsid w:val="1B1C4A6C"/>
    <w:rsid w:val="1B1D6B9C"/>
    <w:rsid w:val="1B1F0131"/>
    <w:rsid w:val="1B234992"/>
    <w:rsid w:val="1B2372F3"/>
    <w:rsid w:val="1B2709C3"/>
    <w:rsid w:val="1B2C2EBB"/>
    <w:rsid w:val="1B300A8F"/>
    <w:rsid w:val="1B3028D7"/>
    <w:rsid w:val="1B344A57"/>
    <w:rsid w:val="1B364075"/>
    <w:rsid w:val="1B387860"/>
    <w:rsid w:val="1B5A266B"/>
    <w:rsid w:val="1B6F3157"/>
    <w:rsid w:val="1B745152"/>
    <w:rsid w:val="1B763A15"/>
    <w:rsid w:val="1B814380"/>
    <w:rsid w:val="1B941FF2"/>
    <w:rsid w:val="1BB91E00"/>
    <w:rsid w:val="1BC0329E"/>
    <w:rsid w:val="1BC863D0"/>
    <w:rsid w:val="1BEF1A51"/>
    <w:rsid w:val="1C01157A"/>
    <w:rsid w:val="1C337FF5"/>
    <w:rsid w:val="1C3B4532"/>
    <w:rsid w:val="1C3F63C6"/>
    <w:rsid w:val="1C495A9B"/>
    <w:rsid w:val="1C4A4F18"/>
    <w:rsid w:val="1C4C62F2"/>
    <w:rsid w:val="1C5D12D5"/>
    <w:rsid w:val="1C6063BC"/>
    <w:rsid w:val="1C677760"/>
    <w:rsid w:val="1C7411E9"/>
    <w:rsid w:val="1C79120B"/>
    <w:rsid w:val="1C8342C9"/>
    <w:rsid w:val="1C835541"/>
    <w:rsid w:val="1CA63F16"/>
    <w:rsid w:val="1CB63D17"/>
    <w:rsid w:val="1CBE15B8"/>
    <w:rsid w:val="1CC70AAE"/>
    <w:rsid w:val="1CF93C71"/>
    <w:rsid w:val="1CF97B60"/>
    <w:rsid w:val="1D030883"/>
    <w:rsid w:val="1D1D75F2"/>
    <w:rsid w:val="1D5039A9"/>
    <w:rsid w:val="1D670B14"/>
    <w:rsid w:val="1D924EB5"/>
    <w:rsid w:val="1D9C0CD9"/>
    <w:rsid w:val="1D9F65B1"/>
    <w:rsid w:val="1DA002EB"/>
    <w:rsid w:val="1DD7785D"/>
    <w:rsid w:val="1DE0242C"/>
    <w:rsid w:val="1DE02E8C"/>
    <w:rsid w:val="1DFB418B"/>
    <w:rsid w:val="1E061D8D"/>
    <w:rsid w:val="1E1510B3"/>
    <w:rsid w:val="1E1B06D7"/>
    <w:rsid w:val="1E1D003B"/>
    <w:rsid w:val="1E2A1B70"/>
    <w:rsid w:val="1E2A636A"/>
    <w:rsid w:val="1E2B5895"/>
    <w:rsid w:val="1E3D1EFE"/>
    <w:rsid w:val="1E3F71AC"/>
    <w:rsid w:val="1E407FC7"/>
    <w:rsid w:val="1E484768"/>
    <w:rsid w:val="1E4946FB"/>
    <w:rsid w:val="1E4A65BA"/>
    <w:rsid w:val="1E506677"/>
    <w:rsid w:val="1E5A2DA3"/>
    <w:rsid w:val="1E611165"/>
    <w:rsid w:val="1E6C6427"/>
    <w:rsid w:val="1E7646AA"/>
    <w:rsid w:val="1E965D04"/>
    <w:rsid w:val="1E9E5C6C"/>
    <w:rsid w:val="1EA26379"/>
    <w:rsid w:val="1EC13239"/>
    <w:rsid w:val="1ED352F2"/>
    <w:rsid w:val="1ED920BE"/>
    <w:rsid w:val="1EF7470E"/>
    <w:rsid w:val="1F05265B"/>
    <w:rsid w:val="1F073AFB"/>
    <w:rsid w:val="1F0E2E4B"/>
    <w:rsid w:val="1F1068A9"/>
    <w:rsid w:val="1F11207D"/>
    <w:rsid w:val="1F3309E4"/>
    <w:rsid w:val="1F3C6344"/>
    <w:rsid w:val="1F5435CA"/>
    <w:rsid w:val="1F546D45"/>
    <w:rsid w:val="1F6A639E"/>
    <w:rsid w:val="1F8132C8"/>
    <w:rsid w:val="1FA02744"/>
    <w:rsid w:val="1FAC011C"/>
    <w:rsid w:val="1FAE5F90"/>
    <w:rsid w:val="1FC24714"/>
    <w:rsid w:val="1FCC3990"/>
    <w:rsid w:val="1FD91AA0"/>
    <w:rsid w:val="200C298F"/>
    <w:rsid w:val="201C54FE"/>
    <w:rsid w:val="202A4D90"/>
    <w:rsid w:val="20435529"/>
    <w:rsid w:val="20517E69"/>
    <w:rsid w:val="20530F08"/>
    <w:rsid w:val="2066350B"/>
    <w:rsid w:val="208701DC"/>
    <w:rsid w:val="20942936"/>
    <w:rsid w:val="20AD1511"/>
    <w:rsid w:val="20AE71CD"/>
    <w:rsid w:val="20C75587"/>
    <w:rsid w:val="20DD7EA1"/>
    <w:rsid w:val="20EC6F0D"/>
    <w:rsid w:val="20EF3849"/>
    <w:rsid w:val="21114D59"/>
    <w:rsid w:val="212707FC"/>
    <w:rsid w:val="216D73A5"/>
    <w:rsid w:val="2181475C"/>
    <w:rsid w:val="218D6398"/>
    <w:rsid w:val="21935E0B"/>
    <w:rsid w:val="21C614F6"/>
    <w:rsid w:val="21D57E5D"/>
    <w:rsid w:val="220B38D3"/>
    <w:rsid w:val="220F27AB"/>
    <w:rsid w:val="223029AE"/>
    <w:rsid w:val="224B1241"/>
    <w:rsid w:val="22565E31"/>
    <w:rsid w:val="226C24D9"/>
    <w:rsid w:val="227540C8"/>
    <w:rsid w:val="22C438D9"/>
    <w:rsid w:val="22C90127"/>
    <w:rsid w:val="22D008F7"/>
    <w:rsid w:val="22D42D6B"/>
    <w:rsid w:val="22DF5D82"/>
    <w:rsid w:val="22E9418C"/>
    <w:rsid w:val="22FD581D"/>
    <w:rsid w:val="231A6446"/>
    <w:rsid w:val="23200D04"/>
    <w:rsid w:val="23252F62"/>
    <w:rsid w:val="2329015A"/>
    <w:rsid w:val="233D41F6"/>
    <w:rsid w:val="233E1D9D"/>
    <w:rsid w:val="235A23F9"/>
    <w:rsid w:val="23690BF3"/>
    <w:rsid w:val="237E680A"/>
    <w:rsid w:val="238A746E"/>
    <w:rsid w:val="23A70DB3"/>
    <w:rsid w:val="23D003FB"/>
    <w:rsid w:val="23E06FF0"/>
    <w:rsid w:val="23F26B67"/>
    <w:rsid w:val="24321DFA"/>
    <w:rsid w:val="24487775"/>
    <w:rsid w:val="24530C8F"/>
    <w:rsid w:val="24636547"/>
    <w:rsid w:val="24717D47"/>
    <w:rsid w:val="24820640"/>
    <w:rsid w:val="24967F5F"/>
    <w:rsid w:val="249A76A4"/>
    <w:rsid w:val="249C788A"/>
    <w:rsid w:val="24B16B47"/>
    <w:rsid w:val="24B82B32"/>
    <w:rsid w:val="24BB6D5B"/>
    <w:rsid w:val="24DC6375"/>
    <w:rsid w:val="24F755BB"/>
    <w:rsid w:val="24FA5375"/>
    <w:rsid w:val="25167458"/>
    <w:rsid w:val="251E581D"/>
    <w:rsid w:val="252A368C"/>
    <w:rsid w:val="253317B8"/>
    <w:rsid w:val="2537641D"/>
    <w:rsid w:val="253C3EF7"/>
    <w:rsid w:val="2558795E"/>
    <w:rsid w:val="255E089E"/>
    <w:rsid w:val="257F5882"/>
    <w:rsid w:val="25987884"/>
    <w:rsid w:val="25BF330D"/>
    <w:rsid w:val="25C27A7C"/>
    <w:rsid w:val="25C76039"/>
    <w:rsid w:val="25E31DB1"/>
    <w:rsid w:val="25F341F9"/>
    <w:rsid w:val="25FD4EFD"/>
    <w:rsid w:val="2603678D"/>
    <w:rsid w:val="26050C41"/>
    <w:rsid w:val="261A0D6A"/>
    <w:rsid w:val="263F4733"/>
    <w:rsid w:val="264826D8"/>
    <w:rsid w:val="26486C62"/>
    <w:rsid w:val="265500D6"/>
    <w:rsid w:val="26581526"/>
    <w:rsid w:val="26845C6C"/>
    <w:rsid w:val="26873841"/>
    <w:rsid w:val="269408C3"/>
    <w:rsid w:val="26A244E0"/>
    <w:rsid w:val="26AF5A72"/>
    <w:rsid w:val="26BE55EA"/>
    <w:rsid w:val="26C35476"/>
    <w:rsid w:val="26C762DB"/>
    <w:rsid w:val="26D63C4A"/>
    <w:rsid w:val="26DC20E5"/>
    <w:rsid w:val="26F97745"/>
    <w:rsid w:val="270E3585"/>
    <w:rsid w:val="274B353E"/>
    <w:rsid w:val="27524FD4"/>
    <w:rsid w:val="275319F4"/>
    <w:rsid w:val="27613BAA"/>
    <w:rsid w:val="276A2C20"/>
    <w:rsid w:val="276E6872"/>
    <w:rsid w:val="278E3101"/>
    <w:rsid w:val="27941CFF"/>
    <w:rsid w:val="27BC1DF8"/>
    <w:rsid w:val="28076074"/>
    <w:rsid w:val="280D4614"/>
    <w:rsid w:val="281846D4"/>
    <w:rsid w:val="282F78FD"/>
    <w:rsid w:val="28436F61"/>
    <w:rsid w:val="286A2391"/>
    <w:rsid w:val="28724132"/>
    <w:rsid w:val="287B59F6"/>
    <w:rsid w:val="28847D06"/>
    <w:rsid w:val="288F48FB"/>
    <w:rsid w:val="28974169"/>
    <w:rsid w:val="289E0A26"/>
    <w:rsid w:val="28AC0ECF"/>
    <w:rsid w:val="28AE2264"/>
    <w:rsid w:val="28BE57FD"/>
    <w:rsid w:val="28C01F1D"/>
    <w:rsid w:val="28C14CAA"/>
    <w:rsid w:val="28D35487"/>
    <w:rsid w:val="28EB33ED"/>
    <w:rsid w:val="29001D45"/>
    <w:rsid w:val="290D0C20"/>
    <w:rsid w:val="29154A5F"/>
    <w:rsid w:val="29162105"/>
    <w:rsid w:val="291D6CFF"/>
    <w:rsid w:val="291E564E"/>
    <w:rsid w:val="29454998"/>
    <w:rsid w:val="294B5E13"/>
    <w:rsid w:val="29741CFA"/>
    <w:rsid w:val="297C2E49"/>
    <w:rsid w:val="29941624"/>
    <w:rsid w:val="299554BA"/>
    <w:rsid w:val="29956056"/>
    <w:rsid w:val="29AA3C23"/>
    <w:rsid w:val="29BF59D6"/>
    <w:rsid w:val="29C53546"/>
    <w:rsid w:val="29C73A39"/>
    <w:rsid w:val="29C941A2"/>
    <w:rsid w:val="29EB49C9"/>
    <w:rsid w:val="29EF3FB8"/>
    <w:rsid w:val="29F12286"/>
    <w:rsid w:val="29FB2966"/>
    <w:rsid w:val="2A1D7695"/>
    <w:rsid w:val="2A2B2E5B"/>
    <w:rsid w:val="2A37472F"/>
    <w:rsid w:val="2A3A63BF"/>
    <w:rsid w:val="2A411009"/>
    <w:rsid w:val="2A48150B"/>
    <w:rsid w:val="2A4C0A1A"/>
    <w:rsid w:val="2A4C6A3D"/>
    <w:rsid w:val="2A633D38"/>
    <w:rsid w:val="2A655AFF"/>
    <w:rsid w:val="2A715DEA"/>
    <w:rsid w:val="2A97631D"/>
    <w:rsid w:val="2AB4054B"/>
    <w:rsid w:val="2AB843C9"/>
    <w:rsid w:val="2AD307BD"/>
    <w:rsid w:val="2AEA4C38"/>
    <w:rsid w:val="2AFE46B0"/>
    <w:rsid w:val="2B073FBC"/>
    <w:rsid w:val="2B0C18DB"/>
    <w:rsid w:val="2B22095A"/>
    <w:rsid w:val="2B392180"/>
    <w:rsid w:val="2B3C1D66"/>
    <w:rsid w:val="2B3E28EB"/>
    <w:rsid w:val="2B430D79"/>
    <w:rsid w:val="2B6E1F63"/>
    <w:rsid w:val="2B9215B2"/>
    <w:rsid w:val="2B962FFE"/>
    <w:rsid w:val="2BA42C24"/>
    <w:rsid w:val="2BB623FD"/>
    <w:rsid w:val="2BC566C7"/>
    <w:rsid w:val="2BC81736"/>
    <w:rsid w:val="2BE3479D"/>
    <w:rsid w:val="2BEB4B93"/>
    <w:rsid w:val="2BFB3F34"/>
    <w:rsid w:val="2C0C5CF1"/>
    <w:rsid w:val="2C0E0D00"/>
    <w:rsid w:val="2C19133D"/>
    <w:rsid w:val="2C1A1B3D"/>
    <w:rsid w:val="2C221397"/>
    <w:rsid w:val="2C81653D"/>
    <w:rsid w:val="2CB9247E"/>
    <w:rsid w:val="2CF42A2C"/>
    <w:rsid w:val="2D1547AA"/>
    <w:rsid w:val="2D1C0C8B"/>
    <w:rsid w:val="2D500625"/>
    <w:rsid w:val="2D511CF8"/>
    <w:rsid w:val="2D666D98"/>
    <w:rsid w:val="2D8E5DB3"/>
    <w:rsid w:val="2D9C231F"/>
    <w:rsid w:val="2D9F3C27"/>
    <w:rsid w:val="2DAA682A"/>
    <w:rsid w:val="2DAB019F"/>
    <w:rsid w:val="2DB15F1B"/>
    <w:rsid w:val="2DE44B7D"/>
    <w:rsid w:val="2DE85A59"/>
    <w:rsid w:val="2DEA0FF6"/>
    <w:rsid w:val="2E00515D"/>
    <w:rsid w:val="2E153C96"/>
    <w:rsid w:val="2E1D043E"/>
    <w:rsid w:val="2E2C3CC9"/>
    <w:rsid w:val="2E2D39B2"/>
    <w:rsid w:val="2E3944DD"/>
    <w:rsid w:val="2E524DAC"/>
    <w:rsid w:val="2E553313"/>
    <w:rsid w:val="2E6C4C6B"/>
    <w:rsid w:val="2E7100DF"/>
    <w:rsid w:val="2E760F81"/>
    <w:rsid w:val="2E7A64DB"/>
    <w:rsid w:val="2E7F0E45"/>
    <w:rsid w:val="2E816717"/>
    <w:rsid w:val="2E935374"/>
    <w:rsid w:val="2E9634C1"/>
    <w:rsid w:val="2EB774D0"/>
    <w:rsid w:val="2ED62883"/>
    <w:rsid w:val="2EE04406"/>
    <w:rsid w:val="2EE461BC"/>
    <w:rsid w:val="2EE642AD"/>
    <w:rsid w:val="2F05447E"/>
    <w:rsid w:val="2F3F6D21"/>
    <w:rsid w:val="2F427B64"/>
    <w:rsid w:val="2F595BD3"/>
    <w:rsid w:val="2F7A7771"/>
    <w:rsid w:val="2F8E7570"/>
    <w:rsid w:val="2FA70B41"/>
    <w:rsid w:val="2FAE780E"/>
    <w:rsid w:val="2FD91648"/>
    <w:rsid w:val="2FEA61C6"/>
    <w:rsid w:val="2FF46A33"/>
    <w:rsid w:val="30164ACC"/>
    <w:rsid w:val="301746AE"/>
    <w:rsid w:val="301A510E"/>
    <w:rsid w:val="30290AA3"/>
    <w:rsid w:val="30446691"/>
    <w:rsid w:val="30536DA5"/>
    <w:rsid w:val="30555F0B"/>
    <w:rsid w:val="305B18F9"/>
    <w:rsid w:val="306675DB"/>
    <w:rsid w:val="306F4A5C"/>
    <w:rsid w:val="30704F1E"/>
    <w:rsid w:val="30B74EB9"/>
    <w:rsid w:val="31130579"/>
    <w:rsid w:val="31150AF7"/>
    <w:rsid w:val="31230DCD"/>
    <w:rsid w:val="312977F5"/>
    <w:rsid w:val="3140510D"/>
    <w:rsid w:val="31490B16"/>
    <w:rsid w:val="31500AF0"/>
    <w:rsid w:val="31606BA9"/>
    <w:rsid w:val="317B5137"/>
    <w:rsid w:val="318036B9"/>
    <w:rsid w:val="31B173FD"/>
    <w:rsid w:val="31B535AF"/>
    <w:rsid w:val="31EA44FA"/>
    <w:rsid w:val="31F304A6"/>
    <w:rsid w:val="32091243"/>
    <w:rsid w:val="32294765"/>
    <w:rsid w:val="327E7CD9"/>
    <w:rsid w:val="32B56E69"/>
    <w:rsid w:val="32EE7541"/>
    <w:rsid w:val="32F445A5"/>
    <w:rsid w:val="32FC5FC6"/>
    <w:rsid w:val="330F4401"/>
    <w:rsid w:val="331E1E02"/>
    <w:rsid w:val="33216B2E"/>
    <w:rsid w:val="33353215"/>
    <w:rsid w:val="33435036"/>
    <w:rsid w:val="33472431"/>
    <w:rsid w:val="335D7B29"/>
    <w:rsid w:val="336B0B61"/>
    <w:rsid w:val="338C3ABE"/>
    <w:rsid w:val="33946B32"/>
    <w:rsid w:val="33A867A1"/>
    <w:rsid w:val="33BE0CB2"/>
    <w:rsid w:val="33C02706"/>
    <w:rsid w:val="33D21CA6"/>
    <w:rsid w:val="33F133C2"/>
    <w:rsid w:val="33F943AC"/>
    <w:rsid w:val="341548E7"/>
    <w:rsid w:val="34251F8E"/>
    <w:rsid w:val="345A7961"/>
    <w:rsid w:val="345D1E5D"/>
    <w:rsid w:val="347A05C3"/>
    <w:rsid w:val="347E5080"/>
    <w:rsid w:val="348D4D75"/>
    <w:rsid w:val="34902CE5"/>
    <w:rsid w:val="34965FFC"/>
    <w:rsid w:val="349E0792"/>
    <w:rsid w:val="34B475AD"/>
    <w:rsid w:val="34C1398D"/>
    <w:rsid w:val="34D33C1F"/>
    <w:rsid w:val="34D44341"/>
    <w:rsid w:val="34DB71D0"/>
    <w:rsid w:val="34E077DE"/>
    <w:rsid w:val="34EB3FFA"/>
    <w:rsid w:val="351911D3"/>
    <w:rsid w:val="351C58FB"/>
    <w:rsid w:val="35493147"/>
    <w:rsid w:val="35534042"/>
    <w:rsid w:val="35572F42"/>
    <w:rsid w:val="35597C68"/>
    <w:rsid w:val="35680A2A"/>
    <w:rsid w:val="35682CA4"/>
    <w:rsid w:val="356E5C0E"/>
    <w:rsid w:val="357375C4"/>
    <w:rsid w:val="357900E1"/>
    <w:rsid w:val="357A743D"/>
    <w:rsid w:val="358B52B4"/>
    <w:rsid w:val="35990A65"/>
    <w:rsid w:val="359D6299"/>
    <w:rsid w:val="35A6171B"/>
    <w:rsid w:val="35A82F5F"/>
    <w:rsid w:val="35B603F5"/>
    <w:rsid w:val="35CC2089"/>
    <w:rsid w:val="35EF1F65"/>
    <w:rsid w:val="35EF4E9F"/>
    <w:rsid w:val="36011B96"/>
    <w:rsid w:val="360D3064"/>
    <w:rsid w:val="3652616D"/>
    <w:rsid w:val="366046B9"/>
    <w:rsid w:val="366135C0"/>
    <w:rsid w:val="366A5627"/>
    <w:rsid w:val="36710AA2"/>
    <w:rsid w:val="36AC26B2"/>
    <w:rsid w:val="36C81B5B"/>
    <w:rsid w:val="36CA4796"/>
    <w:rsid w:val="36D305E5"/>
    <w:rsid w:val="36EA7FF2"/>
    <w:rsid w:val="36FF1994"/>
    <w:rsid w:val="37017235"/>
    <w:rsid w:val="373D169F"/>
    <w:rsid w:val="374E143A"/>
    <w:rsid w:val="375145A6"/>
    <w:rsid w:val="37522485"/>
    <w:rsid w:val="37613C52"/>
    <w:rsid w:val="376F2885"/>
    <w:rsid w:val="377835C6"/>
    <w:rsid w:val="37DD1744"/>
    <w:rsid w:val="37F25243"/>
    <w:rsid w:val="380255AF"/>
    <w:rsid w:val="38333626"/>
    <w:rsid w:val="384E441A"/>
    <w:rsid w:val="38506C2F"/>
    <w:rsid w:val="38803B23"/>
    <w:rsid w:val="38877CF7"/>
    <w:rsid w:val="38961914"/>
    <w:rsid w:val="38AF3010"/>
    <w:rsid w:val="38D822E9"/>
    <w:rsid w:val="38DD6A3B"/>
    <w:rsid w:val="38E03474"/>
    <w:rsid w:val="38E2286A"/>
    <w:rsid w:val="38E32D4B"/>
    <w:rsid w:val="38E94228"/>
    <w:rsid w:val="39051B96"/>
    <w:rsid w:val="39090EB2"/>
    <w:rsid w:val="390A09B4"/>
    <w:rsid w:val="390B2C76"/>
    <w:rsid w:val="391644FB"/>
    <w:rsid w:val="39257351"/>
    <w:rsid w:val="392F0F3D"/>
    <w:rsid w:val="39322F95"/>
    <w:rsid w:val="39430A5E"/>
    <w:rsid w:val="39602F23"/>
    <w:rsid w:val="396B58C4"/>
    <w:rsid w:val="397B0BB4"/>
    <w:rsid w:val="399B3376"/>
    <w:rsid w:val="39A64195"/>
    <w:rsid w:val="39AF1465"/>
    <w:rsid w:val="39C04E20"/>
    <w:rsid w:val="39CA3463"/>
    <w:rsid w:val="39CA3FC7"/>
    <w:rsid w:val="39CF6662"/>
    <w:rsid w:val="39E80849"/>
    <w:rsid w:val="39F2252B"/>
    <w:rsid w:val="3A0E5A41"/>
    <w:rsid w:val="3A2175BE"/>
    <w:rsid w:val="3A2436D1"/>
    <w:rsid w:val="3A2A7F00"/>
    <w:rsid w:val="3A593D19"/>
    <w:rsid w:val="3A6A27D7"/>
    <w:rsid w:val="3ABC09E4"/>
    <w:rsid w:val="3AC407C9"/>
    <w:rsid w:val="3ADD1A06"/>
    <w:rsid w:val="3AF06CC1"/>
    <w:rsid w:val="3AF96E82"/>
    <w:rsid w:val="3B183E18"/>
    <w:rsid w:val="3B215631"/>
    <w:rsid w:val="3B2D6711"/>
    <w:rsid w:val="3B51309B"/>
    <w:rsid w:val="3B883403"/>
    <w:rsid w:val="3B954F85"/>
    <w:rsid w:val="3B9C0E95"/>
    <w:rsid w:val="3BA96A60"/>
    <w:rsid w:val="3BBD0AD4"/>
    <w:rsid w:val="3BFE5D03"/>
    <w:rsid w:val="3C0248C3"/>
    <w:rsid w:val="3C072215"/>
    <w:rsid w:val="3C167592"/>
    <w:rsid w:val="3C170EB9"/>
    <w:rsid w:val="3C250799"/>
    <w:rsid w:val="3C276162"/>
    <w:rsid w:val="3C2B1BD6"/>
    <w:rsid w:val="3C2C17DF"/>
    <w:rsid w:val="3C396A58"/>
    <w:rsid w:val="3C663D83"/>
    <w:rsid w:val="3C714A0F"/>
    <w:rsid w:val="3C762FBC"/>
    <w:rsid w:val="3C9108DC"/>
    <w:rsid w:val="3CA427D7"/>
    <w:rsid w:val="3CA431D4"/>
    <w:rsid w:val="3CA86B29"/>
    <w:rsid w:val="3CAC710F"/>
    <w:rsid w:val="3CBD03A6"/>
    <w:rsid w:val="3CDC27C9"/>
    <w:rsid w:val="3CE068D8"/>
    <w:rsid w:val="3CF21AEE"/>
    <w:rsid w:val="3D0A22D5"/>
    <w:rsid w:val="3D0B5F2D"/>
    <w:rsid w:val="3D114B5C"/>
    <w:rsid w:val="3D193B16"/>
    <w:rsid w:val="3D3F2810"/>
    <w:rsid w:val="3D484D37"/>
    <w:rsid w:val="3D495DF7"/>
    <w:rsid w:val="3D851633"/>
    <w:rsid w:val="3D875BB8"/>
    <w:rsid w:val="3DBF1661"/>
    <w:rsid w:val="3E051FCE"/>
    <w:rsid w:val="3E1756B6"/>
    <w:rsid w:val="3E1920C0"/>
    <w:rsid w:val="3E2048C2"/>
    <w:rsid w:val="3E28471D"/>
    <w:rsid w:val="3E42659A"/>
    <w:rsid w:val="3E4C632F"/>
    <w:rsid w:val="3E5E3BF8"/>
    <w:rsid w:val="3E5F70CE"/>
    <w:rsid w:val="3E610DA9"/>
    <w:rsid w:val="3E645172"/>
    <w:rsid w:val="3E701062"/>
    <w:rsid w:val="3E77442B"/>
    <w:rsid w:val="3EAC39B4"/>
    <w:rsid w:val="3EC11BF7"/>
    <w:rsid w:val="3EF169DA"/>
    <w:rsid w:val="3EF93089"/>
    <w:rsid w:val="3F0E4239"/>
    <w:rsid w:val="3F127531"/>
    <w:rsid w:val="3F2B4E96"/>
    <w:rsid w:val="3F3A7BF4"/>
    <w:rsid w:val="3F495F5E"/>
    <w:rsid w:val="3F507482"/>
    <w:rsid w:val="3F5661ED"/>
    <w:rsid w:val="3F5C181E"/>
    <w:rsid w:val="3F6263C0"/>
    <w:rsid w:val="3F700303"/>
    <w:rsid w:val="3F755AF4"/>
    <w:rsid w:val="3F7A035D"/>
    <w:rsid w:val="3F7A4AAC"/>
    <w:rsid w:val="3F7F2AED"/>
    <w:rsid w:val="3F8568C6"/>
    <w:rsid w:val="3F895D56"/>
    <w:rsid w:val="3FAF7F99"/>
    <w:rsid w:val="3FBE325D"/>
    <w:rsid w:val="3FBF3E97"/>
    <w:rsid w:val="3FC24EFB"/>
    <w:rsid w:val="3FC42D5D"/>
    <w:rsid w:val="3FC470DF"/>
    <w:rsid w:val="3FDD44BD"/>
    <w:rsid w:val="3FEE70B9"/>
    <w:rsid w:val="4016105A"/>
    <w:rsid w:val="40507088"/>
    <w:rsid w:val="40511B29"/>
    <w:rsid w:val="40525CFA"/>
    <w:rsid w:val="405666DE"/>
    <w:rsid w:val="405A164D"/>
    <w:rsid w:val="405A2653"/>
    <w:rsid w:val="40622EEA"/>
    <w:rsid w:val="407D09B4"/>
    <w:rsid w:val="40892F96"/>
    <w:rsid w:val="408E1F25"/>
    <w:rsid w:val="409D774F"/>
    <w:rsid w:val="40A22DA0"/>
    <w:rsid w:val="40A354E5"/>
    <w:rsid w:val="40AA5430"/>
    <w:rsid w:val="40B03322"/>
    <w:rsid w:val="40C444B5"/>
    <w:rsid w:val="4109777D"/>
    <w:rsid w:val="411F6223"/>
    <w:rsid w:val="41390C96"/>
    <w:rsid w:val="413B683F"/>
    <w:rsid w:val="41466C95"/>
    <w:rsid w:val="414B6987"/>
    <w:rsid w:val="4158647C"/>
    <w:rsid w:val="416B0B98"/>
    <w:rsid w:val="4175321B"/>
    <w:rsid w:val="418F78FA"/>
    <w:rsid w:val="4195768D"/>
    <w:rsid w:val="41A605D0"/>
    <w:rsid w:val="41CA3305"/>
    <w:rsid w:val="41CC6A6E"/>
    <w:rsid w:val="41D46746"/>
    <w:rsid w:val="41E50241"/>
    <w:rsid w:val="41ED6B4B"/>
    <w:rsid w:val="42065175"/>
    <w:rsid w:val="42203DE5"/>
    <w:rsid w:val="423339AE"/>
    <w:rsid w:val="42400071"/>
    <w:rsid w:val="42480CFA"/>
    <w:rsid w:val="42623E1B"/>
    <w:rsid w:val="42702AE2"/>
    <w:rsid w:val="427A3AB6"/>
    <w:rsid w:val="427B2568"/>
    <w:rsid w:val="427B6090"/>
    <w:rsid w:val="428A5209"/>
    <w:rsid w:val="42A32E9D"/>
    <w:rsid w:val="42A37451"/>
    <w:rsid w:val="42AA632B"/>
    <w:rsid w:val="42AE7F37"/>
    <w:rsid w:val="42B9327D"/>
    <w:rsid w:val="42CC28E0"/>
    <w:rsid w:val="43037BB1"/>
    <w:rsid w:val="4308583C"/>
    <w:rsid w:val="432D6943"/>
    <w:rsid w:val="433E40E3"/>
    <w:rsid w:val="434C25F0"/>
    <w:rsid w:val="434D4AE8"/>
    <w:rsid w:val="43512BF1"/>
    <w:rsid w:val="435448CE"/>
    <w:rsid w:val="43572820"/>
    <w:rsid w:val="43633FF9"/>
    <w:rsid w:val="436B0A40"/>
    <w:rsid w:val="43715519"/>
    <w:rsid w:val="437B5074"/>
    <w:rsid w:val="437E400B"/>
    <w:rsid w:val="43850F37"/>
    <w:rsid w:val="43993698"/>
    <w:rsid w:val="43B31196"/>
    <w:rsid w:val="43BB720C"/>
    <w:rsid w:val="43BC335F"/>
    <w:rsid w:val="43C8502E"/>
    <w:rsid w:val="43C92B32"/>
    <w:rsid w:val="43EB7ACC"/>
    <w:rsid w:val="43FC1AB4"/>
    <w:rsid w:val="442A1993"/>
    <w:rsid w:val="442F4C28"/>
    <w:rsid w:val="44402F95"/>
    <w:rsid w:val="447D407D"/>
    <w:rsid w:val="448A0E5D"/>
    <w:rsid w:val="449D45F7"/>
    <w:rsid w:val="44A435AA"/>
    <w:rsid w:val="44A872EC"/>
    <w:rsid w:val="44A91136"/>
    <w:rsid w:val="44C07EB7"/>
    <w:rsid w:val="44C41CD0"/>
    <w:rsid w:val="44EB55BF"/>
    <w:rsid w:val="4516216D"/>
    <w:rsid w:val="451F0B3D"/>
    <w:rsid w:val="452A57C8"/>
    <w:rsid w:val="452D2698"/>
    <w:rsid w:val="454E3658"/>
    <w:rsid w:val="45836B41"/>
    <w:rsid w:val="45855270"/>
    <w:rsid w:val="45BA3A93"/>
    <w:rsid w:val="45D32B9D"/>
    <w:rsid w:val="45D51F09"/>
    <w:rsid w:val="45E335B5"/>
    <w:rsid w:val="45E94777"/>
    <w:rsid w:val="46072FDC"/>
    <w:rsid w:val="460B44C8"/>
    <w:rsid w:val="46136A51"/>
    <w:rsid w:val="46144FA7"/>
    <w:rsid w:val="461F3C01"/>
    <w:rsid w:val="462D4AD7"/>
    <w:rsid w:val="463E6D3E"/>
    <w:rsid w:val="46566AA9"/>
    <w:rsid w:val="46661558"/>
    <w:rsid w:val="466A3548"/>
    <w:rsid w:val="466C4AED"/>
    <w:rsid w:val="46967F5B"/>
    <w:rsid w:val="46AC3999"/>
    <w:rsid w:val="46B05B1F"/>
    <w:rsid w:val="46B35E11"/>
    <w:rsid w:val="46BA27BC"/>
    <w:rsid w:val="46BC6770"/>
    <w:rsid w:val="46CF7E90"/>
    <w:rsid w:val="46D13DB8"/>
    <w:rsid w:val="47240834"/>
    <w:rsid w:val="47546CCD"/>
    <w:rsid w:val="475567CD"/>
    <w:rsid w:val="475950F1"/>
    <w:rsid w:val="475B3DA3"/>
    <w:rsid w:val="478039D4"/>
    <w:rsid w:val="479E642E"/>
    <w:rsid w:val="47A20A59"/>
    <w:rsid w:val="47B5458F"/>
    <w:rsid w:val="47C1238D"/>
    <w:rsid w:val="47CB0AA5"/>
    <w:rsid w:val="47E246F7"/>
    <w:rsid w:val="47E76F91"/>
    <w:rsid w:val="47FF0DAF"/>
    <w:rsid w:val="48030380"/>
    <w:rsid w:val="48185A6B"/>
    <w:rsid w:val="48273A4D"/>
    <w:rsid w:val="483F2C13"/>
    <w:rsid w:val="48490C72"/>
    <w:rsid w:val="484A471E"/>
    <w:rsid w:val="485162E7"/>
    <w:rsid w:val="48560B58"/>
    <w:rsid w:val="48615205"/>
    <w:rsid w:val="486B3599"/>
    <w:rsid w:val="486F3FB1"/>
    <w:rsid w:val="487452ED"/>
    <w:rsid w:val="487B52AF"/>
    <w:rsid w:val="48936FC5"/>
    <w:rsid w:val="489414DE"/>
    <w:rsid w:val="48A61185"/>
    <w:rsid w:val="48C34DDE"/>
    <w:rsid w:val="48D17B15"/>
    <w:rsid w:val="48F814A8"/>
    <w:rsid w:val="48FD1D08"/>
    <w:rsid w:val="491171A1"/>
    <w:rsid w:val="491E4E3A"/>
    <w:rsid w:val="4927647B"/>
    <w:rsid w:val="492C5797"/>
    <w:rsid w:val="495013A9"/>
    <w:rsid w:val="495F48E7"/>
    <w:rsid w:val="49804F41"/>
    <w:rsid w:val="499C2D6D"/>
    <w:rsid w:val="49A674B5"/>
    <w:rsid w:val="49BF7880"/>
    <w:rsid w:val="49C82B49"/>
    <w:rsid w:val="49D56C49"/>
    <w:rsid w:val="49D855C7"/>
    <w:rsid w:val="49E97FD0"/>
    <w:rsid w:val="49EC4258"/>
    <w:rsid w:val="49F80512"/>
    <w:rsid w:val="4A21436D"/>
    <w:rsid w:val="4A263F01"/>
    <w:rsid w:val="4A3239D7"/>
    <w:rsid w:val="4A4658CB"/>
    <w:rsid w:val="4A4C1CC9"/>
    <w:rsid w:val="4A756051"/>
    <w:rsid w:val="4A7F1D52"/>
    <w:rsid w:val="4A854E3F"/>
    <w:rsid w:val="4AAB146E"/>
    <w:rsid w:val="4AED724C"/>
    <w:rsid w:val="4AF850BA"/>
    <w:rsid w:val="4AFB4F34"/>
    <w:rsid w:val="4B130467"/>
    <w:rsid w:val="4B1338CC"/>
    <w:rsid w:val="4B172B12"/>
    <w:rsid w:val="4B262EBA"/>
    <w:rsid w:val="4B3F1EC7"/>
    <w:rsid w:val="4B531F8D"/>
    <w:rsid w:val="4B662E8B"/>
    <w:rsid w:val="4B82772E"/>
    <w:rsid w:val="4B8D450C"/>
    <w:rsid w:val="4B943B21"/>
    <w:rsid w:val="4BAB096B"/>
    <w:rsid w:val="4BAF7E06"/>
    <w:rsid w:val="4BBB3716"/>
    <w:rsid w:val="4BD46636"/>
    <w:rsid w:val="4BEE45CB"/>
    <w:rsid w:val="4C082496"/>
    <w:rsid w:val="4C08678F"/>
    <w:rsid w:val="4C1B5AC4"/>
    <w:rsid w:val="4C396B73"/>
    <w:rsid w:val="4C426781"/>
    <w:rsid w:val="4C4C5496"/>
    <w:rsid w:val="4C6A1CEF"/>
    <w:rsid w:val="4C6C3432"/>
    <w:rsid w:val="4C854697"/>
    <w:rsid w:val="4C8C21FB"/>
    <w:rsid w:val="4C907331"/>
    <w:rsid w:val="4C9D08B4"/>
    <w:rsid w:val="4CA66198"/>
    <w:rsid w:val="4CAA102F"/>
    <w:rsid w:val="4CB14655"/>
    <w:rsid w:val="4CB33E17"/>
    <w:rsid w:val="4CC80B92"/>
    <w:rsid w:val="4CC92C3A"/>
    <w:rsid w:val="4CE01489"/>
    <w:rsid w:val="4CEB74B6"/>
    <w:rsid w:val="4CF50A59"/>
    <w:rsid w:val="4CF8202F"/>
    <w:rsid w:val="4CFD4AAA"/>
    <w:rsid w:val="4D182801"/>
    <w:rsid w:val="4D1836FB"/>
    <w:rsid w:val="4D533AAF"/>
    <w:rsid w:val="4D79073E"/>
    <w:rsid w:val="4D7B0185"/>
    <w:rsid w:val="4D9E34B9"/>
    <w:rsid w:val="4DAC7F99"/>
    <w:rsid w:val="4DBF6851"/>
    <w:rsid w:val="4DC90683"/>
    <w:rsid w:val="4DC94ACF"/>
    <w:rsid w:val="4DDE1EAC"/>
    <w:rsid w:val="4DE047C5"/>
    <w:rsid w:val="4DE54991"/>
    <w:rsid w:val="4DF05258"/>
    <w:rsid w:val="4E02304E"/>
    <w:rsid w:val="4E03376A"/>
    <w:rsid w:val="4E252D2A"/>
    <w:rsid w:val="4E3F795C"/>
    <w:rsid w:val="4E40707C"/>
    <w:rsid w:val="4E42373A"/>
    <w:rsid w:val="4E507D99"/>
    <w:rsid w:val="4E7D3DE7"/>
    <w:rsid w:val="4E866E0A"/>
    <w:rsid w:val="4E8D2056"/>
    <w:rsid w:val="4EBB286E"/>
    <w:rsid w:val="4EC0251F"/>
    <w:rsid w:val="4ED21F42"/>
    <w:rsid w:val="4EE07940"/>
    <w:rsid w:val="4EF647A8"/>
    <w:rsid w:val="4F093E78"/>
    <w:rsid w:val="4F1D2082"/>
    <w:rsid w:val="4F1E444B"/>
    <w:rsid w:val="4F275AD4"/>
    <w:rsid w:val="4F280A7B"/>
    <w:rsid w:val="4F2B223C"/>
    <w:rsid w:val="4F2C416E"/>
    <w:rsid w:val="4F3B0396"/>
    <w:rsid w:val="4F3C3E0A"/>
    <w:rsid w:val="4F4D0E89"/>
    <w:rsid w:val="4F5464CE"/>
    <w:rsid w:val="4F55307E"/>
    <w:rsid w:val="4F6F5219"/>
    <w:rsid w:val="4F8E4B27"/>
    <w:rsid w:val="4F907AA4"/>
    <w:rsid w:val="4FA60918"/>
    <w:rsid w:val="4FA7611C"/>
    <w:rsid w:val="4FB476B5"/>
    <w:rsid w:val="4FBC4BF4"/>
    <w:rsid w:val="4FD65B1E"/>
    <w:rsid w:val="50051405"/>
    <w:rsid w:val="500832F8"/>
    <w:rsid w:val="501136F0"/>
    <w:rsid w:val="502256AD"/>
    <w:rsid w:val="504215FA"/>
    <w:rsid w:val="50451DB7"/>
    <w:rsid w:val="504B791D"/>
    <w:rsid w:val="508F60CA"/>
    <w:rsid w:val="50981162"/>
    <w:rsid w:val="50BC7B28"/>
    <w:rsid w:val="50C06385"/>
    <w:rsid w:val="50CE6418"/>
    <w:rsid w:val="50D40BCA"/>
    <w:rsid w:val="50D70E9D"/>
    <w:rsid w:val="50F35D93"/>
    <w:rsid w:val="50FA44CD"/>
    <w:rsid w:val="510036F5"/>
    <w:rsid w:val="5105303B"/>
    <w:rsid w:val="51114085"/>
    <w:rsid w:val="511216F1"/>
    <w:rsid w:val="512A1CE3"/>
    <w:rsid w:val="514516F1"/>
    <w:rsid w:val="51545650"/>
    <w:rsid w:val="516E7D73"/>
    <w:rsid w:val="5180209A"/>
    <w:rsid w:val="51897721"/>
    <w:rsid w:val="519667AD"/>
    <w:rsid w:val="51973EE4"/>
    <w:rsid w:val="51A84D41"/>
    <w:rsid w:val="51AA2482"/>
    <w:rsid w:val="51B1317F"/>
    <w:rsid w:val="51C23429"/>
    <w:rsid w:val="51DB1E92"/>
    <w:rsid w:val="51E14E39"/>
    <w:rsid w:val="51ED757F"/>
    <w:rsid w:val="52150A7D"/>
    <w:rsid w:val="52414306"/>
    <w:rsid w:val="52457AEB"/>
    <w:rsid w:val="52564EE5"/>
    <w:rsid w:val="52666F95"/>
    <w:rsid w:val="526763FB"/>
    <w:rsid w:val="52741EC2"/>
    <w:rsid w:val="52E00474"/>
    <w:rsid w:val="53336AAE"/>
    <w:rsid w:val="533A136C"/>
    <w:rsid w:val="53480B19"/>
    <w:rsid w:val="5355264E"/>
    <w:rsid w:val="535F2BBA"/>
    <w:rsid w:val="53741313"/>
    <w:rsid w:val="537C67BA"/>
    <w:rsid w:val="53AF337A"/>
    <w:rsid w:val="53B26284"/>
    <w:rsid w:val="53B759F4"/>
    <w:rsid w:val="53B82303"/>
    <w:rsid w:val="53D225A4"/>
    <w:rsid w:val="53DF4479"/>
    <w:rsid w:val="54157C9B"/>
    <w:rsid w:val="54186AD3"/>
    <w:rsid w:val="54371F77"/>
    <w:rsid w:val="543B112A"/>
    <w:rsid w:val="544A4D29"/>
    <w:rsid w:val="54547B86"/>
    <w:rsid w:val="545E0121"/>
    <w:rsid w:val="546A3396"/>
    <w:rsid w:val="54760B52"/>
    <w:rsid w:val="5481317B"/>
    <w:rsid w:val="5494027A"/>
    <w:rsid w:val="54A21918"/>
    <w:rsid w:val="54AA76FF"/>
    <w:rsid w:val="54B92F65"/>
    <w:rsid w:val="54DA00AC"/>
    <w:rsid w:val="54DE5937"/>
    <w:rsid w:val="54E01632"/>
    <w:rsid w:val="54E05AE9"/>
    <w:rsid w:val="54E82ECC"/>
    <w:rsid w:val="54FB3C17"/>
    <w:rsid w:val="55220DA5"/>
    <w:rsid w:val="55272CCA"/>
    <w:rsid w:val="552B579B"/>
    <w:rsid w:val="55487F01"/>
    <w:rsid w:val="555C6E60"/>
    <w:rsid w:val="556B7BE3"/>
    <w:rsid w:val="556E398A"/>
    <w:rsid w:val="558114B8"/>
    <w:rsid w:val="55813D78"/>
    <w:rsid w:val="55910F8E"/>
    <w:rsid w:val="55AB500F"/>
    <w:rsid w:val="55B256C0"/>
    <w:rsid w:val="55C73811"/>
    <w:rsid w:val="55DF79E5"/>
    <w:rsid w:val="55FC4942"/>
    <w:rsid w:val="5611384C"/>
    <w:rsid w:val="561B28DD"/>
    <w:rsid w:val="561D05FE"/>
    <w:rsid w:val="5635520A"/>
    <w:rsid w:val="564846E1"/>
    <w:rsid w:val="565D7C06"/>
    <w:rsid w:val="566056C5"/>
    <w:rsid w:val="56641FF0"/>
    <w:rsid w:val="566C0CDE"/>
    <w:rsid w:val="567F34E2"/>
    <w:rsid w:val="56840D14"/>
    <w:rsid w:val="568868CC"/>
    <w:rsid w:val="56933527"/>
    <w:rsid w:val="56994311"/>
    <w:rsid w:val="569C4AD4"/>
    <w:rsid w:val="56A90562"/>
    <w:rsid w:val="56AD325A"/>
    <w:rsid w:val="56AD47B1"/>
    <w:rsid w:val="56B913AD"/>
    <w:rsid w:val="56DA0859"/>
    <w:rsid w:val="56DC35DD"/>
    <w:rsid w:val="56E17318"/>
    <w:rsid w:val="56FD590E"/>
    <w:rsid w:val="56FE257B"/>
    <w:rsid w:val="57036880"/>
    <w:rsid w:val="57305E26"/>
    <w:rsid w:val="57314C5A"/>
    <w:rsid w:val="574A5794"/>
    <w:rsid w:val="57535E02"/>
    <w:rsid w:val="575A261C"/>
    <w:rsid w:val="5778511F"/>
    <w:rsid w:val="57A6426A"/>
    <w:rsid w:val="57E01724"/>
    <w:rsid w:val="57F307C1"/>
    <w:rsid w:val="57FA2BAA"/>
    <w:rsid w:val="57FA43F1"/>
    <w:rsid w:val="580162E5"/>
    <w:rsid w:val="58041F34"/>
    <w:rsid w:val="5815497A"/>
    <w:rsid w:val="581C6799"/>
    <w:rsid w:val="58327181"/>
    <w:rsid w:val="58411019"/>
    <w:rsid w:val="585D149C"/>
    <w:rsid w:val="586621B6"/>
    <w:rsid w:val="589C683B"/>
    <w:rsid w:val="58B9588A"/>
    <w:rsid w:val="58BD41D3"/>
    <w:rsid w:val="58C14572"/>
    <w:rsid w:val="58C73AD7"/>
    <w:rsid w:val="58DA2920"/>
    <w:rsid w:val="58F020A3"/>
    <w:rsid w:val="58FB332B"/>
    <w:rsid w:val="59337786"/>
    <w:rsid w:val="59540A82"/>
    <w:rsid w:val="59594578"/>
    <w:rsid w:val="59631729"/>
    <w:rsid w:val="598A7A09"/>
    <w:rsid w:val="59B33075"/>
    <w:rsid w:val="59B63D96"/>
    <w:rsid w:val="59C13ED2"/>
    <w:rsid w:val="59E6253A"/>
    <w:rsid w:val="59E7033F"/>
    <w:rsid w:val="5A0354F7"/>
    <w:rsid w:val="5A146C55"/>
    <w:rsid w:val="5A1E5359"/>
    <w:rsid w:val="5A291824"/>
    <w:rsid w:val="5A303163"/>
    <w:rsid w:val="5A344ECC"/>
    <w:rsid w:val="5A390B46"/>
    <w:rsid w:val="5A492723"/>
    <w:rsid w:val="5A5D74BC"/>
    <w:rsid w:val="5A7C5C8F"/>
    <w:rsid w:val="5A90403D"/>
    <w:rsid w:val="5A9D71ED"/>
    <w:rsid w:val="5AA2571A"/>
    <w:rsid w:val="5AB04EDE"/>
    <w:rsid w:val="5AC64C86"/>
    <w:rsid w:val="5ACF4A76"/>
    <w:rsid w:val="5AD51064"/>
    <w:rsid w:val="5ADE295C"/>
    <w:rsid w:val="5AF8170C"/>
    <w:rsid w:val="5B05555C"/>
    <w:rsid w:val="5B1649CC"/>
    <w:rsid w:val="5B244DD8"/>
    <w:rsid w:val="5B2717CA"/>
    <w:rsid w:val="5B295890"/>
    <w:rsid w:val="5B2E4556"/>
    <w:rsid w:val="5B3879B9"/>
    <w:rsid w:val="5B436EF0"/>
    <w:rsid w:val="5B4D2B80"/>
    <w:rsid w:val="5B550806"/>
    <w:rsid w:val="5B893F6C"/>
    <w:rsid w:val="5B9F1B41"/>
    <w:rsid w:val="5BA37F28"/>
    <w:rsid w:val="5BAE24A8"/>
    <w:rsid w:val="5BB117B1"/>
    <w:rsid w:val="5BBA6302"/>
    <w:rsid w:val="5BC51BF0"/>
    <w:rsid w:val="5BCF26D8"/>
    <w:rsid w:val="5C0B7CEE"/>
    <w:rsid w:val="5C44015E"/>
    <w:rsid w:val="5C4D41F0"/>
    <w:rsid w:val="5C554BC5"/>
    <w:rsid w:val="5C7D3D43"/>
    <w:rsid w:val="5C882C4F"/>
    <w:rsid w:val="5C8962BA"/>
    <w:rsid w:val="5C94510E"/>
    <w:rsid w:val="5CA70B0A"/>
    <w:rsid w:val="5CBD523A"/>
    <w:rsid w:val="5CCD31A9"/>
    <w:rsid w:val="5CD2475E"/>
    <w:rsid w:val="5CF503AC"/>
    <w:rsid w:val="5CF86CAE"/>
    <w:rsid w:val="5D0B3776"/>
    <w:rsid w:val="5D2E6FEF"/>
    <w:rsid w:val="5D443020"/>
    <w:rsid w:val="5D47572E"/>
    <w:rsid w:val="5D485FD5"/>
    <w:rsid w:val="5D487E79"/>
    <w:rsid w:val="5D516A2D"/>
    <w:rsid w:val="5D65410C"/>
    <w:rsid w:val="5D6C5E39"/>
    <w:rsid w:val="5D71281A"/>
    <w:rsid w:val="5D7D662C"/>
    <w:rsid w:val="5D951F9E"/>
    <w:rsid w:val="5D954FBB"/>
    <w:rsid w:val="5DE847B7"/>
    <w:rsid w:val="5E0779FA"/>
    <w:rsid w:val="5E1D5BB1"/>
    <w:rsid w:val="5E1D5F77"/>
    <w:rsid w:val="5E234035"/>
    <w:rsid w:val="5E270E83"/>
    <w:rsid w:val="5E2911D4"/>
    <w:rsid w:val="5E3574D4"/>
    <w:rsid w:val="5E4F7B9F"/>
    <w:rsid w:val="5E5D1A5A"/>
    <w:rsid w:val="5E751A3D"/>
    <w:rsid w:val="5E7762CF"/>
    <w:rsid w:val="5E8460C1"/>
    <w:rsid w:val="5EBF574D"/>
    <w:rsid w:val="5EC9135A"/>
    <w:rsid w:val="5ED14E5B"/>
    <w:rsid w:val="5EEF3222"/>
    <w:rsid w:val="5EF04B7B"/>
    <w:rsid w:val="5EFD4E30"/>
    <w:rsid w:val="5EFF3DE0"/>
    <w:rsid w:val="5F007B24"/>
    <w:rsid w:val="5F106EAF"/>
    <w:rsid w:val="5F283CA5"/>
    <w:rsid w:val="5F305F32"/>
    <w:rsid w:val="5F425A26"/>
    <w:rsid w:val="5F4E3CB5"/>
    <w:rsid w:val="5F7D1E64"/>
    <w:rsid w:val="5F9374D0"/>
    <w:rsid w:val="5FDA48B5"/>
    <w:rsid w:val="5FE25384"/>
    <w:rsid w:val="5FE875BC"/>
    <w:rsid w:val="60671E65"/>
    <w:rsid w:val="607562A7"/>
    <w:rsid w:val="608664A5"/>
    <w:rsid w:val="608C7B28"/>
    <w:rsid w:val="608F41F2"/>
    <w:rsid w:val="609E6925"/>
    <w:rsid w:val="60AE382B"/>
    <w:rsid w:val="60BA77CD"/>
    <w:rsid w:val="60C63F24"/>
    <w:rsid w:val="60CA2B58"/>
    <w:rsid w:val="60CF2A9D"/>
    <w:rsid w:val="60F80C2F"/>
    <w:rsid w:val="60FC20EC"/>
    <w:rsid w:val="612C2AD6"/>
    <w:rsid w:val="613468C2"/>
    <w:rsid w:val="613A48D5"/>
    <w:rsid w:val="61487E7F"/>
    <w:rsid w:val="614C4BCD"/>
    <w:rsid w:val="614F6149"/>
    <w:rsid w:val="61572E4F"/>
    <w:rsid w:val="616128EC"/>
    <w:rsid w:val="616720C6"/>
    <w:rsid w:val="61725619"/>
    <w:rsid w:val="617E294F"/>
    <w:rsid w:val="618649E8"/>
    <w:rsid w:val="619104F5"/>
    <w:rsid w:val="61AB7C65"/>
    <w:rsid w:val="61C3512C"/>
    <w:rsid w:val="61DB7979"/>
    <w:rsid w:val="62073433"/>
    <w:rsid w:val="620B3059"/>
    <w:rsid w:val="620D753C"/>
    <w:rsid w:val="62181D46"/>
    <w:rsid w:val="62396FE6"/>
    <w:rsid w:val="626B7791"/>
    <w:rsid w:val="62721747"/>
    <w:rsid w:val="628762A4"/>
    <w:rsid w:val="628C2933"/>
    <w:rsid w:val="628C4312"/>
    <w:rsid w:val="62AB1D8D"/>
    <w:rsid w:val="62C42917"/>
    <w:rsid w:val="62D55079"/>
    <w:rsid w:val="62D9309F"/>
    <w:rsid w:val="62DE5A92"/>
    <w:rsid w:val="62E73481"/>
    <w:rsid w:val="62ED42C9"/>
    <w:rsid w:val="62F0419C"/>
    <w:rsid w:val="62FA55D0"/>
    <w:rsid w:val="631A7E52"/>
    <w:rsid w:val="63234C0F"/>
    <w:rsid w:val="634B4DB7"/>
    <w:rsid w:val="634C01CF"/>
    <w:rsid w:val="635665B8"/>
    <w:rsid w:val="637A72AA"/>
    <w:rsid w:val="63A83A82"/>
    <w:rsid w:val="63CB3622"/>
    <w:rsid w:val="63D600F2"/>
    <w:rsid w:val="63E31E9D"/>
    <w:rsid w:val="640434E5"/>
    <w:rsid w:val="64185C22"/>
    <w:rsid w:val="642F10B3"/>
    <w:rsid w:val="64382979"/>
    <w:rsid w:val="643B275E"/>
    <w:rsid w:val="64411A38"/>
    <w:rsid w:val="64587275"/>
    <w:rsid w:val="646A5BED"/>
    <w:rsid w:val="64C4485F"/>
    <w:rsid w:val="64DA076B"/>
    <w:rsid w:val="64E36924"/>
    <w:rsid w:val="64E9112D"/>
    <w:rsid w:val="65014155"/>
    <w:rsid w:val="65142B38"/>
    <w:rsid w:val="6520621E"/>
    <w:rsid w:val="653D68E6"/>
    <w:rsid w:val="65630AA9"/>
    <w:rsid w:val="656A3683"/>
    <w:rsid w:val="656A7144"/>
    <w:rsid w:val="657B048C"/>
    <w:rsid w:val="657F70B1"/>
    <w:rsid w:val="65800053"/>
    <w:rsid w:val="65865107"/>
    <w:rsid w:val="6589499B"/>
    <w:rsid w:val="659242EE"/>
    <w:rsid w:val="65B0069A"/>
    <w:rsid w:val="65B61ED7"/>
    <w:rsid w:val="65DE72D9"/>
    <w:rsid w:val="65E9533F"/>
    <w:rsid w:val="65F76683"/>
    <w:rsid w:val="65F93869"/>
    <w:rsid w:val="660B2971"/>
    <w:rsid w:val="660B5D8E"/>
    <w:rsid w:val="66224F9D"/>
    <w:rsid w:val="6632531C"/>
    <w:rsid w:val="666474FA"/>
    <w:rsid w:val="667237CD"/>
    <w:rsid w:val="66953E2E"/>
    <w:rsid w:val="669F7CBA"/>
    <w:rsid w:val="66AE39AD"/>
    <w:rsid w:val="66B00768"/>
    <w:rsid w:val="66FB73E6"/>
    <w:rsid w:val="670A4B9E"/>
    <w:rsid w:val="67171C12"/>
    <w:rsid w:val="671C012D"/>
    <w:rsid w:val="672E507D"/>
    <w:rsid w:val="673936D7"/>
    <w:rsid w:val="67474F38"/>
    <w:rsid w:val="67517AFA"/>
    <w:rsid w:val="67805AAD"/>
    <w:rsid w:val="67AB1B26"/>
    <w:rsid w:val="67B265D1"/>
    <w:rsid w:val="67B30E44"/>
    <w:rsid w:val="67C23B71"/>
    <w:rsid w:val="67C501C3"/>
    <w:rsid w:val="67E55296"/>
    <w:rsid w:val="67E87F7F"/>
    <w:rsid w:val="67FF282D"/>
    <w:rsid w:val="68080A2F"/>
    <w:rsid w:val="681E7CFD"/>
    <w:rsid w:val="68221B5F"/>
    <w:rsid w:val="682633F9"/>
    <w:rsid w:val="68270406"/>
    <w:rsid w:val="68273145"/>
    <w:rsid w:val="682A5BF7"/>
    <w:rsid w:val="68535738"/>
    <w:rsid w:val="68721156"/>
    <w:rsid w:val="68755597"/>
    <w:rsid w:val="687C423F"/>
    <w:rsid w:val="68863414"/>
    <w:rsid w:val="68C25D28"/>
    <w:rsid w:val="68D033F3"/>
    <w:rsid w:val="68DC689F"/>
    <w:rsid w:val="68E0170A"/>
    <w:rsid w:val="68F302CC"/>
    <w:rsid w:val="69123CE1"/>
    <w:rsid w:val="69141C2E"/>
    <w:rsid w:val="69184264"/>
    <w:rsid w:val="693350FB"/>
    <w:rsid w:val="695479FA"/>
    <w:rsid w:val="696F1E02"/>
    <w:rsid w:val="69705CB0"/>
    <w:rsid w:val="69762AAC"/>
    <w:rsid w:val="697826BD"/>
    <w:rsid w:val="69874F79"/>
    <w:rsid w:val="69997553"/>
    <w:rsid w:val="69AA23F5"/>
    <w:rsid w:val="69BF7EC3"/>
    <w:rsid w:val="69D330B4"/>
    <w:rsid w:val="69DC11A9"/>
    <w:rsid w:val="69F432B5"/>
    <w:rsid w:val="6A1B5C00"/>
    <w:rsid w:val="6A2835EC"/>
    <w:rsid w:val="6A291175"/>
    <w:rsid w:val="6A2C34AA"/>
    <w:rsid w:val="6A6459AF"/>
    <w:rsid w:val="6A6C58D6"/>
    <w:rsid w:val="6A820F91"/>
    <w:rsid w:val="6A824374"/>
    <w:rsid w:val="6A87407F"/>
    <w:rsid w:val="6A99127D"/>
    <w:rsid w:val="6AB060FC"/>
    <w:rsid w:val="6AB8004E"/>
    <w:rsid w:val="6AB861B4"/>
    <w:rsid w:val="6AD96CB7"/>
    <w:rsid w:val="6ADE3093"/>
    <w:rsid w:val="6B0F3C1E"/>
    <w:rsid w:val="6B13077A"/>
    <w:rsid w:val="6B1424DD"/>
    <w:rsid w:val="6B221E5F"/>
    <w:rsid w:val="6B272595"/>
    <w:rsid w:val="6B2B1CE6"/>
    <w:rsid w:val="6B2F5E6F"/>
    <w:rsid w:val="6B4629BA"/>
    <w:rsid w:val="6B4C3CF7"/>
    <w:rsid w:val="6B6B5CD2"/>
    <w:rsid w:val="6B711394"/>
    <w:rsid w:val="6B7C0E69"/>
    <w:rsid w:val="6B882178"/>
    <w:rsid w:val="6BA078E7"/>
    <w:rsid w:val="6BB36B04"/>
    <w:rsid w:val="6BC576AE"/>
    <w:rsid w:val="6BC82F86"/>
    <w:rsid w:val="6BCC1277"/>
    <w:rsid w:val="6BE4278E"/>
    <w:rsid w:val="6BEA1F9C"/>
    <w:rsid w:val="6BFC4F57"/>
    <w:rsid w:val="6C1E60D3"/>
    <w:rsid w:val="6C1F76C2"/>
    <w:rsid w:val="6C4E1244"/>
    <w:rsid w:val="6C560A6F"/>
    <w:rsid w:val="6C573456"/>
    <w:rsid w:val="6C5B6EEC"/>
    <w:rsid w:val="6C5D2D2B"/>
    <w:rsid w:val="6C6E3EA2"/>
    <w:rsid w:val="6C7765FE"/>
    <w:rsid w:val="6C8008DC"/>
    <w:rsid w:val="6CAA5E4D"/>
    <w:rsid w:val="6CC60DC9"/>
    <w:rsid w:val="6CD44DB3"/>
    <w:rsid w:val="6CDC7845"/>
    <w:rsid w:val="6CEC761E"/>
    <w:rsid w:val="6D000FC4"/>
    <w:rsid w:val="6D031778"/>
    <w:rsid w:val="6D08005D"/>
    <w:rsid w:val="6D0A7C83"/>
    <w:rsid w:val="6D106FB7"/>
    <w:rsid w:val="6D1C3F9C"/>
    <w:rsid w:val="6D2B7848"/>
    <w:rsid w:val="6D2D71D1"/>
    <w:rsid w:val="6D4A67A4"/>
    <w:rsid w:val="6D511E70"/>
    <w:rsid w:val="6D517127"/>
    <w:rsid w:val="6D5D5CC1"/>
    <w:rsid w:val="6D6B744D"/>
    <w:rsid w:val="6DA07DE7"/>
    <w:rsid w:val="6DA721E6"/>
    <w:rsid w:val="6DBE5CD2"/>
    <w:rsid w:val="6DE374BA"/>
    <w:rsid w:val="6DEC6B1D"/>
    <w:rsid w:val="6E1A3D81"/>
    <w:rsid w:val="6E20601C"/>
    <w:rsid w:val="6E2A5041"/>
    <w:rsid w:val="6E2C4FDA"/>
    <w:rsid w:val="6E3A38A7"/>
    <w:rsid w:val="6E41574E"/>
    <w:rsid w:val="6E4660D0"/>
    <w:rsid w:val="6E4A043D"/>
    <w:rsid w:val="6E6F129A"/>
    <w:rsid w:val="6E8C7E9A"/>
    <w:rsid w:val="6EA7226C"/>
    <w:rsid w:val="6EB13143"/>
    <w:rsid w:val="6EBF0F07"/>
    <w:rsid w:val="6EC3545C"/>
    <w:rsid w:val="6ECA78B1"/>
    <w:rsid w:val="6ECB217D"/>
    <w:rsid w:val="6EFD5C0F"/>
    <w:rsid w:val="6F0211AE"/>
    <w:rsid w:val="6F081FAF"/>
    <w:rsid w:val="6F252E0D"/>
    <w:rsid w:val="6F257D94"/>
    <w:rsid w:val="6F4379DD"/>
    <w:rsid w:val="6F6A055F"/>
    <w:rsid w:val="6F6A09C1"/>
    <w:rsid w:val="6F733EF8"/>
    <w:rsid w:val="6F7478CD"/>
    <w:rsid w:val="6F8310B0"/>
    <w:rsid w:val="6FA66C5B"/>
    <w:rsid w:val="6FA95740"/>
    <w:rsid w:val="6FAF4A0F"/>
    <w:rsid w:val="6FB917DB"/>
    <w:rsid w:val="6FC80B1A"/>
    <w:rsid w:val="6FD412E1"/>
    <w:rsid w:val="6FEA1D9F"/>
    <w:rsid w:val="6FEE7DF4"/>
    <w:rsid w:val="6FF43A17"/>
    <w:rsid w:val="6FF473BA"/>
    <w:rsid w:val="6FFC588A"/>
    <w:rsid w:val="70233526"/>
    <w:rsid w:val="70306C17"/>
    <w:rsid w:val="70754C0A"/>
    <w:rsid w:val="707D41BC"/>
    <w:rsid w:val="70810F20"/>
    <w:rsid w:val="70984F7D"/>
    <w:rsid w:val="709970EF"/>
    <w:rsid w:val="709C1A8C"/>
    <w:rsid w:val="70B27B70"/>
    <w:rsid w:val="70CE09C3"/>
    <w:rsid w:val="70E41A32"/>
    <w:rsid w:val="70F7207B"/>
    <w:rsid w:val="71147566"/>
    <w:rsid w:val="71287630"/>
    <w:rsid w:val="712C1AEB"/>
    <w:rsid w:val="713148BC"/>
    <w:rsid w:val="71371CF9"/>
    <w:rsid w:val="713E5AE7"/>
    <w:rsid w:val="716F1C44"/>
    <w:rsid w:val="717E7A69"/>
    <w:rsid w:val="71806D32"/>
    <w:rsid w:val="718A3B7E"/>
    <w:rsid w:val="71AD6FAE"/>
    <w:rsid w:val="71AE30B5"/>
    <w:rsid w:val="71C27EC8"/>
    <w:rsid w:val="71C33DD0"/>
    <w:rsid w:val="71C479B7"/>
    <w:rsid w:val="72005AE6"/>
    <w:rsid w:val="72104AC2"/>
    <w:rsid w:val="72124041"/>
    <w:rsid w:val="72135B21"/>
    <w:rsid w:val="721601E1"/>
    <w:rsid w:val="72337620"/>
    <w:rsid w:val="723F5BDB"/>
    <w:rsid w:val="72570EA7"/>
    <w:rsid w:val="72726B56"/>
    <w:rsid w:val="727355E2"/>
    <w:rsid w:val="727929D3"/>
    <w:rsid w:val="72A11E23"/>
    <w:rsid w:val="72A322A5"/>
    <w:rsid w:val="72AF0917"/>
    <w:rsid w:val="72B3210B"/>
    <w:rsid w:val="72CF7ADB"/>
    <w:rsid w:val="72E75951"/>
    <w:rsid w:val="72E91B02"/>
    <w:rsid w:val="72F9284C"/>
    <w:rsid w:val="72FF3233"/>
    <w:rsid w:val="732650C3"/>
    <w:rsid w:val="733C616F"/>
    <w:rsid w:val="733E7660"/>
    <w:rsid w:val="7340334A"/>
    <w:rsid w:val="734A7EB9"/>
    <w:rsid w:val="735027E5"/>
    <w:rsid w:val="73586DC3"/>
    <w:rsid w:val="735B05AA"/>
    <w:rsid w:val="736811C4"/>
    <w:rsid w:val="73725CC7"/>
    <w:rsid w:val="737E4A2B"/>
    <w:rsid w:val="739B35DE"/>
    <w:rsid w:val="73C15DD3"/>
    <w:rsid w:val="73DA0AAB"/>
    <w:rsid w:val="73FA2A89"/>
    <w:rsid w:val="73FF32CB"/>
    <w:rsid w:val="7405758D"/>
    <w:rsid w:val="74301EA6"/>
    <w:rsid w:val="74386E56"/>
    <w:rsid w:val="7439010A"/>
    <w:rsid w:val="745E6FF3"/>
    <w:rsid w:val="74622F2F"/>
    <w:rsid w:val="74754182"/>
    <w:rsid w:val="7497088D"/>
    <w:rsid w:val="74A30572"/>
    <w:rsid w:val="74C73FE3"/>
    <w:rsid w:val="74DC5A55"/>
    <w:rsid w:val="74E71A82"/>
    <w:rsid w:val="74F64E3F"/>
    <w:rsid w:val="74FD1B30"/>
    <w:rsid w:val="751D0E17"/>
    <w:rsid w:val="754A05DC"/>
    <w:rsid w:val="75942A40"/>
    <w:rsid w:val="75A023F2"/>
    <w:rsid w:val="75C5780F"/>
    <w:rsid w:val="75FB2A56"/>
    <w:rsid w:val="75FB762C"/>
    <w:rsid w:val="75FF18EA"/>
    <w:rsid w:val="76023351"/>
    <w:rsid w:val="761730DD"/>
    <w:rsid w:val="762514F1"/>
    <w:rsid w:val="762C5C47"/>
    <w:rsid w:val="762D1373"/>
    <w:rsid w:val="765512FB"/>
    <w:rsid w:val="765E31FB"/>
    <w:rsid w:val="765F1B88"/>
    <w:rsid w:val="766477E6"/>
    <w:rsid w:val="76687032"/>
    <w:rsid w:val="7672045B"/>
    <w:rsid w:val="76766B2A"/>
    <w:rsid w:val="767F2D37"/>
    <w:rsid w:val="76895AED"/>
    <w:rsid w:val="7698131F"/>
    <w:rsid w:val="76984EB1"/>
    <w:rsid w:val="76991A17"/>
    <w:rsid w:val="76BA50E5"/>
    <w:rsid w:val="76C42FE0"/>
    <w:rsid w:val="76D42781"/>
    <w:rsid w:val="76D81D5A"/>
    <w:rsid w:val="77067FBD"/>
    <w:rsid w:val="771672D4"/>
    <w:rsid w:val="771A06F0"/>
    <w:rsid w:val="77236D53"/>
    <w:rsid w:val="772A5AB9"/>
    <w:rsid w:val="774D3DC3"/>
    <w:rsid w:val="776A22E2"/>
    <w:rsid w:val="776D6580"/>
    <w:rsid w:val="778C04E9"/>
    <w:rsid w:val="778F2765"/>
    <w:rsid w:val="77B360B7"/>
    <w:rsid w:val="77E22291"/>
    <w:rsid w:val="78125407"/>
    <w:rsid w:val="78163E0D"/>
    <w:rsid w:val="78300AEE"/>
    <w:rsid w:val="784F14F7"/>
    <w:rsid w:val="78507637"/>
    <w:rsid w:val="7859168E"/>
    <w:rsid w:val="7867796C"/>
    <w:rsid w:val="787F40EE"/>
    <w:rsid w:val="78985EAB"/>
    <w:rsid w:val="789E5F80"/>
    <w:rsid w:val="78B4709E"/>
    <w:rsid w:val="78B57BD3"/>
    <w:rsid w:val="78C14DB7"/>
    <w:rsid w:val="78C243BF"/>
    <w:rsid w:val="78D81144"/>
    <w:rsid w:val="78F669DD"/>
    <w:rsid w:val="79047D24"/>
    <w:rsid w:val="792073FF"/>
    <w:rsid w:val="79255B1E"/>
    <w:rsid w:val="79327BE3"/>
    <w:rsid w:val="793423B9"/>
    <w:rsid w:val="794674FF"/>
    <w:rsid w:val="794F5E9D"/>
    <w:rsid w:val="7950305C"/>
    <w:rsid w:val="79596ED9"/>
    <w:rsid w:val="796606AB"/>
    <w:rsid w:val="797279F9"/>
    <w:rsid w:val="798B6440"/>
    <w:rsid w:val="79976759"/>
    <w:rsid w:val="799C0BFC"/>
    <w:rsid w:val="79B50C6F"/>
    <w:rsid w:val="79D319E8"/>
    <w:rsid w:val="79E06AB0"/>
    <w:rsid w:val="7A0527D6"/>
    <w:rsid w:val="7A073B40"/>
    <w:rsid w:val="7A1E66A7"/>
    <w:rsid w:val="7A3E3C86"/>
    <w:rsid w:val="7A421F6B"/>
    <w:rsid w:val="7A9C129D"/>
    <w:rsid w:val="7AAC617C"/>
    <w:rsid w:val="7ABB0835"/>
    <w:rsid w:val="7ABE7A74"/>
    <w:rsid w:val="7AC3193E"/>
    <w:rsid w:val="7AD825ED"/>
    <w:rsid w:val="7AE7522B"/>
    <w:rsid w:val="7AF11E4A"/>
    <w:rsid w:val="7AFC756B"/>
    <w:rsid w:val="7B0A616D"/>
    <w:rsid w:val="7B1530FA"/>
    <w:rsid w:val="7B683559"/>
    <w:rsid w:val="7B6A65F9"/>
    <w:rsid w:val="7B73525D"/>
    <w:rsid w:val="7B754167"/>
    <w:rsid w:val="7B841502"/>
    <w:rsid w:val="7B856B69"/>
    <w:rsid w:val="7BA51FAA"/>
    <w:rsid w:val="7BA71431"/>
    <w:rsid w:val="7BAB65F0"/>
    <w:rsid w:val="7BC5601A"/>
    <w:rsid w:val="7BE067C0"/>
    <w:rsid w:val="7BF7355E"/>
    <w:rsid w:val="7C041716"/>
    <w:rsid w:val="7C0F6F8D"/>
    <w:rsid w:val="7C1832E2"/>
    <w:rsid w:val="7C2C3168"/>
    <w:rsid w:val="7C60764A"/>
    <w:rsid w:val="7C7F077B"/>
    <w:rsid w:val="7C9A2C55"/>
    <w:rsid w:val="7CB570A3"/>
    <w:rsid w:val="7CC85D2E"/>
    <w:rsid w:val="7CFA0A3C"/>
    <w:rsid w:val="7CFB25C5"/>
    <w:rsid w:val="7D024938"/>
    <w:rsid w:val="7D0432EA"/>
    <w:rsid w:val="7D071A67"/>
    <w:rsid w:val="7D153027"/>
    <w:rsid w:val="7D240558"/>
    <w:rsid w:val="7D4E4391"/>
    <w:rsid w:val="7D515775"/>
    <w:rsid w:val="7D6A50D1"/>
    <w:rsid w:val="7D6C1F0C"/>
    <w:rsid w:val="7D6F7C2B"/>
    <w:rsid w:val="7D7B5BD6"/>
    <w:rsid w:val="7D812A55"/>
    <w:rsid w:val="7D9828AA"/>
    <w:rsid w:val="7DA15DD8"/>
    <w:rsid w:val="7DA54E7B"/>
    <w:rsid w:val="7DAD4B1E"/>
    <w:rsid w:val="7DB60B95"/>
    <w:rsid w:val="7DCD6B2C"/>
    <w:rsid w:val="7DCE4670"/>
    <w:rsid w:val="7DDB6F5C"/>
    <w:rsid w:val="7DDF08B2"/>
    <w:rsid w:val="7DDF7781"/>
    <w:rsid w:val="7DFC432C"/>
    <w:rsid w:val="7E2F58AE"/>
    <w:rsid w:val="7E464EB2"/>
    <w:rsid w:val="7E5724CE"/>
    <w:rsid w:val="7E5B4BE3"/>
    <w:rsid w:val="7E6C79E8"/>
    <w:rsid w:val="7E6E14DC"/>
    <w:rsid w:val="7E90029F"/>
    <w:rsid w:val="7EB90785"/>
    <w:rsid w:val="7EE97E69"/>
    <w:rsid w:val="7EEF15E6"/>
    <w:rsid w:val="7F0F3C4C"/>
    <w:rsid w:val="7F102E25"/>
    <w:rsid w:val="7F2B3490"/>
    <w:rsid w:val="7F81479C"/>
    <w:rsid w:val="7F961536"/>
    <w:rsid w:val="7FA33418"/>
    <w:rsid w:val="7FB772DD"/>
    <w:rsid w:val="7FD5728C"/>
    <w:rsid w:val="7FE66A22"/>
    <w:rsid w:val="7FED0787"/>
    <w:rsid w:val="7FF352B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9" w:semiHidden="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qFormat="1" w:uiPriority="99"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黑体"/>
      <w:kern w:val="2"/>
      <w:sz w:val="21"/>
      <w:szCs w:val="24"/>
      <w:lang w:val="en-US" w:eastAsia="zh-CN" w:bidi="ar-SA"/>
    </w:rPr>
  </w:style>
  <w:style w:type="paragraph" w:styleId="6">
    <w:name w:val="heading 1"/>
    <w:basedOn w:val="1"/>
    <w:next w:val="1"/>
    <w:autoRedefine/>
    <w:qFormat/>
    <w:uiPriority w:val="0"/>
    <w:pPr>
      <w:keepNext/>
      <w:keepLines/>
      <w:numPr>
        <w:ilvl w:val="0"/>
        <w:numId w:val="1"/>
      </w:numPr>
      <w:spacing w:beforeLines="100" w:afterLines="100" w:line="360" w:lineRule="auto"/>
      <w:ind w:firstLine="0"/>
      <w:jc w:val="center"/>
      <w:outlineLvl w:val="0"/>
    </w:pPr>
    <w:rPr>
      <w:rFonts w:eastAsia="微软雅黑"/>
      <w:b/>
      <w:bCs/>
      <w:kern w:val="44"/>
      <w:sz w:val="36"/>
      <w:szCs w:val="44"/>
    </w:rPr>
  </w:style>
  <w:style w:type="paragraph" w:styleId="7">
    <w:name w:val="heading 2"/>
    <w:basedOn w:val="1"/>
    <w:next w:val="1"/>
    <w:link w:val="33"/>
    <w:autoRedefine/>
    <w:qFormat/>
    <w:uiPriority w:val="0"/>
    <w:pPr>
      <w:keepNext/>
      <w:keepLines/>
      <w:numPr>
        <w:ilvl w:val="0"/>
        <w:numId w:val="2"/>
      </w:numPr>
      <w:spacing w:line="360" w:lineRule="auto"/>
      <w:outlineLvl w:val="1"/>
    </w:pPr>
    <w:rPr>
      <w:rFonts w:ascii="Arial" w:hAnsi="Arial"/>
      <w:b/>
      <w:bCs/>
      <w:sz w:val="28"/>
      <w:szCs w:val="32"/>
    </w:rPr>
  </w:style>
  <w:style w:type="paragraph" w:styleId="8">
    <w:name w:val="heading 3"/>
    <w:basedOn w:val="1"/>
    <w:next w:val="1"/>
    <w:autoRedefine/>
    <w:qFormat/>
    <w:uiPriority w:val="0"/>
    <w:pPr>
      <w:keepNext/>
      <w:keepLines/>
      <w:outlineLvl w:val="2"/>
    </w:pPr>
    <w:rPr>
      <w:rFonts w:ascii="宋体" w:hAnsi="宋体" w:eastAsia="黑体"/>
      <w:bCs/>
      <w:sz w:val="24"/>
      <w:szCs w:val="28"/>
    </w:rPr>
  </w:style>
  <w:style w:type="paragraph" w:styleId="9">
    <w:name w:val="heading 5"/>
    <w:basedOn w:val="1"/>
    <w:next w:val="1"/>
    <w:autoRedefine/>
    <w:unhideWhenUsed/>
    <w:qFormat/>
    <w:uiPriority w:val="9"/>
    <w:pPr>
      <w:keepNext/>
      <w:keepLines/>
      <w:spacing w:before="280" w:after="290" w:line="376" w:lineRule="auto"/>
      <w:outlineLvl w:val="4"/>
    </w:pPr>
    <w:rPr>
      <w:b/>
      <w:bCs/>
      <w:sz w:val="28"/>
      <w:szCs w:val="28"/>
    </w:rPr>
  </w:style>
  <w:style w:type="character" w:default="1" w:styleId="27">
    <w:name w:val="Default Paragraph Font"/>
    <w:autoRedefine/>
    <w:semiHidden/>
    <w:unhideWhenUsed/>
    <w:qFormat/>
    <w:uiPriority w:val="1"/>
  </w:style>
  <w:style w:type="table" w:default="1" w:styleId="25">
    <w:name w:val="Normal Table"/>
    <w:autoRedefin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autoRedefine/>
    <w:unhideWhenUsed/>
    <w:qFormat/>
    <w:uiPriority w:val="99"/>
    <w:pPr>
      <w:ind w:firstLine="420" w:firstLineChars="200"/>
    </w:pPr>
    <w:rPr>
      <w:szCs w:val="22"/>
    </w:rPr>
  </w:style>
  <w:style w:type="paragraph" w:styleId="3">
    <w:name w:val="Body Text Indent"/>
    <w:basedOn w:val="1"/>
    <w:next w:val="4"/>
    <w:qFormat/>
    <w:uiPriority w:val="0"/>
    <w:pPr>
      <w:spacing w:after="120"/>
      <w:ind w:left="420" w:leftChars="200"/>
    </w:pPr>
  </w:style>
  <w:style w:type="paragraph" w:styleId="4">
    <w:name w:val="envelope return"/>
    <w:basedOn w:val="1"/>
    <w:next w:val="5"/>
    <w:autoRedefine/>
    <w:unhideWhenUsed/>
    <w:qFormat/>
    <w:uiPriority w:val="99"/>
    <w:pPr>
      <w:snapToGrid w:val="0"/>
      <w:ind w:firstLine="200"/>
    </w:pPr>
    <w:rPr>
      <w:rFonts w:ascii="Arial" w:hAnsi="Arial" w:cs="Arial"/>
      <w:szCs w:val="20"/>
    </w:rPr>
  </w:style>
  <w:style w:type="paragraph" w:styleId="5">
    <w:name w:val="Title"/>
    <w:basedOn w:val="1"/>
    <w:next w:val="1"/>
    <w:qFormat/>
    <w:uiPriority w:val="0"/>
    <w:pPr>
      <w:tabs>
        <w:tab w:val="left" w:pos="450"/>
      </w:tabs>
      <w:ind w:left="450" w:hanging="450"/>
      <w:jc w:val="center"/>
    </w:pPr>
    <w:rPr>
      <w:rFonts w:ascii="黑体" w:eastAsia="黑体"/>
      <w:sz w:val="32"/>
      <w:szCs w:val="20"/>
    </w:rPr>
  </w:style>
  <w:style w:type="paragraph" w:styleId="10">
    <w:name w:val="Normal Indent"/>
    <w:basedOn w:val="1"/>
    <w:qFormat/>
    <w:uiPriority w:val="0"/>
    <w:pPr>
      <w:ind w:firstLine="420"/>
    </w:pPr>
    <w:rPr>
      <w:szCs w:val="20"/>
    </w:rPr>
  </w:style>
  <w:style w:type="paragraph" w:styleId="11">
    <w:name w:val="annotation text"/>
    <w:basedOn w:val="1"/>
    <w:autoRedefine/>
    <w:qFormat/>
    <w:uiPriority w:val="0"/>
    <w:pPr>
      <w:jc w:val="left"/>
    </w:pPr>
  </w:style>
  <w:style w:type="paragraph" w:styleId="12">
    <w:name w:val="Body Text 3"/>
    <w:basedOn w:val="1"/>
    <w:autoRedefine/>
    <w:qFormat/>
    <w:uiPriority w:val="0"/>
    <w:pPr>
      <w:spacing w:beforeLines="50"/>
    </w:pPr>
    <w:rPr>
      <w:rFonts w:ascii="宋体" w:hAnsi="宋体"/>
      <w:szCs w:val="20"/>
    </w:rPr>
  </w:style>
  <w:style w:type="paragraph" w:styleId="13">
    <w:name w:val="Body Text"/>
    <w:basedOn w:val="1"/>
    <w:next w:val="14"/>
    <w:autoRedefine/>
    <w:qFormat/>
    <w:uiPriority w:val="0"/>
    <w:pPr>
      <w:spacing w:after="120"/>
    </w:pPr>
  </w:style>
  <w:style w:type="paragraph" w:customStyle="1" w:styleId="14">
    <w:name w:val="目录 71"/>
    <w:basedOn w:val="1"/>
    <w:next w:val="1"/>
    <w:qFormat/>
    <w:uiPriority w:val="0"/>
    <w:pPr>
      <w:ind w:left="2520"/>
    </w:pPr>
  </w:style>
  <w:style w:type="paragraph" w:styleId="15">
    <w:name w:val="Plain Text"/>
    <w:basedOn w:val="1"/>
    <w:autoRedefine/>
    <w:qFormat/>
    <w:uiPriority w:val="0"/>
    <w:rPr>
      <w:rFonts w:ascii="宋体" w:hAnsi="Courier New"/>
      <w:szCs w:val="20"/>
    </w:rPr>
  </w:style>
  <w:style w:type="paragraph" w:styleId="16">
    <w:name w:val="Balloon Text"/>
    <w:basedOn w:val="1"/>
    <w:link w:val="48"/>
    <w:autoRedefine/>
    <w:qFormat/>
    <w:uiPriority w:val="0"/>
    <w:rPr>
      <w:sz w:val="18"/>
      <w:szCs w:val="18"/>
    </w:rPr>
  </w:style>
  <w:style w:type="paragraph" w:styleId="17">
    <w:name w:val="footer"/>
    <w:basedOn w:val="1"/>
    <w:autoRedefine/>
    <w:qFormat/>
    <w:uiPriority w:val="99"/>
    <w:pPr>
      <w:tabs>
        <w:tab w:val="center" w:pos="4153"/>
        <w:tab w:val="right" w:pos="8306"/>
      </w:tabs>
      <w:snapToGrid w:val="0"/>
      <w:jc w:val="left"/>
    </w:pPr>
    <w:rPr>
      <w:sz w:val="18"/>
      <w:szCs w:val="18"/>
    </w:rPr>
  </w:style>
  <w:style w:type="paragraph" w:styleId="18">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9">
    <w:name w:val="toc 1"/>
    <w:basedOn w:val="1"/>
    <w:next w:val="1"/>
    <w:autoRedefine/>
    <w:qFormat/>
    <w:uiPriority w:val="39"/>
    <w:pPr>
      <w:spacing w:before="120" w:after="120"/>
      <w:jc w:val="left"/>
    </w:pPr>
    <w:rPr>
      <w:rFonts w:cs="Calibri"/>
      <w:b/>
      <w:bCs/>
      <w:caps/>
      <w:sz w:val="20"/>
      <w:szCs w:val="20"/>
    </w:rPr>
  </w:style>
  <w:style w:type="paragraph" w:styleId="20">
    <w:name w:val="footnote text"/>
    <w:basedOn w:val="1"/>
    <w:autoRedefine/>
    <w:unhideWhenUsed/>
    <w:qFormat/>
    <w:uiPriority w:val="0"/>
    <w:pPr>
      <w:snapToGrid w:val="0"/>
      <w:jc w:val="left"/>
    </w:pPr>
    <w:rPr>
      <w:sz w:val="18"/>
      <w:szCs w:val="18"/>
    </w:rPr>
  </w:style>
  <w:style w:type="paragraph" w:styleId="21">
    <w:name w:val="toc 2"/>
    <w:basedOn w:val="1"/>
    <w:next w:val="1"/>
    <w:autoRedefine/>
    <w:unhideWhenUsed/>
    <w:qFormat/>
    <w:uiPriority w:val="39"/>
    <w:pPr>
      <w:ind w:left="420" w:leftChars="200"/>
    </w:pPr>
  </w:style>
  <w:style w:type="paragraph" w:styleId="22">
    <w:name w:val="Body Text 2"/>
    <w:basedOn w:val="1"/>
    <w:autoRedefine/>
    <w:unhideWhenUsed/>
    <w:qFormat/>
    <w:uiPriority w:val="99"/>
    <w:pPr>
      <w:spacing w:after="120" w:line="480" w:lineRule="auto"/>
    </w:pPr>
  </w:style>
  <w:style w:type="paragraph" w:styleId="23">
    <w:name w:val="Normal (Web)"/>
    <w:basedOn w:val="1"/>
    <w:autoRedefine/>
    <w:qFormat/>
    <w:uiPriority w:val="0"/>
    <w:pPr>
      <w:widowControl/>
      <w:spacing w:beforeAutospacing="1" w:afterAutospacing="1"/>
      <w:jc w:val="left"/>
    </w:pPr>
    <w:rPr>
      <w:rFonts w:ascii="宋体" w:hAnsi="宋体" w:cs="宋体"/>
      <w:kern w:val="0"/>
      <w:sz w:val="24"/>
    </w:rPr>
  </w:style>
  <w:style w:type="paragraph" w:styleId="24">
    <w:name w:val="index 1"/>
    <w:basedOn w:val="1"/>
    <w:next w:val="1"/>
    <w:autoRedefine/>
    <w:semiHidden/>
    <w:qFormat/>
    <w:uiPriority w:val="0"/>
    <w:pPr>
      <w:spacing w:line="220" w:lineRule="exact"/>
      <w:jc w:val="center"/>
    </w:pPr>
    <w:rPr>
      <w:rFonts w:ascii="仿宋_GB2312" w:eastAsia="仿宋_GB2312"/>
      <w:szCs w:val="21"/>
    </w:rPr>
  </w:style>
  <w:style w:type="table" w:styleId="26">
    <w:name w:val="Table Grid"/>
    <w:basedOn w:val="25"/>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8">
    <w:name w:val="Strong"/>
    <w:autoRedefine/>
    <w:qFormat/>
    <w:uiPriority w:val="0"/>
    <w:rPr>
      <w:b/>
      <w:bCs/>
    </w:rPr>
  </w:style>
  <w:style w:type="character" w:styleId="29">
    <w:name w:val="page number"/>
    <w:basedOn w:val="27"/>
    <w:autoRedefine/>
    <w:qFormat/>
    <w:uiPriority w:val="0"/>
  </w:style>
  <w:style w:type="character" w:styleId="30">
    <w:name w:val="Hyperlink"/>
    <w:basedOn w:val="27"/>
    <w:autoRedefine/>
    <w:qFormat/>
    <w:uiPriority w:val="0"/>
    <w:rPr>
      <w:color w:val="0000FF"/>
      <w:u w:val="single"/>
    </w:rPr>
  </w:style>
  <w:style w:type="character" w:styleId="31">
    <w:name w:val="annotation reference"/>
    <w:autoRedefine/>
    <w:qFormat/>
    <w:uiPriority w:val="0"/>
    <w:rPr>
      <w:sz w:val="21"/>
      <w:szCs w:val="21"/>
    </w:rPr>
  </w:style>
  <w:style w:type="character" w:styleId="32">
    <w:name w:val="footnote reference"/>
    <w:autoRedefine/>
    <w:qFormat/>
    <w:uiPriority w:val="0"/>
    <w:rPr>
      <w:vertAlign w:val="superscript"/>
    </w:rPr>
  </w:style>
  <w:style w:type="character" w:customStyle="1" w:styleId="33">
    <w:name w:val="标题 2 Char"/>
    <w:link w:val="7"/>
    <w:autoRedefine/>
    <w:qFormat/>
    <w:uiPriority w:val="0"/>
    <w:rPr>
      <w:rFonts w:ascii="Arial" w:hAnsi="Arial"/>
      <w:b/>
      <w:bCs/>
      <w:sz w:val="28"/>
      <w:szCs w:val="32"/>
    </w:rPr>
  </w:style>
  <w:style w:type="paragraph" w:customStyle="1" w:styleId="34">
    <w:name w:val="无间隔1"/>
    <w:autoRedefine/>
    <w:qFormat/>
    <w:uiPriority w:val="1"/>
    <w:pPr>
      <w:widowControl w:val="0"/>
      <w:jc w:val="both"/>
    </w:pPr>
    <w:rPr>
      <w:rFonts w:ascii="Calibri" w:hAnsi="Calibri" w:eastAsia="宋体" w:cs="Times New Roman"/>
      <w:kern w:val="2"/>
      <w:sz w:val="24"/>
      <w:szCs w:val="22"/>
      <w:lang w:val="en-US" w:eastAsia="zh-CN" w:bidi="ar-SA"/>
    </w:rPr>
  </w:style>
  <w:style w:type="paragraph" w:customStyle="1" w:styleId="35">
    <w:name w:val="正文_0"/>
    <w:next w:val="2"/>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36">
    <w:name w:val="Default"/>
    <w:autoRedefine/>
    <w:qFormat/>
    <w:uiPriority w:val="0"/>
    <w:pPr>
      <w:widowControl w:val="0"/>
      <w:autoSpaceDE w:val="0"/>
      <w:autoSpaceDN w:val="0"/>
    </w:pPr>
    <w:rPr>
      <w:rFonts w:hint="eastAsia" w:ascii="Fang Song" w:hAnsi="Fang Song" w:eastAsia="Fang Song" w:cs="Times New Roman"/>
      <w:color w:val="000000"/>
      <w:sz w:val="24"/>
      <w:lang w:val="en-US" w:eastAsia="zh-CN" w:bidi="ar-SA"/>
    </w:rPr>
  </w:style>
  <w:style w:type="paragraph" w:customStyle="1" w:styleId="37">
    <w:name w:val="表格"/>
    <w:basedOn w:val="1"/>
    <w:autoRedefine/>
    <w:qFormat/>
    <w:uiPriority w:val="0"/>
    <w:pPr>
      <w:textAlignment w:val="center"/>
    </w:pPr>
    <w:rPr>
      <w:rFonts w:ascii="华文细黑" w:hAnsi="华文细黑"/>
      <w:kern w:val="0"/>
      <w:szCs w:val="20"/>
    </w:rPr>
  </w:style>
  <w:style w:type="paragraph" w:customStyle="1" w:styleId="38">
    <w:name w:val="正文 题目"/>
    <w:basedOn w:val="1"/>
    <w:autoRedefine/>
    <w:qFormat/>
    <w:uiPriority w:val="0"/>
    <w:pPr>
      <w:jc w:val="center"/>
    </w:pPr>
    <w:rPr>
      <w:rFonts w:ascii="黑体" w:hAnsi="黑体" w:eastAsia="黑体"/>
      <w:sz w:val="28"/>
    </w:rPr>
  </w:style>
  <w:style w:type="paragraph" w:customStyle="1" w:styleId="39">
    <w:name w:val="列出段落1"/>
    <w:basedOn w:val="1"/>
    <w:autoRedefine/>
    <w:qFormat/>
    <w:uiPriority w:val="99"/>
    <w:rPr>
      <w:rFonts w:ascii="Times New Roman" w:hAnsi="Times New Roman"/>
    </w:rPr>
  </w:style>
  <w:style w:type="paragraph" w:customStyle="1" w:styleId="40">
    <w:name w:val="6'"/>
    <w:basedOn w:val="1"/>
    <w:autoRedefine/>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41">
    <w:name w:val="WPSOffice手动目录 1"/>
    <w:autoRedefine/>
    <w:qFormat/>
    <w:uiPriority w:val="0"/>
    <w:rPr>
      <w:rFonts w:ascii="Calibri" w:hAnsi="Calibri" w:eastAsia="宋体" w:cs="黑体"/>
      <w:lang w:val="en-US" w:eastAsia="zh-CN" w:bidi="ar-SA"/>
    </w:rPr>
  </w:style>
  <w:style w:type="paragraph" w:customStyle="1" w:styleId="42">
    <w:name w:val="WPSOffice手动目录 2"/>
    <w:autoRedefine/>
    <w:qFormat/>
    <w:uiPriority w:val="0"/>
    <w:pPr>
      <w:ind w:left="200" w:leftChars="200"/>
    </w:pPr>
    <w:rPr>
      <w:rFonts w:ascii="Calibri" w:hAnsi="Calibri" w:eastAsia="宋体" w:cs="黑体"/>
      <w:lang w:val="en-US" w:eastAsia="zh-CN" w:bidi="ar-SA"/>
    </w:rPr>
  </w:style>
  <w:style w:type="paragraph" w:customStyle="1" w:styleId="43">
    <w:name w:val="Heading 31"/>
    <w:basedOn w:val="1"/>
    <w:autoRedefine/>
    <w:qFormat/>
    <w:uiPriority w:val="99"/>
    <w:pPr>
      <w:ind w:left="237" w:right="113"/>
      <w:outlineLvl w:val="3"/>
    </w:pPr>
    <w:rPr>
      <w:sz w:val="28"/>
      <w:szCs w:val="28"/>
    </w:rPr>
  </w:style>
  <w:style w:type="character" w:customStyle="1" w:styleId="44">
    <w:name w:val="font21"/>
    <w:basedOn w:val="27"/>
    <w:autoRedefine/>
    <w:qFormat/>
    <w:uiPriority w:val="0"/>
    <w:rPr>
      <w:rFonts w:hint="eastAsia" w:ascii="宋体" w:hAnsi="宋体" w:eastAsia="宋体" w:cs="宋体"/>
      <w:color w:val="000000"/>
      <w:sz w:val="24"/>
      <w:szCs w:val="24"/>
      <w:u w:val="none"/>
    </w:rPr>
  </w:style>
  <w:style w:type="character" w:customStyle="1" w:styleId="45">
    <w:name w:val="font01"/>
    <w:basedOn w:val="27"/>
    <w:autoRedefine/>
    <w:qFormat/>
    <w:uiPriority w:val="0"/>
    <w:rPr>
      <w:rFonts w:hint="default" w:ascii="Times New Roman" w:hAnsi="Times New Roman" w:cs="Times New Roman"/>
      <w:color w:val="000000"/>
      <w:sz w:val="24"/>
      <w:szCs w:val="24"/>
      <w:u w:val="none"/>
    </w:rPr>
  </w:style>
  <w:style w:type="character" w:customStyle="1" w:styleId="46">
    <w:name w:val="font11"/>
    <w:basedOn w:val="27"/>
    <w:autoRedefine/>
    <w:qFormat/>
    <w:uiPriority w:val="0"/>
    <w:rPr>
      <w:rFonts w:hint="default" w:ascii="Times New Roman" w:hAnsi="Times New Roman" w:cs="Times New Roman"/>
      <w:color w:val="000000"/>
      <w:sz w:val="20"/>
      <w:szCs w:val="20"/>
      <w:u w:val="none"/>
    </w:rPr>
  </w:style>
  <w:style w:type="character" w:customStyle="1" w:styleId="47">
    <w:name w:val="font31"/>
    <w:basedOn w:val="27"/>
    <w:autoRedefine/>
    <w:qFormat/>
    <w:uiPriority w:val="0"/>
    <w:rPr>
      <w:rFonts w:hint="eastAsia" w:ascii="宋体" w:hAnsi="宋体" w:eastAsia="宋体" w:cs="宋体"/>
      <w:color w:val="000000"/>
      <w:sz w:val="20"/>
      <w:szCs w:val="20"/>
      <w:u w:val="none"/>
    </w:rPr>
  </w:style>
  <w:style w:type="character" w:customStyle="1" w:styleId="48">
    <w:name w:val="批注框文本 Char"/>
    <w:basedOn w:val="27"/>
    <w:link w:val="16"/>
    <w:autoRedefine/>
    <w:qFormat/>
    <w:uiPriority w:val="0"/>
    <w:rPr>
      <w:rFonts w:ascii="Calibri" w:hAnsi="Calibri" w:eastAsia="宋体" w:cs="黑体"/>
      <w:kern w:val="2"/>
      <w:sz w:val="18"/>
      <w:szCs w:val="18"/>
    </w:rPr>
  </w:style>
  <w:style w:type="paragraph" w:styleId="49">
    <w:name w:val="List Paragraph"/>
    <w:basedOn w:val="1"/>
    <w:autoRedefine/>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38</Pages>
  <Words>12743</Words>
  <Characters>14127</Characters>
  <Lines>118</Lines>
  <Paragraphs>33</Paragraphs>
  <TotalTime>7</TotalTime>
  <ScaleCrop>false</ScaleCrop>
  <LinksUpToDate>false</LinksUpToDate>
  <CharactersWithSpaces>14401</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2020-10-09T06:52:00Z</dcterms:created>
  <dc:creator>huajie</dc:creator>
  <cp:lastModifiedBy>张慧慧</cp:lastModifiedBy>
  <cp:lastPrinted>2025-05-07T01:52:00Z</cp:lastPrinted>
  <dcterms:modified xsi:type="dcterms:W3CDTF">2025-05-07T02:46:34Z</dcterms:modified>
  <dc:title>涡阳高速·时代御府竣工结算审计</dc:title>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10C206AC173748BEBA62ACAFA1665DD6_13</vt:lpwstr>
  </property>
  <property fmtid="{D5CDD505-2E9C-101B-9397-08002B2CF9AE}" pid="4" name="commondata">
    <vt:lpwstr>eyJoZGlkIjoiOTI5NjRhZWM4ZWM1ZGFkYjMzM2JiMWIxZGYyMGU2M2UifQ==</vt:lpwstr>
  </property>
  <property fmtid="{D5CDD505-2E9C-101B-9397-08002B2CF9AE}" pid="5" name="KSOTemplateDocerSaveRecord">
    <vt:lpwstr>eyJoZGlkIjoiNmQzZjUyOTM2NjZjMWI4NjcxM2MwN2Q2MmRkYTAwY2IiLCJ1c2VySWQiOiIxNjkyMDUyNTQ5In0=</vt:lpwstr>
  </property>
</Properties>
</file>