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EE9C6">
      <w:pPr>
        <w:widowControl/>
        <w:jc w:val="center"/>
        <w:rPr>
          <w:rFonts w:ascii="Times New Roman" w:hAnsi="Times New Roman" w:cs="Times New Roman"/>
          <w:sz w:val="24"/>
        </w:rPr>
      </w:pPr>
    </w:p>
    <w:p w14:paraId="747B1A22">
      <w:pPr>
        <w:pStyle w:val="13"/>
        <w:rPr>
          <w:rFonts w:ascii="Times New Roman" w:hAnsi="Times New Roman" w:cs="Times New Roman"/>
        </w:rPr>
      </w:pPr>
    </w:p>
    <w:p w14:paraId="31A675F3">
      <w:pPr>
        <w:widowControl/>
        <w:jc w:val="center"/>
        <w:rPr>
          <w:rFonts w:ascii="Times New Roman" w:hAnsi="Times New Roman" w:cs="Times New Roman"/>
          <w:sz w:val="24"/>
        </w:rPr>
      </w:pPr>
    </w:p>
    <w:p w14:paraId="27526689">
      <w:pPr>
        <w:pStyle w:val="12"/>
        <w:jc w:val="center"/>
        <w:rPr>
          <w:rFonts w:ascii="Times New Roman" w:hAnsi="Times New Roman" w:cs="Times New Roman"/>
          <w:b/>
          <w:bCs/>
          <w:kern w:val="0"/>
          <w:sz w:val="44"/>
          <w:szCs w:val="44"/>
        </w:rPr>
      </w:pPr>
      <w:r>
        <w:rPr>
          <w:rFonts w:hint="eastAsia" w:ascii="Times New Roman" w:hAnsi="Times New Roman" w:cs="Times New Roman"/>
          <w:b/>
          <w:bCs/>
          <w:kern w:val="0"/>
          <w:sz w:val="44"/>
          <w:szCs w:val="44"/>
        </w:rPr>
        <w:t>安徽交控建设工程集团有限公司</w:t>
      </w:r>
    </w:p>
    <w:p w14:paraId="3ABCB89D">
      <w:pPr>
        <w:pStyle w:val="12"/>
        <w:jc w:val="center"/>
        <w:rPr>
          <w:rFonts w:ascii="Times New Roman" w:hAnsi="Times New Roman" w:cs="Times New Roman"/>
          <w:szCs w:val="21"/>
        </w:rPr>
      </w:pPr>
      <w:r>
        <w:rPr>
          <w:rFonts w:hint="eastAsia" w:ascii="Times New Roman" w:hAnsi="Times New Roman" w:cs="Times New Roman"/>
          <w:b/>
          <w:bCs/>
          <w:kern w:val="0"/>
          <w:sz w:val="44"/>
          <w:szCs w:val="44"/>
        </w:rPr>
        <w:t>十五五</w:t>
      </w:r>
      <w:r>
        <w:rPr>
          <w:rFonts w:hint="eastAsia" w:ascii="Times New Roman" w:hAnsi="Times New Roman" w:cs="Times New Roman"/>
          <w:b/>
          <w:bCs/>
          <w:kern w:val="0"/>
          <w:sz w:val="44"/>
          <w:szCs w:val="44"/>
          <w:lang w:val="en-US" w:eastAsia="zh-CN"/>
        </w:rPr>
        <w:t>战略</w:t>
      </w:r>
      <w:r>
        <w:rPr>
          <w:rFonts w:hint="eastAsia" w:ascii="Times New Roman" w:hAnsi="Times New Roman" w:cs="Times New Roman"/>
          <w:b/>
          <w:bCs/>
          <w:kern w:val="0"/>
          <w:sz w:val="44"/>
          <w:szCs w:val="44"/>
        </w:rPr>
        <w:t>规划咨询服务</w:t>
      </w:r>
    </w:p>
    <w:p w14:paraId="7503343A">
      <w:pPr>
        <w:pStyle w:val="12"/>
        <w:rPr>
          <w:rFonts w:ascii="Times New Roman" w:hAnsi="Times New Roman" w:cs="Times New Roman"/>
          <w:szCs w:val="21"/>
        </w:rPr>
      </w:pPr>
    </w:p>
    <w:p w14:paraId="16F78311">
      <w:pPr>
        <w:pStyle w:val="12"/>
        <w:rPr>
          <w:rFonts w:ascii="Times New Roman" w:hAnsi="Times New Roman" w:cs="Times New Roman"/>
          <w:szCs w:val="21"/>
        </w:rPr>
      </w:pPr>
    </w:p>
    <w:p w14:paraId="306BEF87">
      <w:pPr>
        <w:spacing w:line="540" w:lineRule="exact"/>
        <w:ind w:firstLine="420"/>
        <w:rPr>
          <w:rFonts w:ascii="Times New Roman" w:hAnsi="Times New Roman" w:cs="Times New Roman"/>
          <w:szCs w:val="21"/>
        </w:rPr>
      </w:pPr>
    </w:p>
    <w:p w14:paraId="37D0EB68">
      <w:pPr>
        <w:jc w:val="center"/>
        <w:rPr>
          <w:rFonts w:ascii="Times New Roman" w:hAnsi="Times New Roman" w:eastAsia="黑体" w:cs="Times New Roman"/>
          <w:sz w:val="72"/>
          <w:szCs w:val="72"/>
          <w:highlight w:val="none"/>
        </w:rPr>
      </w:pPr>
      <w:r>
        <w:rPr>
          <w:rFonts w:ascii="Times New Roman" w:hAnsi="Times New Roman" w:eastAsia="黑体" w:cs="Times New Roman"/>
          <w:sz w:val="72"/>
          <w:szCs w:val="72"/>
          <w:highlight w:val="none"/>
        </w:rPr>
        <w:t>询  比  文  件</w:t>
      </w:r>
    </w:p>
    <w:p w14:paraId="64E3B4B1">
      <w:pPr>
        <w:spacing w:line="540" w:lineRule="exact"/>
        <w:ind w:firstLine="420"/>
        <w:rPr>
          <w:rFonts w:ascii="Times New Roman" w:hAnsi="Times New Roman" w:cs="Times New Roman"/>
          <w:szCs w:val="21"/>
        </w:rPr>
      </w:pPr>
    </w:p>
    <w:p w14:paraId="0E97E82F">
      <w:pPr>
        <w:spacing w:line="540" w:lineRule="exact"/>
        <w:ind w:firstLine="420"/>
        <w:rPr>
          <w:rFonts w:ascii="Times New Roman" w:hAnsi="Times New Roman" w:cs="Times New Roman"/>
          <w:szCs w:val="21"/>
        </w:rPr>
      </w:pPr>
    </w:p>
    <w:p w14:paraId="74B30C8B">
      <w:pPr>
        <w:spacing w:line="540" w:lineRule="exact"/>
        <w:ind w:firstLine="420"/>
        <w:rPr>
          <w:rFonts w:ascii="Times New Roman" w:hAnsi="Times New Roman" w:cs="Times New Roman"/>
          <w:szCs w:val="21"/>
        </w:rPr>
      </w:pPr>
    </w:p>
    <w:p w14:paraId="13F5168D">
      <w:pPr>
        <w:spacing w:line="540" w:lineRule="exact"/>
        <w:ind w:firstLine="420"/>
        <w:rPr>
          <w:rFonts w:ascii="Times New Roman" w:hAnsi="Times New Roman" w:cs="Times New Roman"/>
          <w:szCs w:val="21"/>
        </w:rPr>
      </w:pPr>
    </w:p>
    <w:p w14:paraId="3C6EE1FC">
      <w:pPr>
        <w:spacing w:line="540" w:lineRule="exact"/>
        <w:ind w:firstLine="420"/>
        <w:rPr>
          <w:rFonts w:ascii="Times New Roman" w:hAnsi="Times New Roman" w:cs="Times New Roman"/>
          <w:szCs w:val="21"/>
        </w:rPr>
      </w:pPr>
    </w:p>
    <w:p w14:paraId="04E05452">
      <w:pPr>
        <w:spacing w:line="540" w:lineRule="exact"/>
        <w:ind w:firstLine="420"/>
        <w:rPr>
          <w:rFonts w:ascii="Times New Roman" w:hAnsi="Times New Roman" w:cs="Times New Roman"/>
          <w:szCs w:val="21"/>
        </w:rPr>
      </w:pPr>
    </w:p>
    <w:p w14:paraId="2D0F841D">
      <w:pPr>
        <w:spacing w:line="540" w:lineRule="exact"/>
        <w:rPr>
          <w:rFonts w:ascii="Times New Roman" w:hAnsi="Times New Roman" w:eastAsia="黑体" w:cs="Times New Roman"/>
          <w:sz w:val="32"/>
          <w:szCs w:val="32"/>
        </w:rPr>
      </w:pPr>
    </w:p>
    <w:p w14:paraId="474C1A76">
      <w:pPr>
        <w:pStyle w:val="13"/>
        <w:rPr>
          <w:rFonts w:ascii="Times New Roman" w:hAnsi="Times New Roman" w:cs="Times New Roman"/>
        </w:rPr>
      </w:pPr>
    </w:p>
    <w:p w14:paraId="0CD7C9A3">
      <w:pPr>
        <w:snapToGrid w:val="0"/>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采购人：安徽交控建设工程集团有限公司</w:t>
      </w:r>
    </w:p>
    <w:p w14:paraId="570A7F67">
      <w:pPr>
        <w:snapToGrid w:val="0"/>
        <w:spacing w:line="360" w:lineRule="auto"/>
        <w:jc w:val="center"/>
        <w:rPr>
          <w:rFonts w:ascii="Times New Roman" w:hAnsi="Times New Roman" w:cs="Times New Roman"/>
          <w:b/>
          <w:bCs/>
          <w:sz w:val="32"/>
          <w:szCs w:val="32"/>
        </w:rPr>
      </w:pPr>
      <w:bookmarkStart w:id="0" w:name="_Toc16399"/>
      <w:r>
        <w:rPr>
          <w:rFonts w:ascii="Times New Roman" w:hAnsi="Times New Roman" w:cs="Times New Roman"/>
          <w:b/>
          <w:bCs/>
          <w:sz w:val="32"/>
          <w:szCs w:val="32"/>
        </w:rPr>
        <w:t>日    期：202</w:t>
      </w:r>
      <w:r>
        <w:rPr>
          <w:rFonts w:hint="eastAsia" w:ascii="Times New Roman" w:hAnsi="Times New Roman" w:cs="Times New Roman"/>
          <w:b/>
          <w:bCs/>
          <w:sz w:val="32"/>
          <w:szCs w:val="32"/>
        </w:rPr>
        <w:t>5</w:t>
      </w:r>
      <w:r>
        <w:rPr>
          <w:rFonts w:ascii="Times New Roman" w:hAnsi="Times New Roman" w:cs="Times New Roman"/>
          <w:b/>
          <w:bCs/>
          <w:sz w:val="32"/>
          <w:szCs w:val="32"/>
        </w:rPr>
        <w:t>年</w:t>
      </w:r>
      <w:r>
        <w:rPr>
          <w:rFonts w:hint="eastAsia" w:ascii="Times New Roman" w:hAnsi="Times New Roman" w:cs="Times New Roman"/>
          <w:b/>
          <w:bCs/>
          <w:sz w:val="32"/>
          <w:szCs w:val="32"/>
          <w:lang w:val="en-US" w:eastAsia="zh-CN"/>
        </w:rPr>
        <w:t>5</w:t>
      </w:r>
      <w:r>
        <w:rPr>
          <w:rFonts w:ascii="Times New Roman" w:hAnsi="Times New Roman" w:cs="Times New Roman"/>
          <w:b/>
          <w:bCs/>
          <w:sz w:val="32"/>
          <w:szCs w:val="32"/>
        </w:rPr>
        <w:t>月</w:t>
      </w:r>
      <w:bookmarkEnd w:id="0"/>
    </w:p>
    <w:p w14:paraId="48C66DC1">
      <w:pPr>
        <w:rPr>
          <w:rFonts w:ascii="Times New Roman" w:hAnsi="Times New Roman" w:eastAsia="黑体" w:cs="Times New Roman"/>
          <w:sz w:val="32"/>
          <w:szCs w:val="32"/>
        </w:rPr>
      </w:pPr>
    </w:p>
    <w:p w14:paraId="7F6D6F0F">
      <w:pPr>
        <w:jc w:val="center"/>
        <w:rPr>
          <w:rFonts w:ascii="Times New Roman" w:hAnsi="Times New Roman" w:cs="Times New Roman"/>
          <w:b/>
          <w:bCs/>
          <w:sz w:val="44"/>
          <w:szCs w:val="44"/>
        </w:rPr>
        <w:sectPr>
          <w:headerReference r:id="rId3" w:type="default"/>
          <w:footerReference r:id="rId4" w:type="default"/>
          <w:footnotePr>
            <w:numFmt w:val="decimalEnclosedCircleChinese"/>
            <w:numRestart w:val="eachPage"/>
          </w:footnotePr>
          <w:pgSz w:w="11906" w:h="16838"/>
          <w:pgMar w:top="1440" w:right="1797" w:bottom="1440" w:left="1797" w:header="851" w:footer="992" w:gutter="0"/>
          <w:cols w:space="720" w:num="1"/>
          <w:titlePg/>
          <w:docGrid w:type="linesAndChars" w:linePitch="312" w:charSpace="0"/>
        </w:sectPr>
      </w:pPr>
    </w:p>
    <w:p w14:paraId="244A8C82">
      <w:pPr>
        <w:jc w:val="center"/>
        <w:rPr>
          <w:rFonts w:ascii="Times New Roman" w:hAnsi="Times New Roman" w:cs="Times New Roman"/>
          <w:b/>
          <w:bCs/>
          <w:sz w:val="44"/>
          <w:szCs w:val="44"/>
        </w:rPr>
      </w:pPr>
      <w:r>
        <w:rPr>
          <w:rFonts w:ascii="Times New Roman" w:hAnsi="Times New Roman" w:cs="Times New Roman"/>
          <w:b/>
          <w:bCs/>
          <w:sz w:val="44"/>
          <w:szCs w:val="44"/>
        </w:rPr>
        <w:t>目   录</w:t>
      </w:r>
    </w:p>
    <w:p w14:paraId="5AFD2D05">
      <w:pPr>
        <w:jc w:val="center"/>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"1-1" \h \u </w:instrText>
      </w:r>
      <w:r>
        <w:rPr>
          <w:rFonts w:ascii="Times New Roman" w:hAnsi="Times New Roman" w:cs="Times New Roman"/>
          <w:sz w:val="28"/>
          <w:szCs w:val="28"/>
        </w:rPr>
        <w:fldChar w:fldCharType="separate"/>
      </w:r>
    </w:p>
    <w:p w14:paraId="3DB4F1D5">
      <w:pPr>
        <w:pStyle w:val="44"/>
        <w:tabs>
          <w:tab w:val="right" w:leader="dot" w:pos="8312"/>
        </w:tabs>
        <w:rPr>
          <w:rFonts w:ascii="Times New Roman" w:hAnsi="Times New Roman" w:cs="Times New Roman"/>
          <w:b/>
          <w:bCs/>
          <w:sz w:val="28"/>
          <w:szCs w:val="28"/>
        </w:rPr>
      </w:pPr>
      <w:r>
        <w:fldChar w:fldCharType="begin"/>
      </w:r>
      <w:r>
        <w:instrText xml:space="preserve"> HYPERLINK \l "_Toc218" </w:instrText>
      </w:r>
      <w:r>
        <w:fldChar w:fldCharType="separate"/>
      </w:r>
      <w:r>
        <w:rPr>
          <w:rFonts w:ascii="Times New Roman" w:hAnsi="Times New Roman" w:cs="Times New Roman"/>
          <w:b/>
          <w:bCs/>
          <w:sz w:val="28"/>
          <w:szCs w:val="28"/>
        </w:rPr>
        <w:t>第一章 采购公告</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_Toc218 \h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2</w:t>
      </w: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end"/>
      </w:r>
    </w:p>
    <w:p w14:paraId="61AE4A20">
      <w:pPr>
        <w:pStyle w:val="44"/>
        <w:tabs>
          <w:tab w:val="right" w:leader="dot" w:pos="8312"/>
        </w:tabs>
        <w:rPr>
          <w:rFonts w:ascii="Times New Roman" w:hAnsi="Times New Roman" w:cs="Times New Roman"/>
          <w:b/>
          <w:bCs/>
          <w:sz w:val="28"/>
          <w:szCs w:val="28"/>
        </w:rPr>
      </w:pPr>
      <w:r>
        <w:fldChar w:fldCharType="begin"/>
      </w:r>
      <w:r>
        <w:instrText xml:space="preserve"> HYPERLINK \l "_Toc16902" </w:instrText>
      </w:r>
      <w:r>
        <w:fldChar w:fldCharType="separate"/>
      </w:r>
      <w:r>
        <w:rPr>
          <w:rFonts w:ascii="Times New Roman" w:hAnsi="Times New Roman" w:cs="Times New Roman"/>
          <w:b/>
          <w:bCs/>
          <w:sz w:val="28"/>
          <w:szCs w:val="28"/>
        </w:rPr>
        <w:t>第二章 供应商须知</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_Toc16902 \h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5</w:t>
      </w: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end"/>
      </w:r>
    </w:p>
    <w:p w14:paraId="765E8DFB">
      <w:pPr>
        <w:pStyle w:val="44"/>
        <w:tabs>
          <w:tab w:val="right" w:leader="dot" w:pos="8312"/>
        </w:tabs>
        <w:rPr>
          <w:rFonts w:ascii="Times New Roman" w:hAnsi="Times New Roman" w:cs="Times New Roman"/>
          <w:b/>
          <w:bCs/>
          <w:sz w:val="28"/>
          <w:szCs w:val="28"/>
        </w:rPr>
      </w:pPr>
      <w:r>
        <w:fldChar w:fldCharType="begin"/>
      </w:r>
      <w:r>
        <w:instrText xml:space="preserve"> HYPERLINK \l "_Toc15239" </w:instrText>
      </w:r>
      <w:r>
        <w:fldChar w:fldCharType="separate"/>
      </w:r>
      <w:r>
        <w:rPr>
          <w:rFonts w:ascii="Times New Roman" w:hAnsi="Times New Roman" w:cs="Times New Roman"/>
          <w:b/>
          <w:bCs/>
          <w:sz w:val="28"/>
          <w:szCs w:val="28"/>
        </w:rPr>
        <w:t>第三章 评审办法</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_Toc15239 \h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11</w:t>
      </w: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end"/>
      </w:r>
    </w:p>
    <w:p w14:paraId="2479C6A7">
      <w:pPr>
        <w:pStyle w:val="44"/>
        <w:tabs>
          <w:tab w:val="right" w:leader="dot" w:pos="8312"/>
        </w:tabs>
        <w:rPr>
          <w:rFonts w:ascii="Times New Roman" w:hAnsi="Times New Roman" w:cs="Times New Roman"/>
          <w:b/>
          <w:bCs/>
          <w:sz w:val="28"/>
          <w:szCs w:val="28"/>
        </w:rPr>
      </w:pPr>
      <w:r>
        <w:fldChar w:fldCharType="begin"/>
      </w:r>
      <w:r>
        <w:instrText xml:space="preserve"> HYPERLINK \l "_Toc228" </w:instrText>
      </w:r>
      <w:r>
        <w:fldChar w:fldCharType="separate"/>
      </w:r>
      <w:r>
        <w:rPr>
          <w:rFonts w:ascii="Times New Roman" w:hAnsi="Times New Roman" w:cs="Times New Roman"/>
          <w:b/>
          <w:bCs/>
          <w:sz w:val="28"/>
          <w:szCs w:val="28"/>
        </w:rPr>
        <w:t>第四章 服务合同</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_Toc228 \h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18</w:t>
      </w: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end"/>
      </w:r>
    </w:p>
    <w:p w14:paraId="6EC6C0DE">
      <w:pPr>
        <w:pStyle w:val="44"/>
        <w:tabs>
          <w:tab w:val="right" w:leader="dot" w:pos="8312"/>
        </w:tabs>
        <w:rPr>
          <w:rFonts w:ascii="Times New Roman" w:hAnsi="Times New Roman" w:cs="Times New Roman"/>
          <w:b/>
          <w:bCs/>
          <w:sz w:val="28"/>
          <w:szCs w:val="28"/>
        </w:rPr>
      </w:pPr>
      <w:r>
        <w:fldChar w:fldCharType="begin"/>
      </w:r>
      <w:r>
        <w:instrText xml:space="preserve"> HYPERLINK \l "_Toc8287" </w:instrText>
      </w:r>
      <w:r>
        <w:fldChar w:fldCharType="separate"/>
      </w:r>
      <w:r>
        <w:rPr>
          <w:rFonts w:ascii="Times New Roman" w:hAnsi="Times New Roman" w:cs="Times New Roman"/>
          <w:b/>
          <w:bCs/>
          <w:sz w:val="28"/>
          <w:szCs w:val="28"/>
        </w:rPr>
        <w:t>第五章 采购需求</w:t>
      </w:r>
      <w:r>
        <w:rPr>
          <w:rFonts w:ascii="Times New Roman" w:hAnsi="Times New Roman" w:cs="Times New Roman"/>
          <w:b/>
          <w:bCs/>
          <w:sz w:val="28"/>
          <w:szCs w:val="28"/>
        </w:rPr>
        <w:tab/>
      </w:r>
      <w:r>
        <w:rPr>
          <w:rFonts w:ascii="Times New Roman" w:hAnsi="Times New Roman" w:cs="Times New Roman"/>
          <w:b/>
          <w:bCs/>
          <w:sz w:val="28"/>
          <w:szCs w:val="28"/>
        </w:rPr>
        <w:fldChar w:fldCharType="end"/>
      </w:r>
      <w:r>
        <w:rPr>
          <w:rFonts w:ascii="Times New Roman" w:hAnsi="Times New Roman" w:cs="Times New Roman"/>
          <w:b/>
          <w:bCs/>
          <w:sz w:val="28"/>
          <w:szCs w:val="28"/>
        </w:rPr>
        <w:t>24</w:t>
      </w:r>
    </w:p>
    <w:p w14:paraId="59E1FA6F">
      <w:pPr>
        <w:pStyle w:val="44"/>
        <w:tabs>
          <w:tab w:val="right" w:leader="dot" w:pos="8312"/>
        </w:tabs>
        <w:rPr>
          <w:rFonts w:ascii="Times New Roman" w:hAnsi="Times New Roman" w:cs="Times New Roman"/>
          <w:b/>
          <w:bCs/>
          <w:sz w:val="28"/>
          <w:szCs w:val="28"/>
        </w:rPr>
      </w:pPr>
      <w:r>
        <w:fldChar w:fldCharType="begin"/>
      </w:r>
      <w:r>
        <w:instrText xml:space="preserve"> HYPERLINK \l "_Toc9129" </w:instrText>
      </w:r>
      <w:r>
        <w:fldChar w:fldCharType="separate"/>
      </w:r>
      <w:r>
        <w:rPr>
          <w:rFonts w:ascii="Times New Roman" w:hAnsi="Times New Roman" w:cs="Times New Roman"/>
          <w:b/>
          <w:bCs/>
          <w:sz w:val="28"/>
          <w:szCs w:val="28"/>
        </w:rPr>
        <w:t>第六章 响应文件格式</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_Toc9129 \h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25</w:t>
      </w: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end"/>
      </w:r>
    </w:p>
    <w:p w14:paraId="4D5162D8">
      <w:pPr>
        <w:pStyle w:val="44"/>
        <w:tabs>
          <w:tab w:val="right" w:leader="dot" w:pos="8312"/>
        </w:tabs>
        <w:rPr>
          <w:rFonts w:ascii="Times New Roman" w:hAnsi="Times New Roman" w:cs="Times New Roman"/>
          <w:sz w:val="28"/>
          <w:szCs w:val="28"/>
        </w:rPr>
      </w:pPr>
      <w:r>
        <w:rPr>
          <w:rFonts w:ascii="Times New Roman" w:hAnsi="Times New Roman" w:cs="Times New Roman"/>
          <w:szCs w:val="28"/>
        </w:rPr>
        <w:fldChar w:fldCharType="end"/>
      </w:r>
    </w:p>
    <w:p w14:paraId="4649CF3C">
      <w:pPr>
        <w:jc w:val="center"/>
        <w:rPr>
          <w:rFonts w:ascii="Times New Roman" w:hAnsi="Times New Roman" w:cs="Times New Roman"/>
        </w:rPr>
      </w:pPr>
    </w:p>
    <w:p w14:paraId="18A017AD">
      <w:pPr>
        <w:jc w:val="center"/>
        <w:rPr>
          <w:rFonts w:ascii="Times New Roman" w:hAnsi="Times New Roman" w:cs="Times New Roman"/>
        </w:rPr>
      </w:pPr>
    </w:p>
    <w:p w14:paraId="50B90A62">
      <w:pPr>
        <w:jc w:val="center"/>
        <w:rPr>
          <w:rFonts w:ascii="Times New Roman" w:hAnsi="Times New Roman" w:cs="Times New Roman"/>
        </w:rPr>
      </w:pPr>
    </w:p>
    <w:p w14:paraId="65D036D4">
      <w:pPr>
        <w:rPr>
          <w:rFonts w:ascii="Times New Roman" w:hAnsi="Times New Roman" w:cs="Times New Roman"/>
        </w:rPr>
      </w:pPr>
    </w:p>
    <w:p w14:paraId="7FD44C10">
      <w:pPr>
        <w:pStyle w:val="3"/>
        <w:spacing w:before="312" w:after="312"/>
        <w:rPr>
          <w:rFonts w:ascii="Times New Roman" w:hAnsi="Times New Roman" w:eastAsia="宋体" w:cs="Times New Roman"/>
        </w:rPr>
      </w:pPr>
      <w:bookmarkStart w:id="1" w:name="_Toc24919_WPSOffice_Level1"/>
      <w:bookmarkStart w:id="2" w:name="_Toc218"/>
      <w:r>
        <w:rPr>
          <w:rFonts w:ascii="Times New Roman" w:hAnsi="Times New Roman" w:eastAsia="宋体" w:cs="Times New Roman"/>
        </w:rPr>
        <w:br w:type="page"/>
      </w:r>
      <w:r>
        <w:rPr>
          <w:rFonts w:ascii="Times New Roman" w:hAnsi="Times New Roman" w:eastAsia="宋体" w:cs="Times New Roman"/>
        </w:rPr>
        <w:t>采购公告</w:t>
      </w:r>
      <w:bookmarkEnd w:id="1"/>
      <w:bookmarkEnd w:id="2"/>
    </w:p>
    <w:p w14:paraId="0E76F4FB">
      <w:pPr>
        <w:pStyle w:val="5"/>
        <w:snapToGrid w:val="0"/>
        <w:spacing w:before="120" w:after="120" w:line="240" w:lineRule="auto"/>
        <w:ind w:firstLine="403"/>
        <w:rPr>
          <w:rFonts w:ascii="Times New Roman" w:hAnsi="Times New Roman" w:cs="Times New Roman"/>
          <w:bCs w:val="0"/>
          <w:sz w:val="24"/>
          <w:szCs w:val="24"/>
        </w:rPr>
      </w:pPr>
      <w:bookmarkStart w:id="3" w:name="_Toc525632585"/>
      <w:bookmarkStart w:id="4" w:name="_Toc13871"/>
      <w:bookmarkStart w:id="5" w:name="_Toc10395_WPSOffice_Level2"/>
      <w:bookmarkStart w:id="6" w:name="_Toc6496_WPSOffice_Level2"/>
      <w:bookmarkStart w:id="7" w:name="_Toc4489_WPSOffice_Level2"/>
      <w:bookmarkStart w:id="8" w:name="_Toc12765"/>
      <w:bookmarkStart w:id="9" w:name="_Toc24354_WPSOffice_Level2"/>
      <w:r>
        <w:rPr>
          <w:rFonts w:ascii="Times New Roman" w:hAnsi="Times New Roman" w:cs="Times New Roman"/>
          <w:bCs w:val="0"/>
          <w:sz w:val="24"/>
          <w:szCs w:val="24"/>
        </w:rPr>
        <w:t>项目简介</w:t>
      </w:r>
      <w:bookmarkEnd w:id="3"/>
      <w:bookmarkEnd w:id="4"/>
      <w:bookmarkEnd w:id="5"/>
      <w:bookmarkEnd w:id="6"/>
      <w:bookmarkEnd w:id="7"/>
      <w:bookmarkEnd w:id="8"/>
      <w:bookmarkEnd w:id="9"/>
    </w:p>
    <w:p w14:paraId="04A0FBB5">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1.1</w:t>
      </w:r>
      <w:r>
        <w:rPr>
          <w:rFonts w:hint="eastAsia" w:ascii="Times New Roman" w:hAnsi="Times New Roman" w:cs="Times New Roman"/>
          <w:sz w:val="24"/>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rPr>
        <w:t>安徽交控建设工程集团有限公司十五五</w:t>
      </w:r>
      <w:r>
        <w:rPr>
          <w:rFonts w:hint="eastAsia" w:ascii="Times New Roman" w:hAnsi="Times New Roman" w:cs="Times New Roman"/>
          <w:sz w:val="24"/>
          <w:lang w:val="en-US" w:eastAsia="zh-CN"/>
        </w:rPr>
        <w:t>战略</w:t>
      </w:r>
      <w:r>
        <w:rPr>
          <w:rFonts w:hint="eastAsia" w:ascii="Times New Roman" w:hAnsi="Times New Roman" w:cs="Times New Roman"/>
          <w:sz w:val="24"/>
        </w:rPr>
        <w:t>规划咨询服务</w:t>
      </w:r>
    </w:p>
    <w:p w14:paraId="21C74C4A">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lang w:val="en-US" w:eastAsia="zh-CN"/>
        </w:rPr>
        <w:t xml:space="preserve">2 </w:t>
      </w:r>
      <w:r>
        <w:rPr>
          <w:rFonts w:ascii="Times New Roman" w:hAnsi="Times New Roman" w:cs="Times New Roman"/>
          <w:sz w:val="24"/>
        </w:rPr>
        <w:t>采购人：安徽交控建设工程集团有限公司</w:t>
      </w:r>
    </w:p>
    <w:p w14:paraId="5ADB205B">
      <w:pPr>
        <w:pStyle w:val="5"/>
        <w:snapToGrid w:val="0"/>
        <w:spacing w:before="120" w:after="120" w:line="240" w:lineRule="auto"/>
        <w:ind w:firstLine="403"/>
        <w:rPr>
          <w:rFonts w:ascii="Times New Roman" w:hAnsi="Times New Roman" w:cs="Times New Roman"/>
          <w:bCs w:val="0"/>
          <w:sz w:val="24"/>
          <w:szCs w:val="24"/>
        </w:rPr>
      </w:pPr>
      <w:bookmarkStart w:id="10" w:name="_Toc10274"/>
      <w:bookmarkStart w:id="11" w:name="_Toc17858_WPSOffice_Level2"/>
      <w:bookmarkStart w:id="12" w:name="_Toc525632586"/>
      <w:bookmarkStart w:id="13" w:name="_Toc23266_WPSOffice_Level2"/>
      <w:bookmarkStart w:id="14" w:name="_Toc8128_WPSOffice_Level2"/>
      <w:bookmarkStart w:id="15" w:name="_Toc18367_WPSOffice_Level2"/>
      <w:bookmarkStart w:id="16" w:name="_Toc18453"/>
      <w:r>
        <w:rPr>
          <w:rFonts w:ascii="Times New Roman" w:hAnsi="Times New Roman" w:cs="Times New Roman"/>
          <w:bCs w:val="0"/>
          <w:sz w:val="24"/>
          <w:szCs w:val="24"/>
        </w:rPr>
        <w:t>采购说明</w:t>
      </w:r>
      <w:bookmarkEnd w:id="10"/>
      <w:bookmarkEnd w:id="11"/>
      <w:bookmarkEnd w:id="12"/>
      <w:bookmarkEnd w:id="13"/>
      <w:bookmarkEnd w:id="14"/>
      <w:bookmarkEnd w:id="15"/>
      <w:bookmarkEnd w:id="16"/>
    </w:p>
    <w:p w14:paraId="237522BE">
      <w:pPr>
        <w:snapToGrid w:val="0"/>
        <w:spacing w:line="440" w:lineRule="exact"/>
        <w:ind w:firstLine="480" w:firstLineChars="200"/>
        <w:rPr>
          <w:rFonts w:ascii="Times New Roman" w:hAnsi="Times New Roman" w:cs="Times New Roman"/>
          <w:sz w:val="24"/>
        </w:rPr>
      </w:pPr>
      <w:bookmarkStart w:id="17" w:name="_Toc4489_WPSOffice_Level3"/>
      <w:r>
        <w:rPr>
          <w:rFonts w:ascii="Times New Roman" w:hAnsi="Times New Roman" w:cs="Times New Roman"/>
          <w:sz w:val="24"/>
        </w:rPr>
        <w:t>2.1 采购方式：</w:t>
      </w:r>
      <w:bookmarkEnd w:id="17"/>
      <w:r>
        <w:rPr>
          <w:rFonts w:ascii="Times New Roman" w:hAnsi="Times New Roman" w:cs="Times New Roman"/>
          <w:sz w:val="24"/>
        </w:rPr>
        <w:t>公开询比采购。</w:t>
      </w:r>
    </w:p>
    <w:p w14:paraId="5FC2AB23">
      <w:pPr>
        <w:snapToGrid w:val="0"/>
        <w:spacing w:line="440" w:lineRule="exact"/>
        <w:ind w:firstLine="480" w:firstLineChars="200"/>
        <w:rPr>
          <w:rFonts w:ascii="Times New Roman" w:hAnsi="Times New Roman" w:cs="Times New Roman"/>
          <w:sz w:val="24"/>
        </w:rPr>
      </w:pPr>
      <w:bookmarkStart w:id="18" w:name="_Toc23266_WPSOffice_Level3"/>
      <w:r>
        <w:rPr>
          <w:rFonts w:ascii="Times New Roman" w:hAnsi="Times New Roman" w:cs="Times New Roman"/>
          <w:sz w:val="24"/>
        </w:rPr>
        <w:t>2.2 资金来源及比例：</w:t>
      </w:r>
      <w:bookmarkEnd w:id="18"/>
      <w:bookmarkStart w:id="19" w:name="_Toc22379_WPSOffice_Level3"/>
      <w:r>
        <w:rPr>
          <w:rFonts w:ascii="Times New Roman" w:hAnsi="Times New Roman" w:cs="Times New Roman"/>
          <w:sz w:val="24"/>
        </w:rPr>
        <w:t>100%来自企业自筹。</w:t>
      </w:r>
    </w:p>
    <w:p w14:paraId="4A2C4EEE">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2.3 采购范围：本项目主要内容为</w:t>
      </w:r>
      <w:bookmarkStart w:id="20" w:name="_Hlk193017912"/>
      <w:r>
        <w:rPr>
          <w:rFonts w:hint="eastAsia" w:ascii="Times New Roman" w:hAnsi="Times New Roman" w:cs="Times New Roman"/>
          <w:sz w:val="24"/>
        </w:rPr>
        <w:t>基于安徽交控建设工程集团有限公司所处发展环境与</w:t>
      </w:r>
      <w:r>
        <w:rPr>
          <w:rFonts w:ascii="Times New Roman" w:hAnsi="Times New Roman" w:cs="Times New Roman"/>
          <w:sz w:val="24"/>
        </w:rPr>
        <w:t>发展现状，结合</w:t>
      </w:r>
      <w:r>
        <w:rPr>
          <w:rFonts w:hint="eastAsia" w:ascii="Times New Roman" w:hAnsi="Times New Roman" w:cs="Times New Roman"/>
          <w:sz w:val="24"/>
        </w:rPr>
        <w:t>国资委、上级集团等</w:t>
      </w:r>
      <w:r>
        <w:rPr>
          <w:rFonts w:ascii="Times New Roman" w:hAnsi="Times New Roman" w:cs="Times New Roman"/>
          <w:sz w:val="24"/>
        </w:rPr>
        <w:t>要求，</w:t>
      </w:r>
      <w:r>
        <w:rPr>
          <w:rFonts w:hint="eastAsia" w:ascii="Times New Roman" w:hAnsi="Times New Roman" w:cs="Times New Roman"/>
          <w:sz w:val="24"/>
          <w:lang w:val="en-US" w:eastAsia="zh-CN"/>
        </w:rPr>
        <w:t>包括但不限于</w:t>
      </w:r>
      <w:r>
        <w:rPr>
          <w:rFonts w:hint="eastAsia" w:ascii="Times New Roman" w:hAnsi="Times New Roman" w:cs="Times New Roman"/>
          <w:sz w:val="24"/>
        </w:rPr>
        <w:t>对公司</w:t>
      </w:r>
      <w:r>
        <w:rPr>
          <w:rFonts w:ascii="Times New Roman" w:hAnsi="Times New Roman" w:cs="Times New Roman"/>
          <w:sz w:val="24"/>
        </w:rPr>
        <w:t>“十五五”时期</w:t>
      </w:r>
      <w:r>
        <w:rPr>
          <w:rFonts w:hint="eastAsia" w:ascii="Times New Roman" w:hAnsi="Times New Roman" w:cs="Times New Roman"/>
          <w:sz w:val="24"/>
        </w:rPr>
        <w:t>整体发展形势作出研判，并制定战略规划，包括目标体系、</w:t>
      </w:r>
      <w:r>
        <w:rPr>
          <w:rFonts w:ascii="Times New Roman" w:hAnsi="Times New Roman" w:cs="Times New Roman"/>
          <w:sz w:val="24"/>
        </w:rPr>
        <w:t>发展路径和重点</w:t>
      </w:r>
      <w:r>
        <w:rPr>
          <w:rFonts w:hint="eastAsia" w:ascii="Times New Roman" w:hAnsi="Times New Roman" w:cs="Times New Roman"/>
          <w:sz w:val="24"/>
        </w:rPr>
        <w:t>保障</w:t>
      </w:r>
      <w:r>
        <w:rPr>
          <w:rFonts w:ascii="Times New Roman" w:hAnsi="Times New Roman" w:cs="Times New Roman"/>
          <w:sz w:val="24"/>
        </w:rPr>
        <w:t>举措等内容，</w:t>
      </w:r>
      <w:r>
        <w:rPr>
          <w:rFonts w:hint="eastAsia" w:ascii="Times New Roman" w:hAnsi="Times New Roman" w:cs="Times New Roman"/>
          <w:sz w:val="24"/>
        </w:rPr>
        <w:t>最终</w:t>
      </w:r>
      <w:r>
        <w:rPr>
          <w:rFonts w:ascii="Times New Roman" w:hAnsi="Times New Roman" w:cs="Times New Roman"/>
          <w:sz w:val="24"/>
        </w:rPr>
        <w:t>形成</w:t>
      </w:r>
      <w:r>
        <w:rPr>
          <w:rFonts w:hint="eastAsia" w:ascii="Times New Roman" w:hAnsi="Times New Roman" w:cs="Times New Roman"/>
          <w:sz w:val="24"/>
        </w:rPr>
        <w:t>《安徽交控建设工程集团有限公司十五五战略规划报告</w:t>
      </w:r>
      <w:r>
        <w:rPr>
          <w:rFonts w:ascii="Times New Roman" w:hAnsi="Times New Roman" w:cs="Times New Roman"/>
          <w:sz w:val="24"/>
        </w:rPr>
        <w:t>》等成果</w:t>
      </w:r>
      <w:bookmarkEnd w:id="20"/>
      <w:r>
        <w:rPr>
          <w:rFonts w:ascii="Times New Roman" w:hAnsi="Times New Roman" w:cs="Times New Roman"/>
          <w:sz w:val="24"/>
        </w:rPr>
        <w:t>。具体内容以询比文件、需求清单为准。</w:t>
      </w:r>
    </w:p>
    <w:p w14:paraId="20DCEBE9">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2.4 合同包划分：共1个标段。</w:t>
      </w:r>
    </w:p>
    <w:p w14:paraId="56530F40">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2.5 最高限价：</w:t>
      </w:r>
      <w:bookmarkEnd w:id="19"/>
      <w:r>
        <w:rPr>
          <w:rFonts w:ascii="Times New Roman" w:hAnsi="Times New Roman" w:cs="Times New Roman"/>
          <w:sz w:val="24"/>
        </w:rPr>
        <w:t>人民币50万元。</w:t>
      </w:r>
    </w:p>
    <w:p w14:paraId="4B7D00A3">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2.6 服务期：</w:t>
      </w:r>
      <w:r>
        <w:rPr>
          <w:rFonts w:hint="eastAsia" w:ascii="Times New Roman" w:hAnsi="Times New Roman" w:cs="Times New Roman"/>
          <w:sz w:val="24"/>
        </w:rPr>
        <w:t>2025年5月至“十五五”战略规划完成</w:t>
      </w:r>
      <w:r>
        <w:rPr>
          <w:rFonts w:ascii="Times New Roman" w:hAnsi="Times New Roman" w:cs="Times New Roman"/>
          <w:sz w:val="24"/>
        </w:rPr>
        <w:t>。</w:t>
      </w:r>
    </w:p>
    <w:p w14:paraId="158E46C2">
      <w:pPr>
        <w:pStyle w:val="5"/>
        <w:snapToGrid w:val="0"/>
        <w:spacing w:before="120" w:after="120" w:line="240" w:lineRule="auto"/>
        <w:ind w:firstLine="403"/>
        <w:rPr>
          <w:rFonts w:ascii="Times New Roman" w:hAnsi="Times New Roman" w:cs="Times New Roman"/>
          <w:bCs w:val="0"/>
          <w:sz w:val="24"/>
          <w:szCs w:val="24"/>
        </w:rPr>
      </w:pPr>
      <w:bookmarkStart w:id="21" w:name="_Toc22379_WPSOffice_Level2"/>
      <w:bookmarkStart w:id="22" w:name="_Toc3714"/>
      <w:bookmarkStart w:id="23" w:name="_Toc29516_WPSOffice_Level2"/>
      <w:bookmarkStart w:id="24" w:name="_Toc31673_WPSOffice_Level2"/>
      <w:bookmarkStart w:id="25" w:name="_Toc525632587"/>
      <w:bookmarkStart w:id="26" w:name="_Toc6388"/>
      <w:bookmarkStart w:id="27" w:name="_Toc1622_WPSOffice_Level2"/>
      <w:r>
        <w:rPr>
          <w:rFonts w:ascii="Times New Roman" w:hAnsi="Times New Roman" w:cs="Times New Roman"/>
          <w:bCs w:val="0"/>
          <w:sz w:val="24"/>
          <w:szCs w:val="24"/>
        </w:rPr>
        <w:t>供应商资格条件</w:t>
      </w:r>
      <w:bookmarkEnd w:id="21"/>
      <w:bookmarkEnd w:id="22"/>
      <w:bookmarkEnd w:id="23"/>
      <w:bookmarkEnd w:id="24"/>
      <w:bookmarkEnd w:id="25"/>
      <w:bookmarkEnd w:id="26"/>
      <w:bookmarkEnd w:id="27"/>
    </w:p>
    <w:p w14:paraId="0E3D3647">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3.1 本次采购要求供应商须同时具备：</w:t>
      </w:r>
    </w:p>
    <w:p w14:paraId="5D58054D">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（1）资质要求：持有有效的营业执照或事业单位法人证书（须提供有效的证书）。</w:t>
      </w:r>
    </w:p>
    <w:p w14:paraId="14D04E11">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（2）业绩要求：2019年1月1日以来，投标人须至少具有</w:t>
      </w:r>
      <w:r>
        <w:rPr>
          <w:rFonts w:hint="eastAsia" w:ascii="Times New Roman" w:hAnsi="Times New Roman" w:cs="Times New Roman"/>
          <w:sz w:val="24"/>
          <w:lang w:val="en-US" w:eastAsia="zh-CN"/>
        </w:rPr>
        <w:t>2</w:t>
      </w:r>
      <w:r>
        <w:rPr>
          <w:rFonts w:ascii="Times New Roman" w:hAnsi="Times New Roman" w:cs="Times New Roman"/>
          <w:sz w:val="24"/>
        </w:rPr>
        <w:t>个单项合同金额</w:t>
      </w:r>
      <w:r>
        <w:rPr>
          <w:rFonts w:hint="eastAsia" w:ascii="Times New Roman" w:hAnsi="Times New Roman" w:cs="Times New Roman"/>
          <w:sz w:val="24"/>
          <w:lang w:val="en-US" w:eastAsia="zh-CN"/>
        </w:rPr>
        <w:t>35</w:t>
      </w:r>
      <w:r>
        <w:rPr>
          <w:rFonts w:ascii="Times New Roman" w:hAnsi="Times New Roman" w:cs="Times New Roman"/>
          <w:sz w:val="24"/>
        </w:rPr>
        <w:t>万元及以上</w:t>
      </w:r>
      <w:r>
        <w:rPr>
          <w:rFonts w:hint="eastAsia" w:ascii="Times New Roman" w:hAnsi="Times New Roman" w:cs="Times New Roman"/>
          <w:sz w:val="24"/>
        </w:rPr>
        <w:t>的</w:t>
      </w:r>
      <w:r>
        <w:rPr>
          <w:rFonts w:hint="eastAsia" w:ascii="Times New Roman" w:hAnsi="Times New Roman" w:cs="Times New Roman"/>
          <w:sz w:val="24"/>
          <w:lang w:val="en-US" w:eastAsia="zh-CN"/>
        </w:rPr>
        <w:t>建筑行业</w:t>
      </w:r>
      <w:r>
        <w:rPr>
          <w:rFonts w:ascii="Times New Roman" w:hAnsi="Times New Roman" w:cs="Times New Roman"/>
          <w:sz w:val="24"/>
        </w:rPr>
        <w:t>企业</w:t>
      </w:r>
      <w:r>
        <w:rPr>
          <w:rFonts w:hint="eastAsia" w:ascii="Times New Roman" w:hAnsi="Times New Roman" w:cs="Times New Roman"/>
          <w:sz w:val="24"/>
        </w:rPr>
        <w:t>战略规划</w:t>
      </w:r>
      <w:r>
        <w:rPr>
          <w:rFonts w:ascii="Times New Roman" w:hAnsi="Times New Roman" w:cs="Times New Roman"/>
          <w:sz w:val="24"/>
        </w:rPr>
        <w:t>咨询项目业绩。</w:t>
      </w:r>
    </w:p>
    <w:p w14:paraId="164F95A8">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备注：业绩以合同签订时间为准。投标人投标文件中必须提供合同，合同中如无法反应评审信息还需提供业主加盖公章证明材料。</w:t>
      </w:r>
    </w:p>
    <w:p w14:paraId="062CF958">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3.3人员要求：（1）项目负责人：</w:t>
      </w:r>
      <w:r>
        <w:rPr>
          <w:rFonts w:hint="eastAsia" w:ascii="Times New Roman" w:hAnsi="Times New Roman" w:cs="Times New Roman"/>
          <w:sz w:val="24"/>
        </w:rPr>
        <w:t>具有丰富的战略管理、产业研究、企业运营管控知识，了解宏观经济政策及形势，对建筑行业有深入的认识</w:t>
      </w:r>
      <w:r>
        <w:rPr>
          <w:rFonts w:hint="eastAsia" w:ascii="Times New Roman" w:hAnsi="Times New Roman" w:cs="Times New Roman"/>
          <w:sz w:val="24"/>
          <w:lang w:eastAsia="zh-CN"/>
        </w:rPr>
        <w:t>，</w:t>
      </w:r>
      <w:r>
        <w:rPr>
          <w:rFonts w:ascii="Times New Roman" w:hAnsi="Times New Roman" w:cs="Times New Roman"/>
          <w:sz w:val="24"/>
        </w:rPr>
        <w:t>至少具有</w:t>
      </w:r>
      <w:r>
        <w:rPr>
          <w:rFonts w:hint="eastAsia" w:ascii="Times New Roman" w:hAnsi="Times New Roman" w:cs="Times New Roman"/>
          <w:sz w:val="24"/>
          <w:lang w:val="en-US" w:eastAsia="zh-CN"/>
        </w:rPr>
        <w:t>2</w:t>
      </w:r>
      <w:r>
        <w:rPr>
          <w:rFonts w:ascii="Times New Roman" w:hAnsi="Times New Roman" w:cs="Times New Roman"/>
          <w:sz w:val="24"/>
        </w:rPr>
        <w:t>个作为项目负责人身份参与的</w:t>
      </w:r>
      <w:r>
        <w:rPr>
          <w:rFonts w:hint="eastAsia" w:ascii="Times New Roman" w:hAnsi="Times New Roman" w:cs="Times New Roman"/>
          <w:sz w:val="24"/>
          <w:lang w:val="en-US" w:eastAsia="zh-CN"/>
        </w:rPr>
        <w:t>建筑行业</w:t>
      </w:r>
      <w:r>
        <w:rPr>
          <w:rFonts w:ascii="Times New Roman" w:hAnsi="Times New Roman" w:cs="Times New Roman"/>
          <w:sz w:val="24"/>
        </w:rPr>
        <w:t>企业</w:t>
      </w:r>
      <w:r>
        <w:rPr>
          <w:rFonts w:hint="eastAsia" w:ascii="Times New Roman" w:hAnsi="Times New Roman" w:cs="Times New Roman"/>
          <w:sz w:val="24"/>
        </w:rPr>
        <w:t>战略规划</w:t>
      </w:r>
      <w:r>
        <w:rPr>
          <w:rFonts w:ascii="Times New Roman" w:hAnsi="Times New Roman" w:cs="Times New Roman"/>
          <w:sz w:val="24"/>
        </w:rPr>
        <w:t>咨询项目业绩。</w:t>
      </w:r>
    </w:p>
    <w:p w14:paraId="06665800">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备注：投标人投标文件中必须提供合同，合同中如无法反应评审信息还需提供业主加盖公章证明材料。</w:t>
      </w:r>
    </w:p>
    <w:p w14:paraId="0CE3AD0B">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（4）信誉最低要求：</w:t>
      </w:r>
    </w:p>
    <w:p w14:paraId="1572249D">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①未被责令停业，暂扣或吊销执照，或吊销资质证书；</w:t>
      </w:r>
    </w:p>
    <w:p w14:paraId="56F3558E">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②未进入清算程序，或被宣告破产，或其他丧失履约能力的情形；</w:t>
      </w:r>
    </w:p>
    <w:p w14:paraId="5025FD1B">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③在国家企业信用信息公示系统（http://www.gsxt.gov.cn）中未被列入严重违法失信企业名单；</w:t>
      </w:r>
    </w:p>
    <w:p w14:paraId="5C6BCA73">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④在“中国执行信息公开网”中未被列入失信被执行人名单；</w:t>
      </w:r>
    </w:p>
    <w:p w14:paraId="2E428F38">
      <w:pPr>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⑤在近三年内（自响应文件递交截止之日向前追溯3年）供应商或其法定代表人、拟委任的项目负责人未有行贿犯罪行为。</w:t>
      </w:r>
    </w:p>
    <w:p w14:paraId="4A7D3155">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3.2 联合体：本次采购不接受联合体报价。</w:t>
      </w:r>
    </w:p>
    <w:p w14:paraId="3FDA697D">
      <w:pPr>
        <w:wordWrap w:val="0"/>
        <w:spacing w:line="400" w:lineRule="exact"/>
        <w:ind w:firstLine="480" w:firstLineChars="200"/>
        <w:rPr>
          <w:rFonts w:ascii="Times New Roman" w:hAnsi="Times New Roman" w:cs="Times New Roman"/>
          <w:sz w:val="24"/>
        </w:rPr>
      </w:pPr>
      <w:r>
        <w:rPr>
          <w:rFonts w:ascii="Times New Roman" w:hAnsi="Times New Roman" w:cs="Times New Roman"/>
          <w:sz w:val="24"/>
        </w:rPr>
        <w:t>3.3 存在关联关系的单位，不得同时参加同一合同包报价，否则相关响应文件均无效。</w:t>
      </w:r>
    </w:p>
    <w:p w14:paraId="390DB18F">
      <w:pPr>
        <w:wordWrap w:val="0"/>
        <w:spacing w:line="400" w:lineRule="exact"/>
        <w:ind w:firstLine="480" w:firstLineChars="200"/>
        <w:rPr>
          <w:rFonts w:ascii="Times New Roman" w:hAnsi="Times New Roman" w:cs="Times New Roman"/>
          <w:sz w:val="24"/>
        </w:rPr>
      </w:pPr>
      <w:r>
        <w:rPr>
          <w:rFonts w:ascii="Times New Roman" w:hAnsi="Times New Roman" w:cs="Times New Roman"/>
          <w:sz w:val="24"/>
        </w:rPr>
        <w:t>关联关系定义：是指公司控股股东、实际控制人、董事、监事、高级管理人员与其直接或者间接控制的企业之间的关系，以及可能导致公司利益转移的其他关系。</w:t>
      </w:r>
    </w:p>
    <w:p w14:paraId="5D6189EC">
      <w:pPr>
        <w:pStyle w:val="5"/>
        <w:snapToGrid w:val="0"/>
        <w:spacing w:before="120" w:after="120" w:line="240" w:lineRule="auto"/>
        <w:ind w:firstLine="403"/>
        <w:rPr>
          <w:rFonts w:ascii="Times New Roman" w:hAnsi="Times New Roman" w:cs="Times New Roman"/>
          <w:bCs w:val="0"/>
          <w:sz w:val="24"/>
          <w:szCs w:val="24"/>
        </w:rPr>
      </w:pPr>
      <w:bookmarkStart w:id="28" w:name="_Toc4751"/>
      <w:bookmarkStart w:id="29" w:name="_Toc29452_WPSOffice_Level2"/>
      <w:bookmarkStart w:id="30" w:name="_Toc1994"/>
      <w:bookmarkStart w:id="31" w:name="_Toc25666_WPSOffice_Level2"/>
      <w:bookmarkStart w:id="32" w:name="_Toc2996_WPSOffice_Level2"/>
      <w:bookmarkStart w:id="33" w:name="_Toc525632588"/>
      <w:bookmarkStart w:id="34" w:name="_Toc4109_WPSOffice_Level2"/>
      <w:r>
        <w:rPr>
          <w:rFonts w:ascii="Times New Roman" w:hAnsi="Times New Roman" w:cs="Times New Roman"/>
          <w:bCs w:val="0"/>
          <w:sz w:val="24"/>
          <w:szCs w:val="24"/>
        </w:rPr>
        <w:t>询比文件的获取</w:t>
      </w:r>
      <w:bookmarkEnd w:id="28"/>
      <w:bookmarkEnd w:id="29"/>
      <w:bookmarkEnd w:id="30"/>
      <w:bookmarkEnd w:id="31"/>
      <w:bookmarkEnd w:id="32"/>
      <w:bookmarkEnd w:id="33"/>
      <w:bookmarkEnd w:id="34"/>
    </w:p>
    <w:p w14:paraId="01F50DD0">
      <w:pPr>
        <w:wordWrap w:val="0"/>
        <w:spacing w:line="400" w:lineRule="exact"/>
        <w:ind w:firstLine="480" w:firstLineChars="200"/>
        <w:rPr>
          <w:rFonts w:ascii="Times New Roman" w:hAnsi="Times New Roman" w:cs="Times New Roman"/>
          <w:sz w:val="24"/>
        </w:rPr>
      </w:pPr>
      <w:bookmarkStart w:id="35" w:name="_Toc726"/>
      <w:bookmarkStart w:id="36" w:name="_Toc525632589"/>
      <w:r>
        <w:rPr>
          <w:rFonts w:ascii="Times New Roman" w:hAnsi="Times New Roman" w:cs="Times New Roman"/>
          <w:sz w:val="24"/>
        </w:rPr>
        <w:t>4.1询比文件获取时间：至响应文件递交截止时间。</w:t>
      </w:r>
    </w:p>
    <w:p w14:paraId="311F8755">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4.2询比文件及相关资料获取：网上下载，供应商应在递交响应文件的截止时间前登录安徽交控招标采购平台，自行下载询比文件及相关资料。</w:t>
      </w:r>
      <w:bookmarkStart w:id="199" w:name="_GoBack"/>
      <w:bookmarkEnd w:id="199"/>
    </w:p>
    <w:p w14:paraId="21978626">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4.3询比文件价格：免费。</w:t>
      </w:r>
    </w:p>
    <w:p w14:paraId="4D02281C">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4.4评标办法：综合评分法。详见第三章《评审办法》。</w:t>
      </w:r>
    </w:p>
    <w:p w14:paraId="66C99EE0">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4.5询比文件获取相关注意事项</w:t>
      </w:r>
    </w:p>
    <w:p w14:paraId="327ACB25">
      <w:pPr>
        <w:snapToGrid w:val="0"/>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1）潜在供应商须登陆“安徽交控招采平台”（网址：https://zcpt.ahjkjt.com）参与本项目。首次登陆须办理注册手续，请务必选择注册为“供应商”类型。注册流程见安徽交控招采平台“用户注册”栏目，咨询电话：010-86392341。因未及时办理注册手续影响参加采购活动的，责任自负。</w:t>
      </w:r>
    </w:p>
    <w:p w14:paraId="508C0FAA">
      <w:pPr>
        <w:snapToGrid w:val="0"/>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2）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7E14C2EE">
      <w:pPr>
        <w:snapToGrid w:val="0"/>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（3）已注册的潜在供应商若注册信息发生变更（如：与初始注册信息不一致），应及时网上提交变更申请。因未及时变更导致不利后果的，责任自负。</w:t>
      </w:r>
    </w:p>
    <w:p w14:paraId="7D8730A6">
      <w:pPr>
        <w:pStyle w:val="5"/>
        <w:snapToGrid w:val="0"/>
        <w:spacing w:before="120" w:after="120" w:line="240" w:lineRule="auto"/>
        <w:ind w:firstLine="403"/>
        <w:rPr>
          <w:rFonts w:ascii="Times New Roman" w:hAnsi="Times New Roman" w:cs="Times New Roman"/>
          <w:bCs w:val="0"/>
          <w:sz w:val="24"/>
          <w:szCs w:val="24"/>
        </w:rPr>
      </w:pPr>
      <w:r>
        <w:rPr>
          <w:rFonts w:ascii="Times New Roman" w:hAnsi="Times New Roman" w:cs="Times New Roman"/>
          <w:bCs w:val="0"/>
          <w:sz w:val="24"/>
          <w:szCs w:val="24"/>
        </w:rPr>
        <w:t>响应文件的递交</w:t>
      </w:r>
      <w:bookmarkEnd w:id="35"/>
      <w:bookmarkEnd w:id="36"/>
    </w:p>
    <w:p w14:paraId="46624AD0">
      <w:pPr>
        <w:snapToGrid w:val="0"/>
        <w:spacing w:line="400" w:lineRule="exact"/>
        <w:ind w:firstLine="480" w:firstLineChars="200"/>
        <w:rPr>
          <w:rFonts w:ascii="Times New Roman" w:hAnsi="Times New Roman" w:cs="Times New Roman"/>
          <w:sz w:val="24"/>
        </w:rPr>
      </w:pPr>
      <w:bookmarkStart w:id="37" w:name="_Toc22719"/>
      <w:bookmarkStart w:id="38" w:name="_Toc525632591"/>
      <w:r>
        <w:rPr>
          <w:rFonts w:ascii="Times New Roman" w:hAnsi="Times New Roman" w:cs="Times New Roman"/>
          <w:sz w:val="24"/>
        </w:rPr>
        <w:t>5.1响应文件递交的截止时间（响应文件递交截止时间，下同）为202</w:t>
      </w:r>
      <w:r>
        <w:rPr>
          <w:rFonts w:hint="eastAsia" w:ascii="Times New Roman" w:hAnsi="Times New Roman" w:cs="Times New Roman"/>
          <w:sz w:val="24"/>
        </w:rPr>
        <w:t>5</w:t>
      </w:r>
      <w:r>
        <w:rPr>
          <w:rFonts w:ascii="Times New Roman" w:hAnsi="Times New Roman" w:cs="Times New Roman"/>
          <w:sz w:val="24"/>
        </w:rPr>
        <w:t>年</w:t>
      </w:r>
      <w:r>
        <w:rPr>
          <w:rFonts w:hint="eastAsia" w:ascii="Times New Roman" w:hAnsi="Times New Roman" w:cs="Times New Roman"/>
          <w:sz w:val="24"/>
          <w:lang w:val="en-US" w:eastAsia="zh-CN"/>
        </w:rPr>
        <w:t>5</w:t>
      </w:r>
      <w:r>
        <w:rPr>
          <w:rFonts w:ascii="Times New Roman" w:hAnsi="Times New Roman" w:cs="Times New Roman"/>
          <w:sz w:val="24"/>
        </w:rPr>
        <w:t>月</w:t>
      </w:r>
      <w:r>
        <w:rPr>
          <w:rFonts w:hint="eastAsia" w:ascii="Times New Roman" w:hAnsi="Times New Roman" w:cs="Times New Roman"/>
          <w:sz w:val="24"/>
          <w:lang w:val="en-US" w:eastAsia="zh-CN"/>
        </w:rPr>
        <w:t>19</w:t>
      </w:r>
      <w:r>
        <w:rPr>
          <w:rFonts w:ascii="Times New Roman" w:hAnsi="Times New Roman" w:cs="Times New Roman"/>
          <w:sz w:val="24"/>
        </w:rPr>
        <w:t>日</w:t>
      </w:r>
      <w:r>
        <w:rPr>
          <w:rFonts w:hint="eastAsia" w:ascii="Times New Roman" w:hAnsi="Times New Roman" w:cs="Times New Roman"/>
          <w:sz w:val="24"/>
          <w:lang w:val="en-US" w:eastAsia="zh-CN"/>
        </w:rPr>
        <w:t>下午2</w:t>
      </w:r>
      <w:r>
        <w:rPr>
          <w:rFonts w:ascii="Times New Roman" w:hAnsi="Times New Roman" w:cs="Times New Roman"/>
          <w:sz w:val="24"/>
        </w:rPr>
        <w:t>时</w:t>
      </w:r>
      <w:r>
        <w:rPr>
          <w:rFonts w:hint="eastAsia" w:ascii="Times New Roman" w:hAnsi="Times New Roman" w:cs="Times New Roman"/>
          <w:sz w:val="24"/>
          <w:lang w:val="en-US" w:eastAsia="zh-CN"/>
        </w:rPr>
        <w:t>00</w:t>
      </w:r>
      <w:r>
        <w:rPr>
          <w:rFonts w:ascii="Times New Roman" w:hAnsi="Times New Roman" w:cs="Times New Roman"/>
          <w:sz w:val="24"/>
        </w:rPr>
        <w:t>分，</w:t>
      </w:r>
      <w:r>
        <w:rPr>
          <w:rFonts w:hint="eastAsia" w:ascii="Times New Roman" w:hAnsi="Times New Roman" w:cs="Times New Roman"/>
          <w:sz w:val="24"/>
        </w:rPr>
        <w:t>供应商的法定代表人或其授权代理人应于</w:t>
      </w:r>
      <w:r>
        <w:rPr>
          <w:rFonts w:hint="eastAsia" w:ascii="Times New Roman" w:hAnsi="Times New Roman" w:cs="Times New Roman"/>
          <w:sz w:val="24"/>
          <w:lang w:val="en-US" w:eastAsia="zh-CN"/>
        </w:rPr>
        <w:t>截止时间</w:t>
      </w:r>
      <w:r>
        <w:rPr>
          <w:rFonts w:hint="eastAsia" w:ascii="Times New Roman" w:hAnsi="Times New Roman" w:cs="Times New Roman"/>
          <w:sz w:val="24"/>
        </w:rPr>
        <w:t>前将响应文件递交至安徽交控建设工程集团有限公司10楼职工书屋（1012室）。</w:t>
      </w:r>
    </w:p>
    <w:p w14:paraId="13919263">
      <w:pPr>
        <w:snapToGrid w:val="0"/>
        <w:spacing w:line="400" w:lineRule="exac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项目评审时有现场陈述的环节，请投标人安排相关陈述人员携带公司介绍信（格式自拟，未携带公司介绍信的人员不予进入陈述现场，陈述人员为投标文件中拟派的服务团队人员），在响应文件开启前到达安徽交控建设集团有限公司10楼等待陈述，具体要求详见采购文件。</w:t>
      </w:r>
    </w:p>
    <w:p w14:paraId="43DCE6CD">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5.2视为无效响应的情形：</w:t>
      </w:r>
    </w:p>
    <w:p w14:paraId="0C8F2D21">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（1）未按要求获取询比文件的响应文件；</w:t>
      </w:r>
    </w:p>
    <w:p w14:paraId="6BC2F89E">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（2）响应文件未上传或逾期上传、或者不按照询比文件要求加密；</w:t>
      </w:r>
    </w:p>
    <w:p w14:paraId="31C8B6FE">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（3）供应商参加远程在线开启响应文件，解密响应文件不成功。</w:t>
      </w:r>
    </w:p>
    <w:p w14:paraId="7C20EFD5">
      <w:pPr>
        <w:pStyle w:val="5"/>
        <w:snapToGrid w:val="0"/>
        <w:spacing w:before="120" w:after="120" w:line="240" w:lineRule="auto"/>
        <w:ind w:firstLine="403"/>
        <w:rPr>
          <w:rFonts w:ascii="Times New Roman" w:hAnsi="Times New Roman" w:cs="Times New Roman"/>
          <w:bCs w:val="0"/>
          <w:sz w:val="24"/>
          <w:szCs w:val="24"/>
        </w:rPr>
      </w:pPr>
      <w:r>
        <w:rPr>
          <w:rFonts w:ascii="Times New Roman" w:hAnsi="Times New Roman" w:cs="Times New Roman"/>
          <w:bCs w:val="0"/>
          <w:sz w:val="24"/>
          <w:szCs w:val="24"/>
        </w:rPr>
        <w:t>响应文件启封</w:t>
      </w:r>
    </w:p>
    <w:p w14:paraId="169DBC1D">
      <w:pPr>
        <w:snapToGrid w:val="0"/>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响应文件的递交时间截止后，比选人将于安徽交控建设工程集团有限公司组织进行响应文件的启封。供应商的法定代表人或授权代理人应携带本人身份证、授权代理人应携带授权委托书准时参加启封会议。</w:t>
      </w:r>
    </w:p>
    <w:p w14:paraId="3C465038">
      <w:pPr>
        <w:pStyle w:val="5"/>
        <w:snapToGrid w:val="0"/>
        <w:spacing w:before="120" w:after="120" w:line="240" w:lineRule="auto"/>
        <w:ind w:firstLine="403"/>
        <w:rPr>
          <w:rFonts w:ascii="Times New Roman" w:hAnsi="Times New Roman" w:cs="Times New Roman"/>
          <w:bCs w:val="0"/>
          <w:sz w:val="24"/>
          <w:szCs w:val="24"/>
        </w:rPr>
      </w:pPr>
      <w:r>
        <w:rPr>
          <w:rFonts w:ascii="Times New Roman" w:hAnsi="Times New Roman" w:cs="Times New Roman"/>
          <w:bCs w:val="0"/>
          <w:sz w:val="24"/>
          <w:szCs w:val="24"/>
        </w:rPr>
        <w:t>响应保证金</w:t>
      </w:r>
    </w:p>
    <w:p w14:paraId="70804A35">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响应保证金的金额：人民币10000元整。响应保证金须在响应文件递交截止时间前以电汇、转账、网银等方式从供应商账户转入并到达以下指定账户。</w:t>
      </w:r>
    </w:p>
    <w:p w14:paraId="04ABD99B">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账户户名：</w:t>
      </w:r>
      <w:r>
        <w:rPr>
          <w:rFonts w:hint="eastAsia" w:ascii="Times New Roman" w:hAnsi="Times New Roman" w:cs="Times New Roman"/>
          <w:sz w:val="24"/>
        </w:rPr>
        <w:t>安徽交控建设工程集团有限公司</w:t>
      </w:r>
      <w:r>
        <w:rPr>
          <w:rFonts w:ascii="Times New Roman" w:hAnsi="Times New Roman" w:cs="Times New Roman"/>
          <w:sz w:val="24"/>
        </w:rPr>
        <w:t xml:space="preserve"> </w:t>
      </w:r>
    </w:p>
    <w:p w14:paraId="4FC7B6A5">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开户银行：</w:t>
      </w:r>
      <w:r>
        <w:rPr>
          <w:rFonts w:hint="eastAsia" w:ascii="Times New Roman" w:hAnsi="Times New Roman" w:cs="Times New Roman"/>
          <w:sz w:val="24"/>
        </w:rPr>
        <w:t>工行合肥蜀山支行</w:t>
      </w:r>
      <w:r>
        <w:rPr>
          <w:rFonts w:ascii="Times New Roman" w:hAnsi="Times New Roman" w:cs="Times New Roman"/>
          <w:sz w:val="24"/>
        </w:rPr>
        <w:t xml:space="preserve"> </w:t>
      </w:r>
    </w:p>
    <w:p w14:paraId="3BB6BFA5">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账号：</w:t>
      </w:r>
      <w:r>
        <w:rPr>
          <w:rFonts w:hint="eastAsia" w:ascii="Times New Roman" w:hAnsi="Times New Roman" w:cs="Times New Roman"/>
          <w:sz w:val="24"/>
        </w:rPr>
        <w:t>1302012109026700213</w:t>
      </w:r>
    </w:p>
    <w:p w14:paraId="6CE2DF66">
      <w:pPr>
        <w:pStyle w:val="5"/>
        <w:snapToGrid w:val="0"/>
        <w:spacing w:before="120" w:after="120" w:line="240" w:lineRule="auto"/>
        <w:ind w:firstLine="403"/>
        <w:rPr>
          <w:rFonts w:ascii="Times New Roman" w:hAnsi="Times New Roman" w:cs="Times New Roman"/>
          <w:bCs w:val="0"/>
          <w:sz w:val="24"/>
          <w:szCs w:val="24"/>
        </w:rPr>
      </w:pPr>
      <w:r>
        <w:rPr>
          <w:rFonts w:ascii="Times New Roman" w:hAnsi="Times New Roman" w:cs="Times New Roman"/>
          <w:bCs w:val="0"/>
          <w:sz w:val="24"/>
          <w:szCs w:val="24"/>
        </w:rPr>
        <w:t>发布公告的媒介</w:t>
      </w:r>
      <w:bookmarkEnd w:id="37"/>
      <w:bookmarkEnd w:id="38"/>
    </w:p>
    <w:p w14:paraId="56A150AD">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本次采购公告在安徽</w:t>
      </w:r>
      <w:r>
        <w:rPr>
          <w:rFonts w:hint="eastAsia" w:ascii="Times New Roman" w:hAnsi="Times New Roman" w:cs="Times New Roman"/>
          <w:sz w:val="24"/>
          <w:lang w:val="en-US" w:eastAsia="zh-CN"/>
        </w:rPr>
        <w:t>交控建设工程集团有限公司</w:t>
      </w:r>
      <w:r>
        <w:rPr>
          <w:rFonts w:ascii="Times New Roman" w:hAnsi="Times New Roman" w:cs="Times New Roman"/>
          <w:sz w:val="24"/>
        </w:rPr>
        <w:t>（网址：</w:t>
      </w:r>
      <w:r>
        <w:rPr>
          <w:rFonts w:hint="eastAsia" w:ascii="Times New Roman" w:hAnsi="Times New Roman" w:cs="Times New Roman"/>
          <w:sz w:val="24"/>
        </w:rPr>
        <w:t>https://www.ahjggroup.com</w:t>
      </w:r>
      <w:r>
        <w:rPr>
          <w:rFonts w:ascii="Times New Roman" w:hAnsi="Times New Roman" w:cs="Times New Roman"/>
          <w:sz w:val="24"/>
        </w:rPr>
        <w:t>）、“安徽交控招标采购平台” （网址：https://zcpt.ahjkjt.com）上发布。</w:t>
      </w:r>
    </w:p>
    <w:p w14:paraId="05A0EA2C">
      <w:pPr>
        <w:pStyle w:val="5"/>
        <w:snapToGrid w:val="0"/>
        <w:spacing w:before="120" w:after="120" w:line="240" w:lineRule="auto"/>
        <w:ind w:firstLine="403"/>
        <w:rPr>
          <w:rFonts w:ascii="Times New Roman" w:hAnsi="Times New Roman" w:cs="Times New Roman"/>
          <w:bCs w:val="0"/>
          <w:sz w:val="24"/>
          <w:szCs w:val="24"/>
        </w:rPr>
      </w:pPr>
      <w:bookmarkStart w:id="39" w:name="_Toc8501"/>
      <w:bookmarkStart w:id="40" w:name="_Toc26829"/>
      <w:bookmarkStart w:id="41" w:name="_Toc14943_WPSOffice_Level2"/>
      <w:bookmarkStart w:id="42" w:name="_Toc28571_WPSOffice_Level2"/>
      <w:bookmarkStart w:id="43" w:name="_Toc525632592"/>
      <w:bookmarkStart w:id="44" w:name="_Toc20572_WPSOffice_Level2"/>
      <w:bookmarkStart w:id="45" w:name="_Toc321_WPSOffice_Level2"/>
      <w:r>
        <w:rPr>
          <w:rFonts w:ascii="Times New Roman" w:hAnsi="Times New Roman" w:cs="Times New Roman"/>
          <w:bCs w:val="0"/>
          <w:sz w:val="24"/>
          <w:szCs w:val="24"/>
        </w:rPr>
        <w:t>采购人联系方式</w:t>
      </w:r>
      <w:bookmarkEnd w:id="39"/>
      <w:bookmarkEnd w:id="40"/>
      <w:bookmarkEnd w:id="41"/>
      <w:bookmarkEnd w:id="42"/>
      <w:bookmarkEnd w:id="43"/>
      <w:bookmarkEnd w:id="44"/>
      <w:bookmarkEnd w:id="45"/>
    </w:p>
    <w:p w14:paraId="09444DFD">
      <w:pPr>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采购人：</w:t>
      </w:r>
      <w:r>
        <w:rPr>
          <w:rFonts w:hint="eastAsia" w:ascii="Times New Roman" w:hAnsi="Times New Roman" w:cs="Times New Roman"/>
          <w:sz w:val="24"/>
        </w:rPr>
        <w:t xml:space="preserve"> </w:t>
      </w:r>
      <w:r>
        <w:rPr>
          <w:rFonts w:ascii="Times New Roman" w:hAnsi="Times New Roman" w:cs="Times New Roman"/>
          <w:sz w:val="24"/>
        </w:rPr>
        <w:t>安徽交控建设工程集团有限公司</w:t>
      </w:r>
    </w:p>
    <w:p w14:paraId="1C7098A3">
      <w:pPr>
        <w:snapToGrid w:val="0"/>
        <w:spacing w:line="400" w:lineRule="exact"/>
        <w:ind w:firstLine="480" w:firstLineChars="200"/>
        <w:rPr>
          <w:rFonts w:hint="default" w:ascii="Times New Roman" w:hAnsi="Times New Roman" w:eastAsia="宋体" w:cs="Times New Roman"/>
          <w:sz w:val="24"/>
          <w:lang w:val="en-US" w:eastAsia="zh-CN"/>
        </w:rPr>
      </w:pPr>
      <w:r>
        <w:rPr>
          <w:rFonts w:ascii="Times New Roman" w:hAnsi="Times New Roman" w:cs="Times New Roman"/>
          <w:sz w:val="24"/>
        </w:rPr>
        <w:t>地址：</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安徽省合肥市包河区高速滨湖时代广场C1号楼9、10楼</w:t>
      </w:r>
    </w:p>
    <w:p w14:paraId="269C61C2">
      <w:pPr>
        <w:snapToGrid w:val="0"/>
        <w:spacing w:line="400" w:lineRule="exact"/>
        <w:ind w:firstLine="480" w:firstLineChars="200"/>
        <w:rPr>
          <w:rFonts w:hint="eastAsia" w:ascii="Times New Roman" w:hAnsi="Times New Roman" w:eastAsia="宋体" w:cs="Times New Roman"/>
          <w:sz w:val="24"/>
          <w:lang w:val="en-US" w:eastAsia="zh-CN"/>
        </w:rPr>
      </w:pPr>
      <w:r>
        <w:rPr>
          <w:rFonts w:ascii="Times New Roman" w:hAnsi="Times New Roman" w:cs="Times New Roman"/>
          <w:sz w:val="24"/>
        </w:rPr>
        <w:t>联系人：</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王工</w:t>
      </w:r>
    </w:p>
    <w:p w14:paraId="585F2053">
      <w:pPr>
        <w:snapToGrid w:val="0"/>
        <w:spacing w:line="400" w:lineRule="exact"/>
        <w:ind w:firstLine="480" w:firstLineChars="200"/>
        <w:rPr>
          <w:rFonts w:hint="default" w:ascii="Times New Roman" w:hAnsi="Times New Roman" w:eastAsia="宋体" w:cs="Times New Roman"/>
          <w:sz w:val="24"/>
          <w:lang w:val="en-US" w:eastAsia="zh-CN"/>
        </w:rPr>
      </w:pPr>
      <w:r>
        <w:rPr>
          <w:rFonts w:ascii="Times New Roman" w:hAnsi="Times New Roman" w:cs="Times New Roman"/>
          <w:sz w:val="24"/>
        </w:rPr>
        <w:t>电话：</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18226849902</w:t>
      </w:r>
    </w:p>
    <w:p w14:paraId="0D5D60A1">
      <w:pPr>
        <w:pStyle w:val="43"/>
        <w:jc w:val="center"/>
        <w:rPr>
          <w:rFonts w:hint="default" w:ascii="Times New Roman" w:hAnsi="Times New Roman"/>
          <w:color w:val="auto"/>
          <w:sz w:val="21"/>
          <w:szCs w:val="22"/>
        </w:rPr>
      </w:pPr>
    </w:p>
    <w:p w14:paraId="5250C02D">
      <w:pPr>
        <w:pStyle w:val="43"/>
        <w:jc w:val="right"/>
        <w:rPr>
          <w:rFonts w:hint="default" w:ascii="Times New Roman" w:hAnsi="Times New Roman"/>
          <w:color w:val="auto"/>
          <w:sz w:val="21"/>
          <w:szCs w:val="22"/>
        </w:rPr>
      </w:pPr>
    </w:p>
    <w:p w14:paraId="7EE96752">
      <w:pPr>
        <w:pStyle w:val="43"/>
        <w:jc w:val="right"/>
        <w:rPr>
          <w:rFonts w:hint="default" w:ascii="Times New Roman" w:hAnsi="Times New Roman" w:eastAsia="宋体"/>
          <w:color w:val="auto"/>
          <w:kern w:val="2"/>
          <w:szCs w:val="24"/>
        </w:rPr>
      </w:pPr>
      <w:r>
        <w:rPr>
          <w:rFonts w:hint="default" w:ascii="Times New Roman" w:hAnsi="Times New Roman" w:eastAsia="宋体"/>
          <w:color w:val="auto"/>
          <w:kern w:val="2"/>
          <w:szCs w:val="24"/>
        </w:rPr>
        <w:t>202</w:t>
      </w:r>
      <w:r>
        <w:rPr>
          <w:rFonts w:ascii="Times New Roman" w:hAnsi="Times New Roman" w:eastAsia="宋体"/>
          <w:color w:val="auto"/>
          <w:kern w:val="2"/>
          <w:szCs w:val="24"/>
        </w:rPr>
        <w:t>5</w:t>
      </w:r>
      <w:r>
        <w:rPr>
          <w:rFonts w:hint="default" w:ascii="Times New Roman" w:hAnsi="Times New Roman" w:eastAsia="宋体"/>
          <w:color w:val="auto"/>
          <w:kern w:val="2"/>
          <w:szCs w:val="24"/>
        </w:rPr>
        <w:t>年</w:t>
      </w:r>
      <w:r>
        <w:rPr>
          <w:rFonts w:hint="eastAsia" w:ascii="Times New Roman" w:hAnsi="Times New Roman" w:eastAsia="宋体"/>
          <w:color w:val="auto"/>
          <w:kern w:val="2"/>
          <w:szCs w:val="24"/>
          <w:lang w:val="en-US" w:eastAsia="zh-CN"/>
        </w:rPr>
        <w:t>5</w:t>
      </w:r>
      <w:r>
        <w:rPr>
          <w:rFonts w:hint="default" w:ascii="Times New Roman" w:hAnsi="Times New Roman" w:eastAsia="宋体"/>
          <w:color w:val="auto"/>
          <w:kern w:val="2"/>
          <w:szCs w:val="24"/>
        </w:rPr>
        <w:t>月</w:t>
      </w:r>
      <w:r>
        <w:rPr>
          <w:rFonts w:hint="eastAsia" w:ascii="Times New Roman" w:hAnsi="Times New Roman" w:eastAsia="宋体"/>
          <w:color w:val="auto"/>
          <w:kern w:val="2"/>
          <w:szCs w:val="24"/>
          <w:lang w:val="en-US" w:eastAsia="zh-CN"/>
        </w:rPr>
        <w:t>12</w:t>
      </w:r>
      <w:r>
        <w:rPr>
          <w:rFonts w:hint="default" w:ascii="Times New Roman" w:hAnsi="Times New Roman" w:eastAsia="宋体"/>
          <w:color w:val="auto"/>
          <w:kern w:val="2"/>
          <w:szCs w:val="24"/>
        </w:rPr>
        <w:t>日</w:t>
      </w:r>
    </w:p>
    <w:p w14:paraId="5B2DA0FC">
      <w:pPr>
        <w:rPr>
          <w:rFonts w:ascii="Times New Roman" w:hAnsi="Times New Roman" w:cs="Times New Roman"/>
          <w:sz w:val="24"/>
          <w:szCs w:val="28"/>
        </w:rPr>
      </w:pPr>
      <w:r>
        <w:rPr>
          <w:rFonts w:ascii="Times New Roman" w:hAnsi="Times New Roman" w:cs="Times New Roman"/>
          <w:sz w:val="24"/>
          <w:szCs w:val="28"/>
        </w:rPr>
        <w:br w:type="page"/>
      </w:r>
    </w:p>
    <w:p w14:paraId="0085C87B">
      <w:pPr>
        <w:pStyle w:val="3"/>
        <w:spacing w:before="312" w:after="312"/>
        <w:rPr>
          <w:rFonts w:ascii="Times New Roman" w:hAnsi="Times New Roman" w:eastAsia="宋体" w:cs="Times New Roman"/>
        </w:rPr>
      </w:pPr>
      <w:bookmarkStart w:id="46" w:name="_Toc16902"/>
      <w:bookmarkStart w:id="47" w:name="_Toc12694_WPSOffice_Level1"/>
      <w:r>
        <w:rPr>
          <w:rFonts w:ascii="Times New Roman" w:hAnsi="Times New Roman" w:eastAsia="宋体" w:cs="Times New Roman"/>
        </w:rPr>
        <w:t>供应商须知</w:t>
      </w:r>
      <w:bookmarkEnd w:id="46"/>
      <w:bookmarkEnd w:id="47"/>
    </w:p>
    <w:p w14:paraId="2768BD80">
      <w:pPr>
        <w:keepNext/>
        <w:keepLines/>
        <w:spacing w:before="156" w:beforeLines="50" w:after="156" w:afterLines="50" w:line="360" w:lineRule="auto"/>
        <w:outlineLvl w:val="1"/>
        <w:rPr>
          <w:rFonts w:ascii="Times New Roman" w:hAnsi="Times New Roman" w:eastAsia="黑体" w:cs="Times New Roman"/>
          <w:bCs/>
          <w:sz w:val="24"/>
        </w:rPr>
      </w:pPr>
      <w:bookmarkStart w:id="48" w:name="_Toc14201207"/>
      <w:bookmarkStart w:id="49" w:name="_Toc26656938"/>
      <w:bookmarkStart w:id="50" w:name="_Toc9067720"/>
      <w:r>
        <w:rPr>
          <w:rFonts w:ascii="Times New Roman" w:hAnsi="Times New Roman" w:eastAsia="黑体" w:cs="Times New Roman"/>
          <w:bCs/>
          <w:sz w:val="24"/>
        </w:rPr>
        <w:t>1. 总则</w:t>
      </w:r>
      <w:bookmarkEnd w:id="48"/>
      <w:bookmarkEnd w:id="49"/>
      <w:bookmarkEnd w:id="50"/>
    </w:p>
    <w:p w14:paraId="783A8E6C">
      <w:pPr>
        <w:keepNext/>
        <w:keepLines/>
        <w:spacing w:before="120" w:after="120"/>
        <w:outlineLvl w:val="2"/>
        <w:rPr>
          <w:rFonts w:ascii="Times New Roman" w:hAnsi="Times New Roman" w:eastAsia="黑体" w:cs="Times New Roman"/>
          <w:bCs/>
          <w:sz w:val="24"/>
        </w:rPr>
      </w:pPr>
      <w:bookmarkStart w:id="51" w:name="_Toc26656939"/>
      <w:bookmarkStart w:id="52" w:name="_Toc14201208"/>
      <w:r>
        <w:rPr>
          <w:rFonts w:ascii="Times New Roman" w:hAnsi="Times New Roman" w:eastAsia="黑体" w:cs="Times New Roman"/>
          <w:bCs/>
          <w:sz w:val="24"/>
        </w:rPr>
        <w:t xml:space="preserve">1.1 </w:t>
      </w:r>
      <w:bookmarkEnd w:id="51"/>
      <w:bookmarkEnd w:id="52"/>
      <w:bookmarkStart w:id="53" w:name="_Toc26656941"/>
      <w:bookmarkStart w:id="54" w:name="_Toc14201210"/>
      <w:r>
        <w:rPr>
          <w:rFonts w:ascii="Times New Roman" w:hAnsi="Times New Roman" w:eastAsia="黑体" w:cs="Times New Roman"/>
          <w:bCs/>
          <w:sz w:val="24"/>
        </w:rPr>
        <w:t>质量要求和安全</w:t>
      </w:r>
      <w:bookmarkEnd w:id="53"/>
      <w:bookmarkEnd w:id="54"/>
      <w:r>
        <w:rPr>
          <w:rFonts w:ascii="Times New Roman" w:hAnsi="Times New Roman" w:eastAsia="黑体" w:cs="Times New Roman"/>
          <w:bCs/>
          <w:sz w:val="24"/>
        </w:rPr>
        <w:t>目标</w:t>
      </w:r>
    </w:p>
    <w:p w14:paraId="7976B00B">
      <w:pPr>
        <w:spacing w:line="440" w:lineRule="exact"/>
        <w:ind w:firstLine="420"/>
        <w:rPr>
          <w:rFonts w:ascii="Times New Roman" w:hAnsi="Times New Roman" w:cs="Times New Roman"/>
          <w:sz w:val="24"/>
        </w:rPr>
      </w:pPr>
      <w:r>
        <w:rPr>
          <w:rFonts w:ascii="Times New Roman" w:hAnsi="Times New Roman" w:cs="Times New Roman"/>
          <w:sz w:val="24"/>
        </w:rPr>
        <w:t>1.1.1本合同包的质量要求：合格，满足采购人要求。</w:t>
      </w:r>
    </w:p>
    <w:p w14:paraId="594C8051">
      <w:pPr>
        <w:spacing w:line="440" w:lineRule="exact"/>
        <w:ind w:firstLine="420"/>
        <w:rPr>
          <w:rFonts w:ascii="Times New Roman" w:hAnsi="Times New Roman" w:cs="Times New Roman"/>
          <w:sz w:val="24"/>
        </w:rPr>
      </w:pPr>
      <w:r>
        <w:rPr>
          <w:rFonts w:ascii="Times New Roman" w:hAnsi="Times New Roman" w:cs="Times New Roman"/>
          <w:sz w:val="24"/>
        </w:rPr>
        <w:t>1.1.2本合同包的成果要求：满足采购人要求。</w:t>
      </w:r>
    </w:p>
    <w:p w14:paraId="66E39A09">
      <w:pPr>
        <w:keepNext/>
        <w:keepLines/>
        <w:spacing w:before="120" w:after="120"/>
        <w:outlineLvl w:val="2"/>
        <w:rPr>
          <w:rFonts w:ascii="Times New Roman" w:hAnsi="Times New Roman" w:eastAsia="黑体" w:cs="Times New Roman"/>
          <w:bCs/>
          <w:sz w:val="24"/>
        </w:rPr>
      </w:pPr>
      <w:bookmarkStart w:id="55" w:name="_Toc14201211"/>
      <w:bookmarkStart w:id="56" w:name="_Toc26656942"/>
      <w:r>
        <w:rPr>
          <w:rFonts w:ascii="Times New Roman" w:hAnsi="Times New Roman" w:eastAsia="黑体" w:cs="Times New Roman"/>
          <w:bCs/>
          <w:sz w:val="24"/>
        </w:rPr>
        <w:t>1.2供应商资格要求</w:t>
      </w:r>
      <w:bookmarkEnd w:id="55"/>
      <w:bookmarkEnd w:id="56"/>
    </w:p>
    <w:p w14:paraId="449939B7">
      <w:pPr>
        <w:spacing w:line="440" w:lineRule="exact"/>
        <w:ind w:firstLine="420"/>
        <w:rPr>
          <w:rFonts w:ascii="Times New Roman" w:hAnsi="Times New Roman" w:cs="Times New Roman"/>
          <w:sz w:val="24"/>
        </w:rPr>
      </w:pPr>
      <w:r>
        <w:rPr>
          <w:rFonts w:ascii="Times New Roman" w:hAnsi="Times New Roman" w:cs="Times New Roman"/>
          <w:sz w:val="24"/>
        </w:rPr>
        <w:t>1.2.1供应商应具备承担本合同包服务的资质条件、能力和信誉：见第一章采购公告第3.1款要求。</w:t>
      </w:r>
    </w:p>
    <w:p w14:paraId="4547F147">
      <w:pPr>
        <w:spacing w:line="440" w:lineRule="exact"/>
        <w:ind w:firstLine="420"/>
        <w:rPr>
          <w:rFonts w:ascii="Times New Roman" w:hAnsi="Times New Roman" w:cs="Times New Roman"/>
          <w:sz w:val="24"/>
        </w:rPr>
      </w:pPr>
      <w:r>
        <w:rPr>
          <w:rFonts w:ascii="Times New Roman" w:hAnsi="Times New Roman" w:cs="Times New Roman"/>
          <w:sz w:val="24"/>
        </w:rPr>
        <w:t>1.2.2其他要求：</w:t>
      </w:r>
      <w:r>
        <w:rPr>
          <w:rFonts w:ascii="Times New Roman" w:hAnsi="Times New Roman" w:cs="Times New Roman"/>
          <w:sz w:val="24"/>
          <w:u w:val="single"/>
        </w:rPr>
        <w:t>/</w:t>
      </w:r>
      <w:r>
        <w:rPr>
          <w:rFonts w:ascii="Times New Roman" w:hAnsi="Times New Roman" w:cs="Times New Roman"/>
          <w:sz w:val="24"/>
        </w:rPr>
        <w:t>。</w:t>
      </w:r>
    </w:p>
    <w:p w14:paraId="74001BCA">
      <w:pPr>
        <w:keepNext/>
        <w:keepLines/>
        <w:spacing w:before="120" w:after="120"/>
        <w:outlineLvl w:val="2"/>
        <w:rPr>
          <w:rFonts w:ascii="Times New Roman" w:hAnsi="Times New Roman" w:eastAsia="黑体" w:cs="Times New Roman"/>
          <w:bCs/>
          <w:sz w:val="24"/>
        </w:rPr>
      </w:pPr>
      <w:bookmarkStart w:id="57" w:name="_Toc14201212"/>
      <w:bookmarkStart w:id="58" w:name="_Toc26656943"/>
      <w:r>
        <w:rPr>
          <w:rFonts w:ascii="Times New Roman" w:hAnsi="Times New Roman" w:eastAsia="黑体" w:cs="Times New Roman"/>
          <w:bCs/>
          <w:sz w:val="24"/>
        </w:rPr>
        <w:t>1.3费用承担</w:t>
      </w:r>
      <w:bookmarkEnd w:id="57"/>
      <w:bookmarkEnd w:id="58"/>
    </w:p>
    <w:p w14:paraId="4336FCE8">
      <w:pPr>
        <w:spacing w:line="440" w:lineRule="exact"/>
        <w:ind w:firstLine="420"/>
        <w:rPr>
          <w:rFonts w:ascii="Times New Roman" w:hAnsi="Times New Roman" w:cs="Times New Roman"/>
          <w:sz w:val="24"/>
        </w:rPr>
      </w:pPr>
      <w:r>
        <w:rPr>
          <w:rFonts w:ascii="Times New Roman" w:hAnsi="Times New Roman" w:cs="Times New Roman"/>
          <w:sz w:val="24"/>
        </w:rPr>
        <w:t>供应商准备和参加询比活动发生的费用自理。</w:t>
      </w:r>
    </w:p>
    <w:p w14:paraId="2F91391B">
      <w:pPr>
        <w:keepNext/>
        <w:keepLines/>
        <w:spacing w:before="120" w:after="120"/>
        <w:outlineLvl w:val="2"/>
        <w:rPr>
          <w:rFonts w:ascii="Times New Roman" w:hAnsi="Times New Roman" w:eastAsia="黑体" w:cs="Times New Roman"/>
          <w:bCs/>
          <w:sz w:val="24"/>
        </w:rPr>
      </w:pPr>
      <w:bookmarkStart w:id="59" w:name="_Toc14201213"/>
      <w:bookmarkStart w:id="60" w:name="_Toc26656944"/>
      <w:r>
        <w:rPr>
          <w:rFonts w:ascii="Times New Roman" w:hAnsi="Times New Roman" w:eastAsia="黑体" w:cs="Times New Roman"/>
          <w:bCs/>
          <w:sz w:val="24"/>
        </w:rPr>
        <w:t>1.4保密</w:t>
      </w:r>
      <w:bookmarkEnd w:id="59"/>
      <w:bookmarkEnd w:id="60"/>
    </w:p>
    <w:p w14:paraId="71489F11">
      <w:pPr>
        <w:spacing w:line="440" w:lineRule="exact"/>
        <w:ind w:firstLine="420"/>
        <w:rPr>
          <w:rFonts w:ascii="Times New Roman" w:hAnsi="Times New Roman" w:cs="Times New Roman"/>
          <w:sz w:val="24"/>
        </w:rPr>
      </w:pPr>
      <w:r>
        <w:rPr>
          <w:rFonts w:ascii="Times New Roman" w:hAnsi="Times New Roman" w:cs="Times New Roman"/>
          <w:sz w:val="24"/>
        </w:rPr>
        <w:t>参与询比活动的各方应对询比文件和响应文件中的商业和技术等秘密保密，否则应承担相应的法律责任。</w:t>
      </w:r>
    </w:p>
    <w:p w14:paraId="0A0B3C5A">
      <w:pPr>
        <w:keepNext/>
        <w:keepLines/>
        <w:spacing w:before="120" w:after="120"/>
        <w:outlineLvl w:val="2"/>
        <w:rPr>
          <w:rFonts w:ascii="Times New Roman" w:hAnsi="Times New Roman" w:eastAsia="黑体" w:cs="Times New Roman"/>
          <w:bCs/>
          <w:sz w:val="24"/>
        </w:rPr>
      </w:pPr>
      <w:bookmarkStart w:id="61" w:name="_Toc14201215"/>
      <w:bookmarkStart w:id="62" w:name="_Toc26656946"/>
      <w:r>
        <w:rPr>
          <w:rFonts w:ascii="Times New Roman" w:hAnsi="Times New Roman" w:eastAsia="黑体" w:cs="Times New Roman"/>
          <w:bCs/>
          <w:sz w:val="24"/>
        </w:rPr>
        <w:t>1.5计量单位</w:t>
      </w:r>
      <w:bookmarkEnd w:id="61"/>
      <w:bookmarkEnd w:id="62"/>
    </w:p>
    <w:p w14:paraId="6C16EED5">
      <w:pPr>
        <w:spacing w:line="440" w:lineRule="exact"/>
        <w:ind w:firstLine="420"/>
        <w:rPr>
          <w:rFonts w:ascii="Times New Roman" w:hAnsi="Times New Roman" w:cs="Times New Roman"/>
          <w:sz w:val="24"/>
        </w:rPr>
      </w:pPr>
      <w:r>
        <w:rPr>
          <w:rFonts w:ascii="Times New Roman" w:hAnsi="Times New Roman" w:cs="Times New Roman"/>
          <w:sz w:val="24"/>
        </w:rPr>
        <w:t>所有计量均采用中华人民共和国法定计量单位。</w:t>
      </w:r>
    </w:p>
    <w:p w14:paraId="04D6C45F">
      <w:pPr>
        <w:keepNext/>
        <w:keepLines/>
        <w:spacing w:before="120" w:after="120"/>
        <w:outlineLvl w:val="2"/>
        <w:rPr>
          <w:rFonts w:ascii="Times New Roman" w:hAnsi="Times New Roman" w:eastAsia="黑体" w:cs="Times New Roman"/>
          <w:bCs/>
          <w:sz w:val="24"/>
        </w:rPr>
      </w:pPr>
      <w:bookmarkStart w:id="63" w:name="_Toc26656949"/>
      <w:bookmarkStart w:id="64" w:name="_Toc14201218"/>
      <w:r>
        <w:rPr>
          <w:rFonts w:ascii="Times New Roman" w:hAnsi="Times New Roman" w:eastAsia="黑体" w:cs="Times New Roman"/>
          <w:bCs/>
          <w:sz w:val="24"/>
        </w:rPr>
        <w:t>1.6分包</w:t>
      </w:r>
      <w:bookmarkEnd w:id="63"/>
      <w:bookmarkEnd w:id="64"/>
    </w:p>
    <w:p w14:paraId="3E382317">
      <w:pPr>
        <w:spacing w:line="440" w:lineRule="exact"/>
        <w:ind w:firstLine="420"/>
        <w:rPr>
          <w:rFonts w:ascii="Times New Roman" w:hAnsi="Times New Roman" w:cs="Times New Roman"/>
          <w:sz w:val="24"/>
        </w:rPr>
      </w:pPr>
      <w:r>
        <w:rPr>
          <w:rFonts w:ascii="Times New Roman" w:hAnsi="Times New Roman" w:cs="Times New Roman"/>
          <w:sz w:val="24"/>
        </w:rPr>
        <w:t>不允许分包。</w:t>
      </w:r>
    </w:p>
    <w:p w14:paraId="0AA6F423">
      <w:pPr>
        <w:keepNext/>
        <w:keepLines/>
        <w:spacing w:before="120" w:after="120"/>
        <w:outlineLvl w:val="2"/>
        <w:rPr>
          <w:rFonts w:ascii="Times New Roman" w:hAnsi="Times New Roman" w:eastAsia="黑体" w:cs="Times New Roman"/>
          <w:bCs/>
          <w:sz w:val="24"/>
        </w:rPr>
      </w:pPr>
      <w:bookmarkStart w:id="65" w:name="_Toc14201219"/>
      <w:bookmarkStart w:id="66" w:name="_Toc26656950"/>
      <w:r>
        <w:rPr>
          <w:rFonts w:ascii="Times New Roman" w:hAnsi="Times New Roman" w:eastAsia="黑体" w:cs="Times New Roman"/>
          <w:bCs/>
          <w:sz w:val="24"/>
        </w:rPr>
        <w:t>1.7偏</w:t>
      </w:r>
      <w:bookmarkEnd w:id="65"/>
      <w:bookmarkEnd w:id="66"/>
      <w:r>
        <w:rPr>
          <w:rFonts w:ascii="Times New Roman" w:hAnsi="Times New Roman" w:eastAsia="黑体" w:cs="Times New Roman"/>
          <w:bCs/>
          <w:sz w:val="24"/>
        </w:rPr>
        <w:t>差</w:t>
      </w:r>
    </w:p>
    <w:p w14:paraId="41F0A0D5">
      <w:pPr>
        <w:spacing w:line="440" w:lineRule="exact"/>
        <w:ind w:firstLine="420"/>
        <w:rPr>
          <w:rFonts w:ascii="Times New Roman" w:hAnsi="Times New Roman" w:cs="Times New Roman"/>
          <w:sz w:val="24"/>
        </w:rPr>
      </w:pPr>
      <w:r>
        <w:rPr>
          <w:rFonts w:ascii="Times New Roman" w:hAnsi="Times New Roman" w:cs="Times New Roman"/>
          <w:sz w:val="24"/>
        </w:rPr>
        <w:t>1.8.1偏差包括重大偏差和细微偏差。</w:t>
      </w:r>
    </w:p>
    <w:p w14:paraId="4756D51C">
      <w:pPr>
        <w:spacing w:line="440" w:lineRule="exact"/>
        <w:ind w:firstLine="420"/>
        <w:rPr>
          <w:rFonts w:ascii="Times New Roman" w:hAnsi="Times New Roman" w:cs="Times New Roman"/>
          <w:sz w:val="24"/>
        </w:rPr>
      </w:pPr>
      <w:r>
        <w:rPr>
          <w:rFonts w:ascii="Times New Roman" w:hAnsi="Times New Roman" w:cs="Times New Roman"/>
          <w:sz w:val="24"/>
        </w:rPr>
        <w:t>1.8.2 响应文件存在第三章“评审办法”中所列任一否决响应文件情形的，均属于存在重大偏差，响应文件将被否决。</w:t>
      </w:r>
    </w:p>
    <w:p w14:paraId="693A62D2">
      <w:pPr>
        <w:keepNext/>
        <w:keepLines/>
        <w:spacing w:before="156" w:beforeLines="50" w:after="156" w:afterLines="50"/>
        <w:outlineLvl w:val="1"/>
        <w:rPr>
          <w:rFonts w:ascii="Times New Roman" w:hAnsi="Times New Roman" w:eastAsia="黑体" w:cs="Times New Roman"/>
          <w:bCs/>
          <w:sz w:val="24"/>
        </w:rPr>
      </w:pPr>
      <w:bookmarkStart w:id="67" w:name="_Toc14201220"/>
      <w:bookmarkStart w:id="68" w:name="_Toc9067721"/>
      <w:bookmarkStart w:id="69" w:name="_Toc26656951"/>
      <w:r>
        <w:rPr>
          <w:rFonts w:ascii="Times New Roman" w:hAnsi="Times New Roman" w:eastAsia="黑体" w:cs="Times New Roman"/>
          <w:bCs/>
          <w:sz w:val="24"/>
        </w:rPr>
        <w:t xml:space="preserve">2. </w:t>
      </w:r>
      <w:bookmarkEnd w:id="67"/>
      <w:bookmarkEnd w:id="68"/>
      <w:bookmarkEnd w:id="69"/>
      <w:r>
        <w:rPr>
          <w:rFonts w:ascii="Times New Roman" w:hAnsi="Times New Roman" w:eastAsia="黑体" w:cs="Times New Roman"/>
          <w:bCs/>
          <w:sz w:val="24"/>
        </w:rPr>
        <w:t>询比文件</w:t>
      </w:r>
    </w:p>
    <w:p w14:paraId="7FEDEF59">
      <w:pPr>
        <w:keepNext/>
        <w:keepLines/>
        <w:spacing w:before="120" w:after="120"/>
        <w:outlineLvl w:val="2"/>
        <w:rPr>
          <w:rFonts w:ascii="Times New Roman" w:hAnsi="Times New Roman" w:eastAsia="黑体" w:cs="Times New Roman"/>
          <w:bCs/>
          <w:sz w:val="24"/>
        </w:rPr>
      </w:pPr>
      <w:bookmarkStart w:id="70" w:name="_Toc14201221"/>
      <w:bookmarkStart w:id="71" w:name="_Toc26656952"/>
      <w:r>
        <w:rPr>
          <w:rFonts w:ascii="Times New Roman" w:hAnsi="Times New Roman" w:eastAsia="黑体" w:cs="Times New Roman"/>
          <w:bCs/>
          <w:sz w:val="24"/>
        </w:rPr>
        <w:t>2.1 询比文件的组成</w:t>
      </w:r>
      <w:bookmarkEnd w:id="70"/>
      <w:bookmarkEnd w:id="71"/>
    </w:p>
    <w:p w14:paraId="66041A19">
      <w:pPr>
        <w:spacing w:line="440" w:lineRule="exact"/>
        <w:ind w:firstLine="420"/>
        <w:rPr>
          <w:rFonts w:ascii="Times New Roman" w:hAnsi="Times New Roman" w:cs="Times New Roman"/>
          <w:sz w:val="24"/>
        </w:rPr>
      </w:pPr>
      <w:r>
        <w:rPr>
          <w:rFonts w:ascii="Times New Roman" w:hAnsi="Times New Roman" w:cs="Times New Roman"/>
          <w:sz w:val="24"/>
        </w:rPr>
        <w:t>本询比文件包括：</w:t>
      </w:r>
    </w:p>
    <w:p w14:paraId="466A1928">
      <w:pPr>
        <w:spacing w:line="440" w:lineRule="exact"/>
        <w:ind w:firstLine="420"/>
        <w:rPr>
          <w:rFonts w:ascii="Times New Roman" w:hAnsi="Times New Roman" w:cs="Times New Roman"/>
          <w:sz w:val="24"/>
        </w:rPr>
      </w:pPr>
      <w:r>
        <w:rPr>
          <w:rFonts w:ascii="Times New Roman" w:hAnsi="Times New Roman" w:cs="Times New Roman"/>
          <w:sz w:val="24"/>
        </w:rPr>
        <w:t>（1）采购公告；</w:t>
      </w:r>
    </w:p>
    <w:p w14:paraId="6F53F8D5">
      <w:pPr>
        <w:spacing w:line="440" w:lineRule="exact"/>
        <w:ind w:firstLine="420"/>
        <w:rPr>
          <w:rFonts w:ascii="Times New Roman" w:hAnsi="Times New Roman" w:cs="Times New Roman"/>
          <w:sz w:val="24"/>
        </w:rPr>
      </w:pPr>
      <w:r>
        <w:rPr>
          <w:rFonts w:ascii="Times New Roman" w:hAnsi="Times New Roman" w:cs="Times New Roman"/>
          <w:sz w:val="24"/>
        </w:rPr>
        <w:t>（2）供应商须知；</w:t>
      </w:r>
    </w:p>
    <w:p w14:paraId="037DF367">
      <w:pPr>
        <w:spacing w:line="440" w:lineRule="exact"/>
        <w:ind w:firstLine="420"/>
        <w:rPr>
          <w:rFonts w:ascii="Times New Roman" w:hAnsi="Times New Roman" w:cs="Times New Roman"/>
          <w:sz w:val="24"/>
        </w:rPr>
      </w:pPr>
      <w:r>
        <w:rPr>
          <w:rFonts w:ascii="Times New Roman" w:hAnsi="Times New Roman" w:cs="Times New Roman"/>
          <w:sz w:val="24"/>
        </w:rPr>
        <w:t>（3）评审办法；</w:t>
      </w:r>
    </w:p>
    <w:p w14:paraId="11EF58D0">
      <w:pPr>
        <w:spacing w:line="440" w:lineRule="exact"/>
        <w:ind w:firstLine="420"/>
        <w:rPr>
          <w:rFonts w:ascii="Times New Roman" w:hAnsi="Times New Roman" w:cs="Times New Roman"/>
          <w:sz w:val="24"/>
        </w:rPr>
      </w:pPr>
      <w:r>
        <w:rPr>
          <w:rFonts w:ascii="Times New Roman" w:hAnsi="Times New Roman" w:cs="Times New Roman"/>
          <w:sz w:val="24"/>
        </w:rPr>
        <w:t>（4）服务合同；</w:t>
      </w:r>
    </w:p>
    <w:p w14:paraId="262EE55A">
      <w:pPr>
        <w:spacing w:line="440" w:lineRule="exact"/>
        <w:ind w:firstLine="420"/>
        <w:rPr>
          <w:rFonts w:ascii="Times New Roman" w:hAnsi="Times New Roman" w:cs="Times New Roman"/>
          <w:sz w:val="24"/>
        </w:rPr>
      </w:pPr>
      <w:r>
        <w:rPr>
          <w:rFonts w:ascii="Times New Roman" w:hAnsi="Times New Roman" w:cs="Times New Roman"/>
          <w:sz w:val="24"/>
        </w:rPr>
        <w:t>（5）采购需求及清单；</w:t>
      </w:r>
    </w:p>
    <w:p w14:paraId="7021739A">
      <w:pPr>
        <w:spacing w:line="440" w:lineRule="exact"/>
        <w:ind w:firstLine="420"/>
        <w:rPr>
          <w:rFonts w:ascii="Times New Roman" w:hAnsi="Times New Roman" w:cs="Times New Roman"/>
          <w:sz w:val="24"/>
        </w:rPr>
      </w:pPr>
      <w:r>
        <w:rPr>
          <w:rFonts w:ascii="Times New Roman" w:hAnsi="Times New Roman" w:cs="Times New Roman"/>
          <w:sz w:val="24"/>
        </w:rPr>
        <w:t>（6）响应文件格式。</w:t>
      </w:r>
    </w:p>
    <w:p w14:paraId="4E5CC6D7">
      <w:pPr>
        <w:spacing w:line="440" w:lineRule="exact"/>
        <w:ind w:firstLine="420"/>
        <w:rPr>
          <w:rFonts w:ascii="Times New Roman" w:hAnsi="Times New Roman" w:cs="Times New Roman"/>
          <w:sz w:val="24"/>
        </w:rPr>
      </w:pPr>
      <w:r>
        <w:rPr>
          <w:rFonts w:ascii="Times New Roman" w:hAnsi="Times New Roman" w:cs="Times New Roman"/>
          <w:sz w:val="24"/>
        </w:rPr>
        <w:t>根据本章第2.2款对询比文件所作的澄清、修改，构成询比文件的组成部分。</w:t>
      </w:r>
    </w:p>
    <w:p w14:paraId="58451586">
      <w:pPr>
        <w:spacing w:line="440" w:lineRule="exact"/>
        <w:ind w:firstLine="420"/>
        <w:rPr>
          <w:rFonts w:ascii="Times New Roman" w:hAnsi="Times New Roman" w:cs="Times New Roman"/>
          <w:sz w:val="24"/>
        </w:rPr>
      </w:pPr>
      <w:r>
        <w:rPr>
          <w:rFonts w:ascii="Times New Roman" w:hAnsi="Times New Roman" w:cs="Times New Roman"/>
          <w:sz w:val="24"/>
        </w:rPr>
        <w:t>当询比文件、询比文件的澄清或修改等在同一内容的表述上不一致时，以最后发出的书面文件为准。</w:t>
      </w:r>
    </w:p>
    <w:p w14:paraId="6D579356">
      <w:pPr>
        <w:keepNext/>
        <w:keepLines/>
        <w:spacing w:before="120" w:after="120"/>
        <w:outlineLvl w:val="2"/>
        <w:rPr>
          <w:rFonts w:ascii="Times New Roman" w:hAnsi="Times New Roman" w:eastAsia="黑体" w:cs="Times New Roman"/>
          <w:bCs/>
          <w:sz w:val="24"/>
        </w:rPr>
      </w:pPr>
      <w:bookmarkStart w:id="72" w:name="_Toc26656953"/>
      <w:bookmarkStart w:id="73" w:name="_Toc14201222"/>
      <w:r>
        <w:rPr>
          <w:rFonts w:ascii="Times New Roman" w:hAnsi="Times New Roman" w:eastAsia="黑体" w:cs="Times New Roman"/>
          <w:bCs/>
          <w:sz w:val="24"/>
        </w:rPr>
        <w:t>2.2 询比文件的澄清</w:t>
      </w:r>
      <w:bookmarkEnd w:id="72"/>
      <w:bookmarkEnd w:id="73"/>
      <w:r>
        <w:rPr>
          <w:rFonts w:ascii="Times New Roman" w:hAnsi="Times New Roman" w:eastAsia="黑体" w:cs="Times New Roman"/>
          <w:bCs/>
          <w:sz w:val="24"/>
        </w:rPr>
        <w:t>与修改</w:t>
      </w:r>
    </w:p>
    <w:p w14:paraId="53BC4C64">
      <w:pPr>
        <w:spacing w:line="440" w:lineRule="exact"/>
        <w:ind w:firstLine="420"/>
        <w:rPr>
          <w:rFonts w:ascii="Times New Roman" w:hAnsi="Times New Roman" w:cs="Times New Roman"/>
          <w:sz w:val="24"/>
        </w:rPr>
      </w:pPr>
      <w:r>
        <w:rPr>
          <w:rFonts w:ascii="Times New Roman" w:hAnsi="Times New Roman" w:cs="Times New Roman"/>
          <w:sz w:val="24"/>
        </w:rPr>
        <w:t>2.2.1供应商如有疑问，应在递交响应文件的截止时间3日前要求采购人对询比文件予以澄清或修改。</w:t>
      </w:r>
    </w:p>
    <w:p w14:paraId="79CB85CC">
      <w:pPr>
        <w:spacing w:line="440" w:lineRule="exact"/>
        <w:ind w:firstLine="420"/>
        <w:rPr>
          <w:rFonts w:ascii="Times New Roman" w:hAnsi="Times New Roman" w:cs="Times New Roman"/>
          <w:sz w:val="24"/>
        </w:rPr>
      </w:pPr>
      <w:r>
        <w:rPr>
          <w:rFonts w:ascii="Times New Roman" w:hAnsi="Times New Roman" w:cs="Times New Roman"/>
          <w:sz w:val="24"/>
        </w:rPr>
        <w:t>2.2.2除非采购人认为确有必要答复，否则，采购人有权拒绝回复供应商在本章第2.2.1项规定的时间后提出的任何澄清或修改要求。</w:t>
      </w:r>
    </w:p>
    <w:p w14:paraId="0FD8CB6A">
      <w:pPr>
        <w:keepNext/>
        <w:keepLines/>
        <w:spacing w:before="156" w:beforeLines="50" w:after="156" w:afterLines="50"/>
        <w:outlineLvl w:val="1"/>
        <w:rPr>
          <w:rFonts w:ascii="Times New Roman" w:hAnsi="Times New Roman" w:eastAsia="黑体" w:cs="Times New Roman"/>
          <w:bCs/>
          <w:sz w:val="24"/>
        </w:rPr>
      </w:pPr>
      <w:bookmarkStart w:id="74" w:name="_Toc14201225"/>
      <w:bookmarkStart w:id="75" w:name="_Toc9067722"/>
      <w:bookmarkStart w:id="76" w:name="_Toc26656956"/>
      <w:r>
        <w:rPr>
          <w:rFonts w:ascii="Times New Roman" w:hAnsi="Times New Roman" w:eastAsia="黑体" w:cs="Times New Roman"/>
          <w:bCs/>
          <w:sz w:val="24"/>
        </w:rPr>
        <w:t xml:space="preserve">3. </w:t>
      </w:r>
      <w:bookmarkEnd w:id="74"/>
      <w:bookmarkEnd w:id="75"/>
      <w:bookmarkEnd w:id="76"/>
      <w:r>
        <w:rPr>
          <w:rFonts w:ascii="Times New Roman" w:hAnsi="Times New Roman" w:eastAsia="黑体" w:cs="Times New Roman"/>
          <w:bCs/>
          <w:sz w:val="24"/>
        </w:rPr>
        <w:t>响应文件</w:t>
      </w:r>
    </w:p>
    <w:p w14:paraId="0B004EFE">
      <w:pPr>
        <w:keepNext/>
        <w:keepLines/>
        <w:spacing w:before="120" w:after="120"/>
        <w:outlineLvl w:val="2"/>
        <w:rPr>
          <w:rFonts w:ascii="Times New Roman" w:hAnsi="Times New Roman" w:eastAsia="黑体" w:cs="Times New Roman"/>
          <w:bCs/>
          <w:sz w:val="24"/>
        </w:rPr>
      </w:pPr>
      <w:bookmarkStart w:id="77" w:name="_Toc14201226"/>
      <w:bookmarkStart w:id="78" w:name="_Toc26656957"/>
      <w:r>
        <w:rPr>
          <w:rFonts w:ascii="Times New Roman" w:hAnsi="Times New Roman" w:eastAsia="黑体" w:cs="Times New Roman"/>
          <w:bCs/>
          <w:sz w:val="24"/>
        </w:rPr>
        <w:t>3.1响应文件的组成</w:t>
      </w:r>
      <w:bookmarkEnd w:id="77"/>
      <w:bookmarkEnd w:id="78"/>
    </w:p>
    <w:p w14:paraId="25E32391">
      <w:pPr>
        <w:spacing w:line="440" w:lineRule="exact"/>
        <w:ind w:firstLine="420"/>
        <w:rPr>
          <w:rFonts w:ascii="Times New Roman" w:hAnsi="Times New Roman" w:cs="Times New Roman"/>
          <w:sz w:val="24"/>
        </w:rPr>
      </w:pPr>
      <w:r>
        <w:rPr>
          <w:rFonts w:ascii="Times New Roman" w:hAnsi="Times New Roman" w:cs="Times New Roman"/>
          <w:sz w:val="24"/>
        </w:rPr>
        <w:t>响应文件应包括下列内容：</w:t>
      </w:r>
    </w:p>
    <w:p w14:paraId="15D83B7C">
      <w:pPr>
        <w:spacing w:line="440" w:lineRule="exact"/>
        <w:ind w:firstLine="420"/>
        <w:rPr>
          <w:rFonts w:ascii="Times New Roman" w:hAnsi="Times New Roman" w:cs="Times New Roman"/>
          <w:sz w:val="24"/>
        </w:rPr>
      </w:pPr>
      <w:r>
        <w:rPr>
          <w:rFonts w:ascii="Times New Roman" w:hAnsi="Times New Roman" w:cs="Times New Roman"/>
          <w:sz w:val="24"/>
        </w:rPr>
        <w:t>（1）报价函；</w:t>
      </w:r>
    </w:p>
    <w:p w14:paraId="236EB44E">
      <w:pPr>
        <w:spacing w:line="440" w:lineRule="exact"/>
        <w:ind w:firstLine="420"/>
        <w:rPr>
          <w:rFonts w:ascii="Times New Roman" w:hAnsi="Times New Roman" w:cs="Times New Roman"/>
          <w:sz w:val="24"/>
        </w:rPr>
      </w:pPr>
      <w:r>
        <w:rPr>
          <w:rFonts w:ascii="Times New Roman" w:hAnsi="Times New Roman" w:cs="Times New Roman"/>
          <w:sz w:val="24"/>
        </w:rPr>
        <w:t>（2）法定代表人身份证明及授权委托书；</w:t>
      </w:r>
    </w:p>
    <w:p w14:paraId="6907C6E9">
      <w:pPr>
        <w:spacing w:line="440" w:lineRule="exact"/>
        <w:ind w:firstLine="420"/>
        <w:rPr>
          <w:rFonts w:ascii="Times New Roman" w:hAnsi="Times New Roman" w:cs="Times New Roman"/>
          <w:sz w:val="24"/>
        </w:rPr>
      </w:pPr>
      <w:r>
        <w:rPr>
          <w:rFonts w:ascii="Times New Roman" w:hAnsi="Times New Roman" w:cs="Times New Roman"/>
          <w:sz w:val="24"/>
        </w:rPr>
        <w:t>（3）已标价的报价清单；</w:t>
      </w:r>
    </w:p>
    <w:p w14:paraId="6A66C9C9">
      <w:pPr>
        <w:spacing w:line="440" w:lineRule="exact"/>
        <w:ind w:firstLine="420"/>
        <w:rPr>
          <w:rFonts w:ascii="Times New Roman" w:hAnsi="Times New Roman" w:cs="Times New Roman"/>
          <w:sz w:val="24"/>
        </w:rPr>
      </w:pPr>
      <w:r>
        <w:rPr>
          <w:rFonts w:ascii="Times New Roman" w:hAnsi="Times New Roman" w:cs="Times New Roman"/>
          <w:sz w:val="24"/>
        </w:rPr>
        <w:t>（4）供应商基本情况；</w:t>
      </w:r>
    </w:p>
    <w:p w14:paraId="04580881">
      <w:pPr>
        <w:spacing w:line="440" w:lineRule="exact"/>
        <w:ind w:firstLine="420"/>
        <w:rPr>
          <w:rFonts w:ascii="Times New Roman" w:hAnsi="Times New Roman" w:cs="Times New Roman"/>
          <w:sz w:val="24"/>
        </w:rPr>
      </w:pPr>
      <w:r>
        <w:rPr>
          <w:rFonts w:ascii="Times New Roman" w:hAnsi="Times New Roman" w:cs="Times New Roman"/>
          <w:sz w:val="24"/>
        </w:rPr>
        <w:t>（5）近年类似业绩情况；</w:t>
      </w:r>
    </w:p>
    <w:p w14:paraId="404AE03B">
      <w:pPr>
        <w:spacing w:line="440" w:lineRule="exact"/>
        <w:ind w:firstLine="420"/>
        <w:rPr>
          <w:rFonts w:ascii="Times New Roman" w:hAnsi="Times New Roman" w:cs="Times New Roman"/>
          <w:sz w:val="24"/>
        </w:rPr>
      </w:pPr>
      <w:r>
        <w:rPr>
          <w:rFonts w:ascii="Times New Roman" w:hAnsi="Times New Roman" w:cs="Times New Roman"/>
          <w:sz w:val="24"/>
        </w:rPr>
        <w:t>（6）拟委任的主要人员；</w:t>
      </w:r>
    </w:p>
    <w:p w14:paraId="13890716">
      <w:pPr>
        <w:spacing w:line="440" w:lineRule="exact"/>
        <w:ind w:firstLine="420"/>
        <w:rPr>
          <w:rFonts w:ascii="Times New Roman" w:hAnsi="Times New Roman" w:cs="Times New Roman"/>
          <w:sz w:val="24"/>
        </w:rPr>
      </w:pPr>
      <w:r>
        <w:rPr>
          <w:rFonts w:ascii="Times New Roman" w:hAnsi="Times New Roman" w:cs="Times New Roman"/>
          <w:sz w:val="24"/>
        </w:rPr>
        <w:t>（7）信誉情况；</w:t>
      </w:r>
    </w:p>
    <w:p w14:paraId="0AE18DB2">
      <w:pPr>
        <w:spacing w:line="440" w:lineRule="exact"/>
        <w:ind w:firstLine="420"/>
        <w:rPr>
          <w:rFonts w:ascii="Times New Roman" w:hAnsi="Times New Roman" w:cs="Times New Roman"/>
          <w:sz w:val="24"/>
        </w:rPr>
      </w:pPr>
      <w:r>
        <w:rPr>
          <w:rFonts w:ascii="Times New Roman" w:hAnsi="Times New Roman" w:cs="Times New Roman"/>
          <w:sz w:val="24"/>
        </w:rPr>
        <w:t>（8）技术方案；</w:t>
      </w:r>
    </w:p>
    <w:p w14:paraId="0A0589B5">
      <w:pPr>
        <w:spacing w:line="440" w:lineRule="exact"/>
        <w:ind w:firstLine="420"/>
        <w:rPr>
          <w:rFonts w:ascii="Times New Roman" w:hAnsi="Times New Roman" w:cs="Times New Roman"/>
          <w:sz w:val="24"/>
        </w:rPr>
      </w:pPr>
      <w:r>
        <w:rPr>
          <w:rFonts w:ascii="Times New Roman" w:hAnsi="Times New Roman" w:cs="Times New Roman"/>
          <w:sz w:val="24"/>
        </w:rPr>
        <w:t>（9）其他材料。</w:t>
      </w:r>
    </w:p>
    <w:p w14:paraId="1180A665">
      <w:pPr>
        <w:keepNext/>
        <w:keepLines/>
        <w:spacing w:before="120" w:after="120"/>
        <w:outlineLvl w:val="2"/>
        <w:rPr>
          <w:rFonts w:ascii="Times New Roman" w:hAnsi="Times New Roman" w:eastAsia="黑体" w:cs="Times New Roman"/>
          <w:bCs/>
          <w:sz w:val="24"/>
        </w:rPr>
      </w:pPr>
      <w:bookmarkStart w:id="79" w:name="_Toc26656958"/>
      <w:bookmarkStart w:id="80" w:name="_Toc14201227"/>
      <w:r>
        <w:rPr>
          <w:rFonts w:ascii="Times New Roman" w:hAnsi="Times New Roman" w:eastAsia="黑体" w:cs="Times New Roman"/>
          <w:bCs/>
          <w:sz w:val="24"/>
        </w:rPr>
        <w:t>3.2 报价</w:t>
      </w:r>
      <w:bookmarkEnd w:id="79"/>
      <w:bookmarkEnd w:id="80"/>
      <w:r>
        <w:rPr>
          <w:rFonts w:ascii="Times New Roman" w:hAnsi="Times New Roman" w:eastAsia="黑体" w:cs="Times New Roman"/>
          <w:bCs/>
          <w:sz w:val="24"/>
        </w:rPr>
        <w:t>要求</w:t>
      </w:r>
    </w:p>
    <w:p w14:paraId="0F7C28AB">
      <w:pPr>
        <w:spacing w:line="440" w:lineRule="exact"/>
        <w:ind w:firstLine="420"/>
        <w:rPr>
          <w:rFonts w:ascii="Times New Roman" w:hAnsi="Times New Roman" w:cs="Times New Roman"/>
          <w:sz w:val="24"/>
        </w:rPr>
      </w:pPr>
      <w:r>
        <w:rPr>
          <w:rFonts w:ascii="Times New Roman" w:hAnsi="Times New Roman" w:cs="Times New Roman"/>
          <w:sz w:val="24"/>
        </w:rPr>
        <w:t>3.2.1 报价应包括国家规定的增值税税金，供应商应提供增值税专用发票。</w:t>
      </w:r>
    </w:p>
    <w:p w14:paraId="2930CF89">
      <w:pPr>
        <w:spacing w:line="440" w:lineRule="exact"/>
        <w:ind w:firstLine="420"/>
        <w:rPr>
          <w:rFonts w:ascii="Times New Roman" w:hAnsi="Times New Roman" w:cs="Times New Roman"/>
          <w:sz w:val="24"/>
        </w:rPr>
      </w:pPr>
      <w:r>
        <w:rPr>
          <w:rFonts w:ascii="Times New Roman" w:hAnsi="Times New Roman" w:cs="Times New Roman"/>
          <w:sz w:val="24"/>
        </w:rPr>
        <w:t>3.2.2 供应商应按第六章“响应文件格式”的要求在报价函中进行报价并填写报价清单相应表格。</w:t>
      </w:r>
    </w:p>
    <w:p w14:paraId="50968313">
      <w:pPr>
        <w:spacing w:line="440" w:lineRule="exact"/>
        <w:ind w:firstLine="420"/>
        <w:rPr>
          <w:rFonts w:ascii="Times New Roman" w:hAnsi="Times New Roman" w:cs="Times New Roman"/>
          <w:sz w:val="24"/>
        </w:rPr>
      </w:pPr>
      <w:r>
        <w:rPr>
          <w:rFonts w:ascii="Times New Roman" w:hAnsi="Times New Roman" w:cs="Times New Roman"/>
          <w:sz w:val="24"/>
        </w:rPr>
        <w:t>3.2.3采购人设有最高限价的，供应商的报价不得超过最高限价，否则其报价将被否决，最高限价见第一章“采购公告”第2.5款。</w:t>
      </w:r>
    </w:p>
    <w:p w14:paraId="392F549B">
      <w:pPr>
        <w:spacing w:line="440" w:lineRule="exact"/>
        <w:ind w:firstLine="420"/>
        <w:rPr>
          <w:rFonts w:ascii="Times New Roman" w:hAnsi="Times New Roman" w:cs="Times New Roman"/>
          <w:sz w:val="24"/>
        </w:rPr>
      </w:pPr>
      <w:r>
        <w:rPr>
          <w:rFonts w:ascii="Times New Roman" w:hAnsi="Times New Roman" w:cs="Times New Roman"/>
          <w:sz w:val="24"/>
        </w:rPr>
        <w:t>3.2.4本项目的报价方式为总价。</w:t>
      </w:r>
    </w:p>
    <w:p w14:paraId="67CD9CF1">
      <w:pPr>
        <w:spacing w:line="440" w:lineRule="exact"/>
        <w:ind w:firstLine="420"/>
        <w:rPr>
          <w:rFonts w:ascii="Times New Roman" w:hAnsi="Times New Roman" w:eastAsia="黑体" w:cs="Times New Roman"/>
          <w:bCs/>
          <w:sz w:val="24"/>
        </w:rPr>
      </w:pPr>
      <w:bookmarkStart w:id="81" w:name="_Toc26656959"/>
      <w:bookmarkStart w:id="82" w:name="_Toc14201228"/>
      <w:r>
        <w:rPr>
          <w:rFonts w:ascii="Times New Roman" w:hAnsi="Times New Roman" w:cs="Times New Roman"/>
          <w:sz w:val="24"/>
        </w:rPr>
        <w:t>3.2.5 报价的其他要求：本次采购代理服务费由成交人在领取成交通知书时一次性向采购代理机构支付，采购代理服务费收费标准为：参照计价[2002]1980号文服务类采购代理服务收费标准收取本项目服务费，计费基数为成交价。采购代理服务费含在响应报价中，不单独列项。</w:t>
      </w:r>
    </w:p>
    <w:p w14:paraId="560AB333">
      <w:pPr>
        <w:keepNext/>
        <w:keepLines/>
        <w:spacing w:before="120" w:after="120"/>
        <w:outlineLvl w:val="2"/>
        <w:rPr>
          <w:rFonts w:ascii="Times New Roman" w:hAnsi="Times New Roman" w:eastAsia="黑体" w:cs="Times New Roman"/>
          <w:bCs/>
          <w:sz w:val="24"/>
        </w:rPr>
      </w:pPr>
      <w:r>
        <w:rPr>
          <w:rFonts w:ascii="Times New Roman" w:hAnsi="Times New Roman" w:eastAsia="黑体" w:cs="Times New Roman"/>
          <w:bCs/>
          <w:sz w:val="24"/>
        </w:rPr>
        <w:t>3.3</w:t>
      </w:r>
      <w:bookmarkEnd w:id="81"/>
      <w:bookmarkEnd w:id="82"/>
      <w:r>
        <w:rPr>
          <w:rFonts w:ascii="Times New Roman" w:hAnsi="Times New Roman" w:eastAsia="黑体" w:cs="Times New Roman"/>
          <w:bCs/>
          <w:sz w:val="24"/>
        </w:rPr>
        <w:t>响应有效期</w:t>
      </w:r>
    </w:p>
    <w:p w14:paraId="738989B6">
      <w:pPr>
        <w:spacing w:line="440" w:lineRule="exact"/>
        <w:ind w:firstLine="420"/>
        <w:rPr>
          <w:rFonts w:ascii="Times New Roman" w:hAnsi="Times New Roman" w:cs="Times New Roman"/>
          <w:sz w:val="24"/>
        </w:rPr>
      </w:pPr>
      <w:r>
        <w:rPr>
          <w:rFonts w:ascii="Times New Roman" w:hAnsi="Times New Roman" w:cs="Times New Roman"/>
          <w:sz w:val="24"/>
        </w:rPr>
        <w:t>3.3.1 响应有效期为自供应商递交响应文件截止之日起计算90日。</w:t>
      </w:r>
    </w:p>
    <w:p w14:paraId="7E74F151">
      <w:pPr>
        <w:spacing w:line="440" w:lineRule="exact"/>
        <w:ind w:firstLine="420"/>
        <w:rPr>
          <w:rFonts w:ascii="Times New Roman" w:hAnsi="Times New Roman" w:cs="Times New Roman"/>
          <w:sz w:val="24"/>
        </w:rPr>
      </w:pPr>
      <w:r>
        <w:rPr>
          <w:rFonts w:ascii="Times New Roman" w:hAnsi="Times New Roman" w:cs="Times New Roman"/>
          <w:sz w:val="24"/>
        </w:rPr>
        <w:t>3.3.2 在响应有效期内，供应商撤销响应文件的，应承担询比文件和法律规定的责任。</w:t>
      </w:r>
    </w:p>
    <w:p w14:paraId="675AA756">
      <w:pPr>
        <w:keepNext/>
        <w:keepLines/>
        <w:spacing w:before="120" w:after="120" w:line="415" w:lineRule="auto"/>
        <w:outlineLvl w:val="2"/>
        <w:rPr>
          <w:rFonts w:ascii="Times New Roman" w:hAnsi="Times New Roman" w:eastAsia="黑体" w:cs="Times New Roman"/>
          <w:bCs/>
          <w:sz w:val="24"/>
        </w:rPr>
      </w:pPr>
      <w:bookmarkStart w:id="83" w:name="_Toc26656960"/>
      <w:bookmarkStart w:id="84" w:name="_Toc14201229"/>
      <w:r>
        <w:rPr>
          <w:rFonts w:ascii="Times New Roman" w:hAnsi="Times New Roman" w:eastAsia="黑体" w:cs="Times New Roman"/>
          <w:bCs/>
          <w:sz w:val="24"/>
        </w:rPr>
        <w:t>3.4</w:t>
      </w:r>
      <w:bookmarkEnd w:id="83"/>
      <w:bookmarkEnd w:id="84"/>
      <w:r>
        <w:rPr>
          <w:rFonts w:ascii="Times New Roman" w:hAnsi="Times New Roman" w:eastAsia="黑体" w:cs="Times New Roman"/>
          <w:bCs/>
          <w:sz w:val="24"/>
        </w:rPr>
        <w:t>响应保证金</w:t>
      </w:r>
    </w:p>
    <w:p w14:paraId="1BD27246">
      <w:pPr>
        <w:spacing w:line="440" w:lineRule="exact"/>
        <w:ind w:firstLine="420"/>
        <w:rPr>
          <w:rFonts w:ascii="Times New Roman" w:hAnsi="Times New Roman" w:cs="Times New Roman"/>
          <w:sz w:val="24"/>
        </w:rPr>
      </w:pPr>
      <w:r>
        <w:rPr>
          <w:rFonts w:ascii="Times New Roman" w:hAnsi="Times New Roman" w:cs="Times New Roman"/>
          <w:sz w:val="24"/>
        </w:rPr>
        <w:t>3.4.1 供应商在递交响应文件的同时，应按第一章“采购公告”第7条的要求递交响应保证金，并作为其响应文件的组成部分。</w:t>
      </w:r>
    </w:p>
    <w:p w14:paraId="7376ADB6">
      <w:pPr>
        <w:spacing w:line="440" w:lineRule="exact"/>
        <w:ind w:firstLine="420"/>
        <w:rPr>
          <w:rFonts w:ascii="Times New Roman" w:hAnsi="Times New Roman" w:cs="Times New Roman"/>
          <w:sz w:val="24"/>
        </w:rPr>
      </w:pPr>
      <w:r>
        <w:rPr>
          <w:rFonts w:ascii="Times New Roman" w:hAnsi="Times New Roman" w:cs="Times New Roman"/>
          <w:sz w:val="24"/>
        </w:rPr>
        <w:t>3.4.2 供应商不按本章第3.4.1项要求提交响应保证金的，评审小组将否决其响应文件。</w:t>
      </w:r>
    </w:p>
    <w:p w14:paraId="2AF3077E">
      <w:pPr>
        <w:spacing w:line="440" w:lineRule="exact"/>
        <w:ind w:firstLine="420"/>
        <w:rPr>
          <w:rFonts w:ascii="Times New Roman" w:hAnsi="Times New Roman" w:cs="Times New Roman"/>
          <w:sz w:val="24"/>
        </w:rPr>
      </w:pPr>
      <w:r>
        <w:rPr>
          <w:rFonts w:ascii="Times New Roman" w:hAnsi="Times New Roman" w:cs="Times New Roman"/>
          <w:sz w:val="24"/>
        </w:rPr>
        <w:t>3.4.3 采购人在与成交人签订合同后5日内办理退还响应保证金手续。</w:t>
      </w:r>
    </w:p>
    <w:p w14:paraId="487347A9">
      <w:pPr>
        <w:spacing w:line="440" w:lineRule="exact"/>
        <w:ind w:firstLine="420"/>
        <w:rPr>
          <w:rFonts w:ascii="Times New Roman" w:hAnsi="Times New Roman" w:cs="Times New Roman"/>
          <w:sz w:val="24"/>
        </w:rPr>
      </w:pPr>
      <w:r>
        <w:rPr>
          <w:rFonts w:ascii="Times New Roman" w:hAnsi="Times New Roman" w:cs="Times New Roman"/>
          <w:sz w:val="24"/>
        </w:rPr>
        <w:t>3.4.4 有下列情形之一的，响应保证金将不予退还：</w:t>
      </w:r>
    </w:p>
    <w:p w14:paraId="099104E6">
      <w:pPr>
        <w:spacing w:line="440" w:lineRule="exact"/>
        <w:ind w:firstLine="420"/>
        <w:rPr>
          <w:rFonts w:ascii="Times New Roman" w:hAnsi="Times New Roman" w:cs="Times New Roman"/>
          <w:sz w:val="24"/>
        </w:rPr>
      </w:pPr>
      <w:r>
        <w:rPr>
          <w:rFonts w:ascii="Times New Roman" w:hAnsi="Times New Roman" w:cs="Times New Roman"/>
          <w:sz w:val="24"/>
        </w:rPr>
        <w:t>（1）供应商在规定的响应有效期内撤销其响应文件；</w:t>
      </w:r>
    </w:p>
    <w:p w14:paraId="1B75B19D">
      <w:pPr>
        <w:spacing w:line="440" w:lineRule="exact"/>
        <w:ind w:firstLine="420"/>
        <w:rPr>
          <w:rFonts w:ascii="Times New Roman" w:hAnsi="Times New Roman" w:cs="Times New Roman"/>
          <w:sz w:val="24"/>
        </w:rPr>
      </w:pPr>
      <w:r>
        <w:rPr>
          <w:rFonts w:ascii="Times New Roman" w:hAnsi="Times New Roman" w:cs="Times New Roman"/>
          <w:sz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0D2BA782">
      <w:pPr>
        <w:keepNext/>
        <w:keepLines/>
        <w:spacing w:before="120" w:after="120"/>
        <w:outlineLvl w:val="2"/>
        <w:rPr>
          <w:rFonts w:ascii="Times New Roman" w:hAnsi="Times New Roman" w:eastAsia="黑体" w:cs="Times New Roman"/>
          <w:bCs/>
          <w:sz w:val="24"/>
        </w:rPr>
      </w:pPr>
      <w:bookmarkStart w:id="85" w:name="_Toc14201230"/>
      <w:bookmarkStart w:id="86" w:name="_Toc26656961"/>
      <w:r>
        <w:rPr>
          <w:rFonts w:ascii="Times New Roman" w:hAnsi="Times New Roman" w:eastAsia="黑体" w:cs="Times New Roman"/>
          <w:bCs/>
          <w:sz w:val="24"/>
        </w:rPr>
        <w:t>3.5资格审查资料</w:t>
      </w:r>
      <w:bookmarkEnd w:id="85"/>
      <w:bookmarkEnd w:id="86"/>
    </w:p>
    <w:p w14:paraId="5EC5E70A">
      <w:pPr>
        <w:spacing w:line="440" w:lineRule="exact"/>
        <w:ind w:firstLine="420"/>
        <w:rPr>
          <w:rFonts w:ascii="Times New Roman" w:hAnsi="Times New Roman" w:cs="Times New Roman"/>
          <w:sz w:val="24"/>
        </w:rPr>
      </w:pPr>
      <w:r>
        <w:rPr>
          <w:rFonts w:ascii="Times New Roman" w:hAnsi="Times New Roman" w:cs="Times New Roman"/>
          <w:sz w:val="24"/>
        </w:rPr>
        <w:t>供应商应按第六章“响应文件格式”的规定提供资格审查资料，以证明其满足本章第1.2款规定的资质、业绩、信誉等要求。</w:t>
      </w:r>
    </w:p>
    <w:p w14:paraId="693D490A">
      <w:pPr>
        <w:keepNext/>
        <w:keepLines/>
        <w:spacing w:before="120" w:after="120"/>
        <w:outlineLvl w:val="2"/>
        <w:rPr>
          <w:rFonts w:ascii="Times New Roman" w:hAnsi="Times New Roman" w:eastAsia="黑体" w:cs="Times New Roman"/>
          <w:bCs/>
          <w:sz w:val="24"/>
        </w:rPr>
      </w:pPr>
      <w:bookmarkStart w:id="87" w:name="_Toc26656963"/>
      <w:bookmarkStart w:id="88" w:name="_Toc14201232"/>
      <w:r>
        <w:rPr>
          <w:rFonts w:ascii="Times New Roman" w:hAnsi="Times New Roman" w:eastAsia="黑体" w:cs="Times New Roman"/>
          <w:bCs/>
          <w:sz w:val="24"/>
        </w:rPr>
        <w:t>3.6响应文件的编制</w:t>
      </w:r>
      <w:bookmarkEnd w:id="87"/>
      <w:bookmarkEnd w:id="88"/>
    </w:p>
    <w:p w14:paraId="6F27FFBD">
      <w:pPr>
        <w:spacing w:line="440" w:lineRule="exact"/>
        <w:ind w:firstLine="420"/>
        <w:rPr>
          <w:rFonts w:ascii="Times New Roman" w:hAnsi="Times New Roman" w:cs="Times New Roman"/>
          <w:sz w:val="24"/>
        </w:rPr>
      </w:pPr>
      <w:r>
        <w:rPr>
          <w:rFonts w:ascii="Times New Roman" w:hAnsi="Times New Roman" w:cs="Times New Roman"/>
          <w:sz w:val="24"/>
        </w:rPr>
        <w:t>3.6.1 响应文件应按第六章“响应文件格式”进行编写，如有必要，可以增加附页，作为响应文件的组成部分。</w:t>
      </w:r>
    </w:p>
    <w:p w14:paraId="6C8AE035">
      <w:pPr>
        <w:spacing w:line="440" w:lineRule="exact"/>
        <w:ind w:firstLine="420"/>
        <w:rPr>
          <w:rFonts w:ascii="Times New Roman" w:hAnsi="Times New Roman" w:cs="Times New Roman"/>
          <w:sz w:val="24"/>
        </w:rPr>
      </w:pPr>
      <w:r>
        <w:rPr>
          <w:rFonts w:ascii="Times New Roman" w:hAnsi="Times New Roman" w:cs="Times New Roman"/>
          <w:sz w:val="24"/>
        </w:rPr>
        <w:t>3.6.2 响应文件应当对询比文件有关服务期、响应有效期、质量要求、技术标准和要求、采购范围等实质性内容作出响应。</w:t>
      </w:r>
    </w:p>
    <w:p w14:paraId="6E74CDF5">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3.6.3响应文件的制作应满足以下规定：</w:t>
      </w:r>
    </w:p>
    <w:p w14:paraId="5D595B82">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1）响应文件应用不褪色的材料书写或打印，并按第八章“响应文件格式”的要求进行签名和（或）盖章。响应文件应尽量避免涂改、行间插字或删除。如果出现上述情况，改动之处应由供应商的法定代表人或其授权的代理人签名或盖单位章。</w:t>
      </w:r>
    </w:p>
    <w:p w14:paraId="663ED7D6">
      <w:pPr>
        <w:spacing w:line="440" w:lineRule="exact"/>
        <w:ind w:firstLine="420"/>
        <w:rPr>
          <w:rFonts w:hint="eastAsia" w:ascii="Times New Roman" w:hAnsi="Times New Roman" w:cs="Times New Roman"/>
          <w:b/>
          <w:bCs/>
          <w:sz w:val="24"/>
        </w:rPr>
      </w:pPr>
      <w:r>
        <w:rPr>
          <w:rFonts w:hint="eastAsia" w:ascii="Times New Roman" w:hAnsi="Times New Roman" w:cs="Times New Roman"/>
          <w:b/>
          <w:bCs/>
          <w:sz w:val="24"/>
        </w:rPr>
        <w:t>（2）</w:t>
      </w:r>
      <w:r>
        <w:rPr>
          <w:rFonts w:hint="eastAsia" w:ascii="Times New Roman" w:hAnsi="Times New Roman" w:cs="Times New Roman"/>
          <w:b/>
          <w:bCs/>
          <w:sz w:val="24"/>
          <w:u w:val="single"/>
        </w:rPr>
        <w:t>响应文件正本一份，副本两份。</w:t>
      </w:r>
      <w:r>
        <w:rPr>
          <w:rFonts w:hint="eastAsia" w:ascii="Times New Roman" w:hAnsi="Times New Roman" w:cs="Times New Roman"/>
          <w:b/>
          <w:bCs/>
          <w:sz w:val="24"/>
        </w:rPr>
        <w:t>正本和副本的封面右上角上应清楚地标记“正本”和“副本”的字样。当副本与正本不一致时，以正本文件为准。</w:t>
      </w:r>
      <w:r>
        <w:rPr>
          <w:rFonts w:hint="eastAsia" w:ascii="Times New Roman" w:hAnsi="Times New Roman" w:cs="Times New Roman"/>
          <w:b/>
          <w:bCs/>
          <w:sz w:val="24"/>
          <w:u w:val="single"/>
        </w:rPr>
        <w:t>需密封，电子版文件随文件正本提交。</w:t>
      </w:r>
    </w:p>
    <w:p w14:paraId="26C8367C">
      <w:pPr>
        <w:spacing w:line="440" w:lineRule="exact"/>
        <w:ind w:firstLine="420"/>
        <w:rPr>
          <w:rFonts w:ascii="Times New Roman" w:hAnsi="Times New Roman" w:cs="Times New Roman"/>
          <w:sz w:val="24"/>
        </w:rPr>
      </w:pPr>
      <w:r>
        <w:rPr>
          <w:rFonts w:hint="eastAsia" w:ascii="Times New Roman" w:hAnsi="Times New Roman" w:cs="Times New Roman"/>
          <w:sz w:val="24"/>
        </w:rPr>
        <w:t>（3）响应文件的正本与副本应分别装订。</w:t>
      </w:r>
    </w:p>
    <w:p w14:paraId="69DEF5CE">
      <w:pPr>
        <w:keepNext/>
        <w:keepLines/>
        <w:spacing w:before="120"/>
        <w:outlineLvl w:val="2"/>
        <w:rPr>
          <w:rFonts w:ascii="Times New Roman" w:hAnsi="Times New Roman" w:eastAsia="黑体" w:cs="Times New Roman"/>
          <w:bCs/>
          <w:sz w:val="24"/>
          <w:szCs w:val="32"/>
        </w:rPr>
      </w:pPr>
      <w:bookmarkStart w:id="89" w:name="_Toc14201234"/>
      <w:bookmarkStart w:id="90" w:name="_Toc26656965"/>
      <w:bookmarkStart w:id="91" w:name="_Toc14201241"/>
      <w:bookmarkStart w:id="92" w:name="_Toc9067725"/>
      <w:bookmarkStart w:id="93" w:name="_Toc26656972"/>
      <w:r>
        <w:rPr>
          <w:rFonts w:ascii="Times New Roman" w:hAnsi="Times New Roman" w:eastAsia="黑体" w:cs="Times New Roman"/>
          <w:bCs/>
          <w:sz w:val="24"/>
          <w:szCs w:val="32"/>
        </w:rPr>
        <w:t>4.1响应文件的</w:t>
      </w:r>
      <w:bookmarkEnd w:id="89"/>
      <w:bookmarkEnd w:id="90"/>
      <w:r>
        <w:rPr>
          <w:rFonts w:ascii="Times New Roman" w:hAnsi="Times New Roman" w:eastAsia="黑体" w:cs="Times New Roman"/>
          <w:bCs/>
          <w:sz w:val="24"/>
          <w:szCs w:val="32"/>
        </w:rPr>
        <w:t>加密</w:t>
      </w:r>
    </w:p>
    <w:p w14:paraId="2988D9F9">
      <w:pPr>
        <w:spacing w:line="440" w:lineRule="exact"/>
        <w:ind w:firstLine="420"/>
        <w:rPr>
          <w:rFonts w:ascii="Times New Roman" w:hAnsi="Times New Roman" w:cs="Times New Roman"/>
          <w:sz w:val="24"/>
        </w:rPr>
      </w:pPr>
      <w:r>
        <w:rPr>
          <w:rFonts w:ascii="Times New Roman" w:hAnsi="Times New Roman" w:cs="Times New Roman"/>
          <w:sz w:val="24"/>
        </w:rPr>
        <w:t>4.1.1 未按本章第 3.6.3项要求制作的响应文件，采购人(“安徽交控招标采购平台”)将予以拒收。</w:t>
      </w:r>
    </w:p>
    <w:p w14:paraId="021EDBC9">
      <w:pPr>
        <w:keepNext/>
        <w:keepLines/>
        <w:spacing w:before="120"/>
        <w:outlineLvl w:val="2"/>
        <w:rPr>
          <w:rFonts w:ascii="Times New Roman" w:hAnsi="Times New Roman" w:eastAsia="黑体" w:cs="Times New Roman"/>
          <w:bCs/>
          <w:sz w:val="24"/>
          <w:szCs w:val="32"/>
        </w:rPr>
      </w:pPr>
      <w:bookmarkStart w:id="94" w:name="_Toc14201235"/>
      <w:bookmarkStart w:id="95" w:name="_Toc26656966"/>
      <w:r>
        <w:rPr>
          <w:rFonts w:ascii="Times New Roman" w:hAnsi="Times New Roman" w:eastAsia="黑体" w:cs="Times New Roman"/>
          <w:bCs/>
          <w:sz w:val="24"/>
          <w:szCs w:val="32"/>
        </w:rPr>
        <w:t>4.2 响应文件的递交</w:t>
      </w:r>
      <w:bookmarkEnd w:id="94"/>
      <w:bookmarkEnd w:id="95"/>
    </w:p>
    <w:p w14:paraId="74E25594">
      <w:pPr>
        <w:spacing w:line="440" w:lineRule="exact"/>
        <w:ind w:firstLine="420"/>
        <w:rPr>
          <w:rFonts w:ascii="Times New Roman" w:hAnsi="Times New Roman" w:cs="Times New Roman"/>
          <w:sz w:val="24"/>
        </w:rPr>
      </w:pPr>
      <w:r>
        <w:rPr>
          <w:rFonts w:ascii="Times New Roman" w:hAnsi="Times New Roman" w:cs="Times New Roman"/>
          <w:sz w:val="24"/>
        </w:rPr>
        <w:t>4.2.1供应商应当按照第一章“采购公告”第5条的规定上传加密的响应文件。</w:t>
      </w:r>
    </w:p>
    <w:p w14:paraId="78932EF9">
      <w:pPr>
        <w:spacing w:line="440" w:lineRule="exact"/>
        <w:ind w:firstLine="420"/>
        <w:rPr>
          <w:rFonts w:ascii="Times New Roman" w:hAnsi="Times New Roman" w:cs="Times New Roman"/>
          <w:sz w:val="24"/>
        </w:rPr>
      </w:pPr>
      <w:r>
        <w:rPr>
          <w:rFonts w:ascii="Times New Roman" w:hAnsi="Times New Roman" w:cs="Times New Roman"/>
          <w:sz w:val="24"/>
        </w:rPr>
        <w:t>4.2.</w:t>
      </w:r>
      <w:r>
        <w:rPr>
          <w:rFonts w:hint="eastAsia" w:ascii="Times New Roman" w:hAnsi="Times New Roman" w:cs="Times New Roman"/>
          <w:sz w:val="24"/>
          <w:lang w:val="en-US" w:eastAsia="zh-CN"/>
        </w:rPr>
        <w:t>2</w:t>
      </w:r>
      <w:r>
        <w:rPr>
          <w:rFonts w:ascii="Times New Roman" w:hAnsi="Times New Roman" w:cs="Times New Roman"/>
          <w:sz w:val="24"/>
        </w:rPr>
        <w:t xml:space="preserve"> 递交响应文件的供应商数量不足3家时，采购人将宣布本次采购失败。</w:t>
      </w:r>
    </w:p>
    <w:p w14:paraId="417E0323">
      <w:pPr>
        <w:spacing w:line="440" w:lineRule="exact"/>
        <w:ind w:firstLine="420"/>
        <w:rPr>
          <w:rFonts w:ascii="Times New Roman" w:hAnsi="Times New Roman" w:cs="Times New Roman"/>
          <w:sz w:val="24"/>
        </w:rPr>
      </w:pPr>
      <w:r>
        <w:rPr>
          <w:rFonts w:ascii="Times New Roman" w:hAnsi="Times New Roman" w:cs="Times New Roman"/>
          <w:sz w:val="24"/>
        </w:rPr>
        <w:t>4.2.</w:t>
      </w:r>
      <w:r>
        <w:rPr>
          <w:rFonts w:hint="eastAsia" w:ascii="Times New Roman" w:hAnsi="Times New Roman" w:cs="Times New Roman"/>
          <w:sz w:val="24"/>
          <w:lang w:val="en-US" w:eastAsia="zh-CN"/>
        </w:rPr>
        <w:t>3</w:t>
      </w:r>
      <w:r>
        <w:rPr>
          <w:rFonts w:ascii="Times New Roman" w:hAnsi="Times New Roman" w:cs="Times New Roman"/>
          <w:sz w:val="24"/>
        </w:rPr>
        <w:t xml:space="preserve"> 供应商所递交的响应文件不予退还。</w:t>
      </w:r>
    </w:p>
    <w:p w14:paraId="1A4B3926">
      <w:pPr>
        <w:keepNext/>
        <w:keepLines/>
        <w:spacing w:before="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4.3 响应文件的修改与撤回 </w:t>
      </w:r>
    </w:p>
    <w:p w14:paraId="52DC1BB4">
      <w:pPr>
        <w:spacing w:line="440" w:lineRule="exact"/>
        <w:ind w:firstLine="420"/>
        <w:rPr>
          <w:rFonts w:ascii="Times New Roman" w:hAnsi="Times New Roman" w:cs="Times New Roman"/>
          <w:sz w:val="24"/>
        </w:rPr>
      </w:pPr>
      <w:r>
        <w:rPr>
          <w:rFonts w:ascii="Times New Roman" w:hAnsi="Times New Roman" w:cs="Times New Roman"/>
          <w:sz w:val="24"/>
        </w:rPr>
        <w:t>4.3.1 在本章第4.2.1项规定的响应文件递交截止时间前，供应商可以修改或撤回已递交的响应文件。供应商对加密的响应文件进行撤回的，应在“安徽交控招标采购平台”直接进行撤回操作；供应商对加密的响应文件进行修改的，应在响应文件递交截止时间前完成上传，并以最后完成上传的文件为准。</w:t>
      </w:r>
    </w:p>
    <w:p w14:paraId="611FAB5F">
      <w:pPr>
        <w:spacing w:line="440" w:lineRule="exact"/>
        <w:ind w:firstLine="420"/>
        <w:rPr>
          <w:rFonts w:ascii="Times New Roman" w:hAnsi="Times New Roman" w:cs="Times New Roman"/>
          <w:sz w:val="24"/>
        </w:rPr>
      </w:pPr>
      <w:r>
        <w:rPr>
          <w:rFonts w:ascii="Times New Roman" w:hAnsi="Times New Roman" w:cs="Times New Roman"/>
          <w:sz w:val="24"/>
        </w:rPr>
        <w:t>4.3.2 供应商修改响应文件的，应使用“响应文件制作工具”制作成完整的响应文件，并按照本章第 3.6 条规定进行编制、加密和递交。</w:t>
      </w:r>
      <w:bookmarkStart w:id="96" w:name="_Toc26656968"/>
      <w:bookmarkStart w:id="97" w:name="_Toc14201237"/>
      <w:bookmarkStart w:id="98" w:name="_Toc9067724"/>
    </w:p>
    <w:p w14:paraId="16FE3355">
      <w:pPr>
        <w:keepNext/>
        <w:keepLines/>
        <w:spacing w:before="156" w:before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5. </w:t>
      </w:r>
      <w:bookmarkEnd w:id="96"/>
      <w:bookmarkEnd w:id="97"/>
      <w:bookmarkEnd w:id="98"/>
      <w:r>
        <w:rPr>
          <w:rFonts w:ascii="Times New Roman" w:hAnsi="Times New Roman" w:eastAsia="黑体" w:cs="Times New Roman"/>
          <w:bCs/>
          <w:sz w:val="24"/>
          <w:szCs w:val="32"/>
        </w:rPr>
        <w:t>启封</w:t>
      </w:r>
    </w:p>
    <w:p w14:paraId="3103F2DC">
      <w:pPr>
        <w:keepNext/>
        <w:keepLines/>
        <w:spacing w:before="120"/>
        <w:outlineLvl w:val="2"/>
        <w:rPr>
          <w:rFonts w:ascii="Times New Roman" w:hAnsi="Times New Roman" w:eastAsia="黑体" w:cs="Times New Roman"/>
          <w:bCs/>
          <w:sz w:val="24"/>
          <w:szCs w:val="32"/>
        </w:rPr>
      </w:pPr>
      <w:bookmarkStart w:id="99" w:name="_Toc14201238"/>
      <w:bookmarkStart w:id="100" w:name="_Toc26656969"/>
      <w:r>
        <w:rPr>
          <w:rFonts w:ascii="Times New Roman" w:hAnsi="Times New Roman" w:eastAsia="黑体" w:cs="Times New Roman"/>
          <w:bCs/>
          <w:sz w:val="24"/>
          <w:szCs w:val="32"/>
        </w:rPr>
        <w:t>5.1 启封时间和地点</w:t>
      </w:r>
      <w:bookmarkEnd w:id="99"/>
      <w:bookmarkEnd w:id="100"/>
    </w:p>
    <w:p w14:paraId="0900CF00">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采购人在本章第4.2.1项规定的响应文件递交截止时间（启封时间），按照第一章“采购公告/采购邀请书”第6条的规定进行启封。</w:t>
      </w:r>
    </w:p>
    <w:p w14:paraId="3AF420E2">
      <w:pPr>
        <w:spacing w:line="440" w:lineRule="exact"/>
        <w:ind w:firstLine="420"/>
        <w:rPr>
          <w:rFonts w:ascii="Times New Roman" w:hAnsi="Times New Roman" w:cs="Times New Roman"/>
          <w:sz w:val="24"/>
        </w:rPr>
      </w:pPr>
      <w:r>
        <w:rPr>
          <w:rFonts w:hint="eastAsia" w:ascii="Times New Roman" w:hAnsi="Times New Roman" w:cs="Times New Roman"/>
          <w:sz w:val="24"/>
        </w:rPr>
        <w:t>供应商若未派法定代表人或其委托代理人出席启封活动，视为该供应商默认启封结果。</w:t>
      </w:r>
    </w:p>
    <w:p w14:paraId="429E5C49">
      <w:pPr>
        <w:keepNext/>
        <w:keepLines/>
        <w:spacing w:before="120"/>
        <w:outlineLvl w:val="2"/>
        <w:rPr>
          <w:rFonts w:ascii="Times New Roman" w:hAnsi="Times New Roman" w:eastAsia="黑体" w:cs="Times New Roman"/>
          <w:bCs/>
          <w:sz w:val="24"/>
          <w:szCs w:val="32"/>
        </w:rPr>
      </w:pPr>
      <w:bookmarkStart w:id="101" w:name="_Toc14201239"/>
      <w:bookmarkStart w:id="102" w:name="_Toc26656970"/>
      <w:r>
        <w:rPr>
          <w:rFonts w:ascii="Times New Roman" w:hAnsi="Times New Roman" w:eastAsia="黑体" w:cs="Times New Roman"/>
          <w:bCs/>
          <w:sz w:val="24"/>
          <w:szCs w:val="32"/>
        </w:rPr>
        <w:t>5.2启封程序</w:t>
      </w:r>
      <w:bookmarkEnd w:id="101"/>
      <w:bookmarkEnd w:id="102"/>
    </w:p>
    <w:p w14:paraId="0EEB114C">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5.2.1主持人按下列程序进行启封：</w:t>
      </w:r>
    </w:p>
    <w:p w14:paraId="18CE5866">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（1）公布在响应文件递交截止时间前递交响应文件的供应商名称；</w:t>
      </w:r>
    </w:p>
    <w:p w14:paraId="4377286C">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（2）由供应商推选的代表检查响应文件的密封情况；</w:t>
      </w:r>
    </w:p>
    <w:p w14:paraId="25603BAC">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（3）开启商务技术文件；</w:t>
      </w:r>
    </w:p>
    <w:p w14:paraId="515F6633">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（4）开启报价文件；</w:t>
      </w:r>
    </w:p>
    <w:p w14:paraId="37A2265B">
      <w:pPr>
        <w:spacing w:line="440" w:lineRule="exact"/>
        <w:ind w:firstLine="420"/>
        <w:rPr>
          <w:rFonts w:hint="eastAsia" w:ascii="Times New Roman" w:hAnsi="Times New Roman" w:cs="Times New Roman"/>
          <w:sz w:val="24"/>
        </w:rPr>
      </w:pPr>
      <w:r>
        <w:rPr>
          <w:rFonts w:hint="eastAsia" w:ascii="Times New Roman" w:hAnsi="Times New Roman" w:cs="Times New Roman"/>
          <w:sz w:val="24"/>
        </w:rPr>
        <w:t>（5）启封结束。</w:t>
      </w:r>
    </w:p>
    <w:p w14:paraId="3901683F">
      <w:pPr>
        <w:spacing w:line="440" w:lineRule="exact"/>
        <w:ind w:firstLine="420"/>
        <w:rPr>
          <w:rFonts w:ascii="Times New Roman" w:hAnsi="Times New Roman" w:cs="Times New Roman"/>
          <w:sz w:val="24"/>
        </w:rPr>
      </w:pPr>
      <w:r>
        <w:rPr>
          <w:rFonts w:hint="eastAsia" w:ascii="Times New Roman" w:hAnsi="Times New Roman" w:cs="Times New Roman"/>
          <w:sz w:val="24"/>
        </w:rPr>
        <w:t>5.2.2供应商在启封过程中有疑问的，应当在现场提出，采购人将当场作出答复。</w:t>
      </w:r>
    </w:p>
    <w:p w14:paraId="06091B0C">
      <w:pPr>
        <w:keepNext/>
        <w:keepLines/>
        <w:spacing w:before="156" w:beforeLines="50" w:after="156" w:afterLines="50"/>
        <w:outlineLvl w:val="1"/>
        <w:rPr>
          <w:rFonts w:ascii="Times New Roman" w:hAnsi="Times New Roman" w:eastAsia="黑体" w:cs="Times New Roman"/>
          <w:bCs/>
          <w:sz w:val="24"/>
        </w:rPr>
      </w:pPr>
      <w:r>
        <w:rPr>
          <w:rFonts w:ascii="Times New Roman" w:hAnsi="Times New Roman" w:eastAsia="黑体" w:cs="Times New Roman"/>
          <w:bCs/>
          <w:sz w:val="24"/>
        </w:rPr>
        <w:t xml:space="preserve">6. </w:t>
      </w:r>
      <w:bookmarkEnd w:id="91"/>
      <w:bookmarkEnd w:id="92"/>
      <w:bookmarkEnd w:id="93"/>
      <w:r>
        <w:rPr>
          <w:rFonts w:ascii="Times New Roman" w:hAnsi="Times New Roman" w:eastAsia="黑体" w:cs="Times New Roman"/>
          <w:bCs/>
          <w:sz w:val="24"/>
        </w:rPr>
        <w:t>评审</w:t>
      </w:r>
    </w:p>
    <w:p w14:paraId="265F4CE4">
      <w:pPr>
        <w:keepNext/>
        <w:keepLines/>
        <w:spacing w:before="120" w:after="120"/>
        <w:outlineLvl w:val="2"/>
        <w:rPr>
          <w:rFonts w:ascii="Times New Roman" w:hAnsi="Times New Roman" w:eastAsia="黑体" w:cs="Times New Roman"/>
          <w:bCs/>
          <w:sz w:val="24"/>
        </w:rPr>
      </w:pPr>
      <w:bookmarkStart w:id="103" w:name="_Toc14201242"/>
      <w:bookmarkStart w:id="104" w:name="_Toc26656973"/>
      <w:r>
        <w:rPr>
          <w:rFonts w:ascii="Times New Roman" w:hAnsi="Times New Roman" w:eastAsia="黑体" w:cs="Times New Roman"/>
          <w:bCs/>
          <w:sz w:val="24"/>
        </w:rPr>
        <w:t>6.1</w:t>
      </w:r>
      <w:bookmarkEnd w:id="103"/>
      <w:bookmarkEnd w:id="104"/>
      <w:r>
        <w:rPr>
          <w:rFonts w:ascii="Times New Roman" w:hAnsi="Times New Roman" w:eastAsia="黑体" w:cs="Times New Roman"/>
          <w:bCs/>
          <w:sz w:val="24"/>
        </w:rPr>
        <w:t>评审小组</w:t>
      </w:r>
    </w:p>
    <w:p w14:paraId="31157CC7">
      <w:pPr>
        <w:spacing w:line="440" w:lineRule="exact"/>
        <w:ind w:firstLine="420"/>
        <w:rPr>
          <w:rFonts w:ascii="Times New Roman" w:hAnsi="Times New Roman" w:cs="Times New Roman"/>
          <w:sz w:val="24"/>
        </w:rPr>
      </w:pPr>
      <w:r>
        <w:rPr>
          <w:rFonts w:ascii="Times New Roman" w:hAnsi="Times New Roman" w:cs="Times New Roman"/>
          <w:sz w:val="24"/>
        </w:rPr>
        <w:t>评审由采购人自行组建的评审小组负责。评审小组人数：3人及以上单数。</w:t>
      </w:r>
    </w:p>
    <w:p w14:paraId="2060AFBE">
      <w:pPr>
        <w:keepNext/>
        <w:keepLines/>
        <w:spacing w:before="120" w:after="120"/>
        <w:outlineLvl w:val="2"/>
        <w:rPr>
          <w:rFonts w:ascii="Times New Roman" w:hAnsi="Times New Roman" w:eastAsia="黑体" w:cs="Times New Roman"/>
          <w:bCs/>
          <w:sz w:val="24"/>
        </w:rPr>
      </w:pPr>
      <w:bookmarkStart w:id="105" w:name="_Toc26656975"/>
      <w:bookmarkStart w:id="106" w:name="_Toc14201244"/>
      <w:r>
        <w:rPr>
          <w:rFonts w:ascii="Times New Roman" w:hAnsi="Times New Roman" w:eastAsia="黑体" w:cs="Times New Roman"/>
          <w:bCs/>
          <w:sz w:val="24"/>
        </w:rPr>
        <w:t>6.2</w:t>
      </w:r>
      <w:bookmarkEnd w:id="105"/>
      <w:bookmarkEnd w:id="106"/>
      <w:r>
        <w:rPr>
          <w:rFonts w:ascii="Times New Roman" w:hAnsi="Times New Roman" w:eastAsia="黑体" w:cs="Times New Roman"/>
          <w:bCs/>
          <w:sz w:val="24"/>
        </w:rPr>
        <w:t>评审</w:t>
      </w:r>
    </w:p>
    <w:p w14:paraId="3842D082">
      <w:pPr>
        <w:spacing w:line="440" w:lineRule="exact"/>
        <w:ind w:firstLine="420"/>
        <w:rPr>
          <w:rFonts w:ascii="Times New Roman" w:hAnsi="Times New Roman" w:cs="Times New Roman"/>
          <w:sz w:val="24"/>
        </w:rPr>
      </w:pPr>
      <w:r>
        <w:rPr>
          <w:rFonts w:ascii="Times New Roman" w:hAnsi="Times New Roman" w:cs="Times New Roman"/>
          <w:sz w:val="24"/>
        </w:rPr>
        <w:t>6.2.1评审小组按照第三章“评审办法”规定的方法、评审因素、标准和程序对响应文件进行评审。</w:t>
      </w:r>
    </w:p>
    <w:p w14:paraId="7645E5D0">
      <w:pPr>
        <w:spacing w:line="440" w:lineRule="exact"/>
        <w:ind w:firstLine="420"/>
        <w:rPr>
          <w:rFonts w:ascii="Times New Roman" w:hAnsi="Times New Roman" w:cs="Times New Roman"/>
          <w:sz w:val="24"/>
        </w:rPr>
      </w:pPr>
      <w:r>
        <w:rPr>
          <w:rFonts w:ascii="Times New Roman" w:hAnsi="Times New Roman" w:cs="Times New Roman"/>
          <w:sz w:val="24"/>
        </w:rPr>
        <w:t>6.2.2评审完成后，评审小组应向采购人提交书面评审报告和成交候选人名单。评审小组推荐成交候选人的人数为：3人（如不足3人，可以按实际数量推荐）。</w:t>
      </w:r>
    </w:p>
    <w:p w14:paraId="728E4D8D">
      <w:pPr>
        <w:keepNext/>
        <w:keepLines/>
        <w:spacing w:before="156" w:beforeLines="50" w:after="156" w:afterLines="50"/>
        <w:outlineLvl w:val="1"/>
        <w:rPr>
          <w:rFonts w:ascii="Times New Roman" w:hAnsi="Times New Roman" w:eastAsia="黑体" w:cs="Times New Roman"/>
          <w:bCs/>
          <w:sz w:val="24"/>
        </w:rPr>
      </w:pPr>
      <w:bookmarkStart w:id="107" w:name="_Toc9067726"/>
      <w:bookmarkStart w:id="108" w:name="_Toc14201245"/>
      <w:bookmarkStart w:id="109" w:name="_Toc26656976"/>
      <w:r>
        <w:rPr>
          <w:rFonts w:ascii="Times New Roman" w:hAnsi="Times New Roman" w:eastAsia="黑体" w:cs="Times New Roman"/>
          <w:bCs/>
          <w:sz w:val="24"/>
        </w:rPr>
        <w:t>7. 合同授予</w:t>
      </w:r>
      <w:bookmarkEnd w:id="107"/>
      <w:bookmarkEnd w:id="108"/>
      <w:bookmarkEnd w:id="109"/>
    </w:p>
    <w:p w14:paraId="58421721">
      <w:pPr>
        <w:keepNext/>
        <w:keepLines/>
        <w:spacing w:before="120" w:after="120"/>
        <w:outlineLvl w:val="2"/>
        <w:rPr>
          <w:rFonts w:ascii="Times New Roman" w:hAnsi="Times New Roman" w:eastAsia="黑体" w:cs="Times New Roman"/>
          <w:bCs/>
          <w:sz w:val="24"/>
        </w:rPr>
      </w:pPr>
      <w:bookmarkStart w:id="110" w:name="_Toc26656977"/>
      <w:bookmarkStart w:id="111" w:name="_Toc14201246"/>
      <w:r>
        <w:rPr>
          <w:rFonts w:ascii="Times New Roman" w:hAnsi="Times New Roman" w:eastAsia="黑体" w:cs="Times New Roman"/>
          <w:bCs/>
          <w:sz w:val="24"/>
        </w:rPr>
        <w:t>7.1成交候选人公示</w:t>
      </w:r>
      <w:bookmarkEnd w:id="110"/>
      <w:bookmarkEnd w:id="111"/>
    </w:p>
    <w:p w14:paraId="7A7E1F08">
      <w:pPr>
        <w:spacing w:line="440" w:lineRule="exact"/>
        <w:ind w:firstLine="420"/>
        <w:rPr>
          <w:rFonts w:ascii="Times New Roman" w:hAnsi="Times New Roman" w:cs="Times New Roman"/>
          <w:sz w:val="24"/>
        </w:rPr>
      </w:pPr>
      <w:r>
        <w:rPr>
          <w:rFonts w:ascii="Times New Roman" w:hAnsi="Times New Roman" w:cs="Times New Roman"/>
          <w:sz w:val="24"/>
        </w:rPr>
        <w:t>采用公开询比方式采购的项目，公示期不得少于2日。</w:t>
      </w:r>
    </w:p>
    <w:p w14:paraId="53797223">
      <w:pPr>
        <w:keepNext/>
        <w:keepLines/>
        <w:spacing w:before="120" w:after="120"/>
        <w:outlineLvl w:val="2"/>
        <w:rPr>
          <w:rFonts w:ascii="Times New Roman" w:hAnsi="Times New Roman" w:eastAsia="黑体" w:cs="Times New Roman"/>
          <w:bCs/>
          <w:sz w:val="24"/>
        </w:rPr>
      </w:pPr>
      <w:bookmarkStart w:id="112" w:name="_Toc26656978"/>
      <w:bookmarkStart w:id="113" w:name="_Toc14201247"/>
      <w:r>
        <w:rPr>
          <w:rFonts w:ascii="Times New Roman" w:hAnsi="Times New Roman" w:eastAsia="黑体" w:cs="Times New Roman"/>
          <w:bCs/>
          <w:sz w:val="24"/>
        </w:rPr>
        <w:t>7.2评审结果异议</w:t>
      </w:r>
      <w:bookmarkEnd w:id="112"/>
      <w:bookmarkEnd w:id="113"/>
    </w:p>
    <w:p w14:paraId="751C88D8">
      <w:pPr>
        <w:spacing w:line="440" w:lineRule="exact"/>
        <w:ind w:firstLine="420"/>
        <w:rPr>
          <w:rFonts w:ascii="Times New Roman" w:hAnsi="Times New Roman" w:cs="Times New Roman"/>
          <w:sz w:val="24"/>
        </w:rPr>
      </w:pPr>
      <w:r>
        <w:rPr>
          <w:rFonts w:ascii="Times New Roman" w:hAnsi="Times New Roman" w:cs="Times New Roman"/>
          <w:sz w:val="24"/>
        </w:rPr>
        <w:t>供应商或其他利害关系人对评审结果有异议的，应在成交候选人公示期间提出。</w:t>
      </w:r>
    </w:p>
    <w:p w14:paraId="62BAC865">
      <w:pPr>
        <w:keepNext/>
        <w:keepLines/>
        <w:spacing w:before="120" w:after="120"/>
        <w:outlineLvl w:val="2"/>
        <w:rPr>
          <w:rFonts w:ascii="Times New Roman" w:hAnsi="Times New Roman" w:eastAsia="黑体" w:cs="Times New Roman"/>
          <w:bCs/>
          <w:sz w:val="24"/>
        </w:rPr>
      </w:pPr>
      <w:bookmarkStart w:id="114" w:name="_Toc26656979"/>
      <w:bookmarkStart w:id="115" w:name="_Toc14201248"/>
      <w:r>
        <w:rPr>
          <w:rFonts w:ascii="Times New Roman" w:hAnsi="Times New Roman" w:eastAsia="黑体" w:cs="Times New Roman"/>
          <w:bCs/>
          <w:sz w:val="24"/>
        </w:rPr>
        <w:t>7.3成交候选人履约能力审查</w:t>
      </w:r>
      <w:bookmarkEnd w:id="114"/>
      <w:bookmarkEnd w:id="115"/>
    </w:p>
    <w:p w14:paraId="32A6A355">
      <w:pPr>
        <w:spacing w:line="440" w:lineRule="exact"/>
        <w:ind w:firstLine="420"/>
        <w:rPr>
          <w:rFonts w:ascii="Times New Roman" w:hAnsi="Times New Roman" w:cs="Times New Roman"/>
          <w:sz w:val="24"/>
        </w:rPr>
      </w:pPr>
      <w:bookmarkStart w:id="116" w:name="_Toc26656981"/>
      <w:bookmarkStart w:id="117" w:name="_Toc14201250"/>
      <w:r>
        <w:rPr>
          <w:rFonts w:ascii="Times New Roman" w:hAnsi="Times New Roman" w:cs="Times New Roman"/>
          <w:sz w:val="24"/>
        </w:rPr>
        <w:t>成交候选人的经营、财务状况发生较大变化或存在违法行为，采购人认为可能影响其履约能力的，将在发出成交通知书前提请原评审小组按照询比文件规定的标准和方法进行审查确认。</w:t>
      </w:r>
    </w:p>
    <w:p w14:paraId="3DD4C926">
      <w:pPr>
        <w:keepNext/>
        <w:keepLines/>
        <w:spacing w:before="120" w:after="120"/>
        <w:outlineLvl w:val="2"/>
        <w:rPr>
          <w:rFonts w:ascii="Times New Roman" w:hAnsi="Times New Roman" w:eastAsia="黑体" w:cs="Times New Roman"/>
          <w:bCs/>
          <w:sz w:val="24"/>
        </w:rPr>
      </w:pPr>
      <w:r>
        <w:rPr>
          <w:rFonts w:ascii="Times New Roman" w:hAnsi="Times New Roman" w:eastAsia="黑体" w:cs="Times New Roman"/>
          <w:bCs/>
          <w:sz w:val="24"/>
        </w:rPr>
        <w:t>7.</w:t>
      </w:r>
      <w:bookmarkEnd w:id="116"/>
      <w:bookmarkEnd w:id="117"/>
      <w:bookmarkStart w:id="118" w:name="_Toc26656983"/>
      <w:bookmarkStart w:id="119" w:name="_Toc14201252"/>
      <w:r>
        <w:rPr>
          <w:rFonts w:ascii="Times New Roman" w:hAnsi="Times New Roman" w:eastAsia="黑体" w:cs="Times New Roman"/>
          <w:bCs/>
          <w:sz w:val="24"/>
        </w:rPr>
        <w:t>4履约保证金</w:t>
      </w:r>
      <w:bookmarkEnd w:id="118"/>
      <w:bookmarkEnd w:id="119"/>
    </w:p>
    <w:p w14:paraId="27358568">
      <w:pPr>
        <w:spacing w:line="440" w:lineRule="exact"/>
        <w:ind w:firstLine="420"/>
        <w:rPr>
          <w:rFonts w:ascii="Times New Roman" w:hAnsi="Times New Roman" w:cs="Times New Roman"/>
          <w:sz w:val="24"/>
        </w:rPr>
      </w:pPr>
      <w:r>
        <w:rPr>
          <w:rFonts w:ascii="Times New Roman" w:hAnsi="Times New Roman" w:cs="Times New Roman"/>
          <w:sz w:val="24"/>
        </w:rPr>
        <w:t>7.4.1本项目不要求提交履约保证金。</w:t>
      </w:r>
    </w:p>
    <w:p w14:paraId="4B4BAF03">
      <w:pPr>
        <w:keepNext/>
        <w:keepLines/>
        <w:spacing w:before="120" w:after="120"/>
        <w:outlineLvl w:val="2"/>
        <w:rPr>
          <w:rFonts w:ascii="Times New Roman" w:hAnsi="Times New Roman" w:eastAsia="黑体" w:cs="Times New Roman"/>
          <w:bCs/>
          <w:sz w:val="24"/>
        </w:rPr>
      </w:pPr>
      <w:bookmarkStart w:id="120" w:name="_Toc14201253"/>
      <w:bookmarkStart w:id="121" w:name="_Toc26656984"/>
      <w:r>
        <w:rPr>
          <w:rFonts w:ascii="Times New Roman" w:hAnsi="Times New Roman" w:eastAsia="黑体" w:cs="Times New Roman"/>
          <w:bCs/>
          <w:sz w:val="24"/>
        </w:rPr>
        <w:t>7.5签订合同</w:t>
      </w:r>
      <w:bookmarkEnd w:id="120"/>
      <w:bookmarkEnd w:id="121"/>
    </w:p>
    <w:p w14:paraId="3185E3D4">
      <w:pPr>
        <w:spacing w:line="440" w:lineRule="exact"/>
        <w:ind w:firstLine="420"/>
        <w:rPr>
          <w:rFonts w:ascii="Times New Roman" w:hAnsi="Times New Roman" w:cs="Times New Roman"/>
          <w:sz w:val="24"/>
        </w:rPr>
      </w:pPr>
      <w:bookmarkStart w:id="122" w:name="_Toc26656988"/>
      <w:bookmarkStart w:id="123" w:name="_Toc14201257"/>
      <w:bookmarkStart w:id="124" w:name="_Toc9067727"/>
      <w:r>
        <w:rPr>
          <w:rFonts w:ascii="Times New Roman" w:hAnsi="Times New Roman" w:cs="Times New Roman"/>
          <w:sz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7881F868">
      <w:pPr>
        <w:keepNext/>
        <w:keepLines/>
        <w:spacing w:before="156" w:beforeLines="50" w:after="156" w:afterLines="50"/>
        <w:outlineLvl w:val="1"/>
        <w:rPr>
          <w:rFonts w:ascii="Times New Roman" w:hAnsi="Times New Roman" w:eastAsia="黑体" w:cs="Times New Roman"/>
          <w:bCs/>
          <w:sz w:val="24"/>
        </w:rPr>
      </w:pPr>
      <w:r>
        <w:rPr>
          <w:rFonts w:ascii="Times New Roman" w:hAnsi="Times New Roman" w:eastAsia="黑体" w:cs="Times New Roman"/>
          <w:bCs/>
          <w:sz w:val="24"/>
        </w:rPr>
        <w:t>8. 纪律和监督</w:t>
      </w:r>
      <w:bookmarkEnd w:id="122"/>
      <w:bookmarkEnd w:id="123"/>
      <w:bookmarkEnd w:id="124"/>
    </w:p>
    <w:p w14:paraId="2D23970F">
      <w:pPr>
        <w:spacing w:line="440" w:lineRule="exact"/>
        <w:ind w:firstLine="420"/>
        <w:rPr>
          <w:rFonts w:ascii="Times New Roman" w:hAnsi="Times New Roman" w:cs="Times New Roman"/>
          <w:sz w:val="24"/>
        </w:rPr>
      </w:pPr>
      <w:r>
        <w:rPr>
          <w:rFonts w:ascii="Times New Roman" w:hAnsi="Times New Roman" w:cs="Times New Roman"/>
          <w:sz w:val="24"/>
        </w:rPr>
        <w:t>供应商不得相互串通报价或与采购人串通报价，不得向采购人或评审小组成员行贿谋取成交，不得以他人名义报价或以其他方式弄虚作假骗取成交；供应商不得以任何方式干扰、影响评审工作。</w:t>
      </w:r>
    </w:p>
    <w:p w14:paraId="4966D5DE">
      <w:pPr>
        <w:keepNext/>
        <w:keepLines/>
        <w:spacing w:before="156" w:beforeLines="50" w:after="156" w:afterLines="50"/>
        <w:outlineLvl w:val="1"/>
        <w:rPr>
          <w:rFonts w:ascii="Times New Roman" w:hAnsi="Times New Roman" w:eastAsia="黑体" w:cs="Times New Roman"/>
          <w:bCs/>
          <w:sz w:val="24"/>
        </w:rPr>
      </w:pPr>
      <w:bookmarkStart w:id="125" w:name="_Toc14201262"/>
      <w:bookmarkStart w:id="126" w:name="_Toc26656993"/>
      <w:r>
        <w:rPr>
          <w:rFonts w:ascii="Times New Roman" w:hAnsi="Times New Roman" w:eastAsia="黑体" w:cs="Times New Roman"/>
          <w:bCs/>
          <w:sz w:val="24"/>
        </w:rPr>
        <w:t>9投诉</w:t>
      </w:r>
      <w:bookmarkEnd w:id="125"/>
      <w:bookmarkEnd w:id="126"/>
    </w:p>
    <w:p w14:paraId="09278111">
      <w:pPr>
        <w:spacing w:line="440" w:lineRule="exact"/>
        <w:ind w:firstLine="420"/>
        <w:rPr>
          <w:rFonts w:ascii="Times New Roman" w:hAnsi="Times New Roman" w:cs="Times New Roman"/>
          <w:sz w:val="24"/>
        </w:rPr>
      </w:pPr>
      <w:r>
        <w:rPr>
          <w:rFonts w:ascii="Times New Roman" w:hAnsi="Times New Roman" w:cs="Times New Roman"/>
          <w:sz w:val="24"/>
        </w:rPr>
        <w:t>供应商或其他利害关系人认为询比活动不符合法律法规规定的，可以自知道或应当知道之日起10日内向有关监督部门投诉。投诉应有明确的请求和必要的证明材料。</w:t>
      </w:r>
    </w:p>
    <w:p w14:paraId="4B8F0D5E">
      <w:pPr>
        <w:keepNext/>
        <w:keepLines/>
        <w:spacing w:before="156" w:beforeLines="50" w:after="156" w:afterLines="50"/>
        <w:outlineLvl w:val="1"/>
        <w:rPr>
          <w:rFonts w:ascii="Times New Roman" w:hAnsi="Times New Roman" w:eastAsia="黑体" w:cs="Times New Roman"/>
          <w:bCs/>
          <w:sz w:val="24"/>
        </w:rPr>
      </w:pPr>
      <w:bookmarkStart w:id="127" w:name="_Toc26656994"/>
      <w:bookmarkStart w:id="128" w:name="_Toc14201263"/>
      <w:bookmarkStart w:id="129" w:name="_Toc9067731"/>
      <w:r>
        <w:rPr>
          <w:rFonts w:ascii="Times New Roman" w:hAnsi="Times New Roman" w:eastAsia="黑体" w:cs="Times New Roman"/>
          <w:bCs/>
          <w:sz w:val="24"/>
        </w:rPr>
        <w:t>10.需要补充的其他内容</w:t>
      </w:r>
      <w:bookmarkEnd w:id="127"/>
      <w:bookmarkEnd w:id="128"/>
      <w:bookmarkEnd w:id="129"/>
    </w:p>
    <w:p w14:paraId="4A009EB9">
      <w:pPr>
        <w:spacing w:line="440" w:lineRule="exact"/>
        <w:ind w:firstLine="420"/>
        <w:rPr>
          <w:rFonts w:ascii="Times New Roman" w:hAnsi="Times New Roman" w:cs="Times New Roman"/>
          <w:sz w:val="24"/>
        </w:rPr>
      </w:pPr>
      <w:r>
        <w:rPr>
          <w:rFonts w:ascii="Times New Roman" w:hAnsi="Times New Roman" w:cs="Times New Roman"/>
          <w:sz w:val="24"/>
        </w:rPr>
        <w:t>需要补充的其他内容：</w:t>
      </w:r>
      <w:r>
        <w:rPr>
          <w:rFonts w:hint="eastAsia" w:ascii="Times New Roman" w:hAnsi="Times New Roman" w:cs="Times New Roman"/>
          <w:sz w:val="24"/>
        </w:rPr>
        <w:t>见供应商须知前附表。</w:t>
      </w:r>
    </w:p>
    <w:p w14:paraId="4CBCC8DF">
      <w:pPr>
        <w:widowControl/>
        <w:jc w:val="left"/>
        <w:rPr>
          <w:rFonts w:ascii="Times New Roman" w:hAnsi="Times New Roman" w:cs="Times New Roman"/>
          <w:sz w:val="24"/>
        </w:rPr>
      </w:pPr>
      <w:r>
        <w:rPr>
          <w:rFonts w:ascii="Times New Roman" w:hAnsi="Times New Roman" w:cs="Times New Roman"/>
          <w:sz w:val="24"/>
        </w:rPr>
        <w:br w:type="page"/>
      </w:r>
    </w:p>
    <w:p w14:paraId="0172F0AD">
      <w:pPr>
        <w:pStyle w:val="3"/>
        <w:spacing w:before="312" w:after="312"/>
        <w:ind w:firstLine="0"/>
        <w:rPr>
          <w:rFonts w:ascii="Times New Roman" w:hAnsi="Times New Roman" w:eastAsia="宋体" w:cs="Times New Roman"/>
          <w:bCs w:val="0"/>
        </w:rPr>
      </w:pPr>
      <w:bookmarkStart w:id="130" w:name="_Toc15239"/>
      <w:r>
        <w:rPr>
          <w:rFonts w:ascii="Times New Roman" w:hAnsi="Times New Roman" w:eastAsia="宋体" w:cs="Times New Roman"/>
          <w:bCs w:val="0"/>
        </w:rPr>
        <w:t>评审办法</w:t>
      </w:r>
      <w:bookmarkEnd w:id="130"/>
    </w:p>
    <w:p w14:paraId="3187D246">
      <w:pPr>
        <w:ind w:left="82" w:right="329" w:firstLine="562"/>
        <w:jc w:val="center"/>
        <w:rPr>
          <w:rFonts w:ascii="Times New Roman" w:hAnsi="Times New Roman" w:cs="Times New Roman"/>
          <w:b/>
          <w:bCs/>
          <w:sz w:val="19"/>
        </w:rPr>
      </w:pPr>
      <w:r>
        <w:rPr>
          <w:rFonts w:ascii="Times New Roman" w:hAnsi="Times New Roman" w:cs="Times New Roman"/>
          <w:b/>
          <w:bCs/>
          <w:sz w:val="28"/>
          <w:szCs w:val="28"/>
        </w:rPr>
        <w:t>评审办法前附表（综合评分法）</w:t>
      </w:r>
    </w:p>
    <w:tbl>
      <w:tblPr>
        <w:tblStyle w:val="29"/>
        <w:tblW w:w="55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
        <w:gridCol w:w="1069"/>
        <w:gridCol w:w="1604"/>
        <w:gridCol w:w="5916"/>
      </w:tblGrid>
      <w:tr w14:paraId="7C76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948" w:type="pct"/>
            <w:gridSpan w:val="2"/>
          </w:tcPr>
          <w:p w14:paraId="429A8E77">
            <w:pPr>
              <w:spacing w:before="147"/>
              <w:ind w:left="558" w:firstLine="422"/>
              <w:rPr>
                <w:rFonts w:ascii="Times New Roman" w:hAnsi="Times New Roman" w:cs="Times New Roman"/>
                <w:b/>
              </w:rPr>
            </w:pPr>
            <w:r>
              <w:rPr>
                <w:rFonts w:ascii="Times New Roman" w:hAnsi="Times New Roman" w:cs="Times New Roman"/>
                <w:b/>
              </w:rPr>
              <w:t>条款号</w:t>
            </w:r>
          </w:p>
        </w:tc>
        <w:tc>
          <w:tcPr>
            <w:tcW w:w="864" w:type="pct"/>
          </w:tcPr>
          <w:p w14:paraId="3E5831B3">
            <w:pPr>
              <w:spacing w:before="147"/>
              <w:ind w:left="117" w:firstLine="422"/>
              <w:jc w:val="center"/>
              <w:rPr>
                <w:rFonts w:ascii="Times New Roman" w:hAnsi="Times New Roman" w:cs="Times New Roman"/>
                <w:b/>
              </w:rPr>
            </w:pPr>
            <w:r>
              <w:rPr>
                <w:rFonts w:ascii="Times New Roman" w:hAnsi="Times New Roman" w:cs="Times New Roman"/>
                <w:b/>
              </w:rPr>
              <w:t>评审因素</w:t>
            </w:r>
          </w:p>
        </w:tc>
        <w:tc>
          <w:tcPr>
            <w:tcW w:w="3187" w:type="pct"/>
          </w:tcPr>
          <w:p w14:paraId="587786AE">
            <w:pPr>
              <w:spacing w:before="147"/>
              <w:ind w:left="2332" w:right="2218" w:firstLine="422"/>
              <w:jc w:val="center"/>
              <w:rPr>
                <w:rFonts w:ascii="Times New Roman" w:hAnsi="Times New Roman" w:cs="Times New Roman"/>
                <w:b/>
              </w:rPr>
            </w:pPr>
            <w:r>
              <w:rPr>
                <w:rFonts w:ascii="Times New Roman" w:hAnsi="Times New Roman" w:cs="Times New Roman"/>
                <w:b/>
              </w:rPr>
              <w:t>评审标准</w:t>
            </w:r>
          </w:p>
        </w:tc>
      </w:tr>
      <w:tr w14:paraId="0C63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372" w:type="pct"/>
            <w:vAlign w:val="center"/>
          </w:tcPr>
          <w:p w14:paraId="6C46DD7B">
            <w:pPr>
              <w:jc w:val="center"/>
              <w:rPr>
                <w:rFonts w:ascii="Times New Roman" w:hAnsi="Times New Roman" w:cs="Times New Roman"/>
              </w:rPr>
            </w:pPr>
            <w:r>
              <w:rPr>
                <w:rFonts w:ascii="Times New Roman" w:hAnsi="Times New Roman" w:cs="Times New Roman"/>
              </w:rPr>
              <w:t>1</w:t>
            </w:r>
          </w:p>
        </w:tc>
        <w:tc>
          <w:tcPr>
            <w:tcW w:w="576" w:type="pct"/>
            <w:vAlign w:val="center"/>
          </w:tcPr>
          <w:p w14:paraId="75AB9F9B">
            <w:pPr>
              <w:jc w:val="center"/>
              <w:rPr>
                <w:rFonts w:ascii="Times New Roman" w:hAnsi="Times New Roman" w:cs="Times New Roman"/>
              </w:rPr>
            </w:pPr>
            <w:r>
              <w:rPr>
                <w:rFonts w:ascii="Times New Roman" w:hAnsi="Times New Roman" w:cs="Times New Roman"/>
              </w:rPr>
              <w:t>评标办法</w:t>
            </w:r>
          </w:p>
        </w:tc>
        <w:tc>
          <w:tcPr>
            <w:tcW w:w="864" w:type="pct"/>
            <w:vAlign w:val="center"/>
          </w:tcPr>
          <w:p w14:paraId="5416FB1D">
            <w:pPr>
              <w:jc w:val="center"/>
              <w:rPr>
                <w:rFonts w:ascii="Times New Roman" w:hAnsi="Times New Roman" w:cs="Times New Roman"/>
              </w:rPr>
            </w:pPr>
            <w:r>
              <w:rPr>
                <w:rFonts w:ascii="Times New Roman" w:hAnsi="Times New Roman" w:cs="Times New Roman"/>
              </w:rPr>
              <w:t>成交候选人排序方法</w:t>
            </w:r>
          </w:p>
        </w:tc>
        <w:tc>
          <w:tcPr>
            <w:tcW w:w="3187" w:type="pct"/>
          </w:tcPr>
          <w:p w14:paraId="10AC607A">
            <w:pPr>
              <w:widowControl/>
              <w:adjustRightInd w:val="0"/>
              <w:snapToGrid w:val="0"/>
              <w:rPr>
                <w:rFonts w:ascii="Times New Roman" w:hAnsi="Times New Roman" w:cs="Times New Roman"/>
              </w:rPr>
            </w:pPr>
            <w:r>
              <w:rPr>
                <w:rFonts w:ascii="Times New Roman" w:hAnsi="Times New Roman" w:cs="Times New Roman"/>
              </w:rPr>
              <w:t>按综合得分由高到低的顺序依次推荐成交候选人：</w:t>
            </w:r>
          </w:p>
          <w:p w14:paraId="3FFDF319">
            <w:pPr>
              <w:widowControl/>
              <w:adjustRightInd w:val="0"/>
              <w:snapToGrid w:val="0"/>
              <w:rPr>
                <w:rFonts w:ascii="Times New Roman" w:hAnsi="Times New Roman" w:cs="Times New Roman"/>
                <w:sz w:val="20"/>
              </w:rPr>
            </w:pPr>
            <w:r>
              <w:rPr>
                <w:rFonts w:ascii="Times New Roman" w:hAnsi="Times New Roman" w:cs="Times New Roman"/>
              </w:rPr>
              <w:t>当综合得分相等时，以评审价得分高的优先；评审价得分也相等的，以递交响应文件在前的优先。</w:t>
            </w:r>
          </w:p>
        </w:tc>
      </w:tr>
    </w:tbl>
    <w:p w14:paraId="702A600A">
      <w:pPr>
        <w:spacing w:after="120"/>
        <w:ind w:firstLine="480"/>
        <w:rPr>
          <w:rFonts w:ascii="Times New Roman" w:hAnsi="Times New Roman" w:cs="Times New Roman"/>
          <w:bCs/>
          <w:szCs w:val="21"/>
        </w:rPr>
      </w:pPr>
    </w:p>
    <w:tbl>
      <w:tblPr>
        <w:tblStyle w:val="29"/>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1061"/>
        <w:gridCol w:w="1656"/>
        <w:gridCol w:w="5985"/>
      </w:tblGrid>
      <w:tr w14:paraId="63AB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31" w:type="pct"/>
            <w:gridSpan w:val="2"/>
            <w:vAlign w:val="center"/>
          </w:tcPr>
          <w:p w14:paraId="24B355A6">
            <w:pPr>
              <w:widowControl/>
              <w:spacing w:line="360" w:lineRule="atLeast"/>
              <w:ind w:firstLine="422"/>
              <w:jc w:val="center"/>
              <w:rPr>
                <w:rFonts w:ascii="Times New Roman" w:hAnsi="Times New Roman" w:cs="Times New Roman"/>
                <w:szCs w:val="21"/>
              </w:rPr>
            </w:pPr>
            <w:r>
              <w:rPr>
                <w:rFonts w:ascii="Times New Roman" w:hAnsi="Times New Roman" w:cs="Times New Roman"/>
                <w:b/>
                <w:bCs/>
                <w:szCs w:val="21"/>
              </w:rPr>
              <w:t>条款号</w:t>
            </w:r>
          </w:p>
        </w:tc>
        <w:tc>
          <w:tcPr>
            <w:tcW w:w="882" w:type="pct"/>
            <w:vAlign w:val="center"/>
          </w:tcPr>
          <w:p w14:paraId="0EE97815">
            <w:pPr>
              <w:widowControl/>
              <w:spacing w:line="360" w:lineRule="atLeast"/>
              <w:ind w:firstLine="422"/>
              <w:jc w:val="center"/>
              <w:rPr>
                <w:rFonts w:ascii="Times New Roman" w:hAnsi="Times New Roman" w:cs="Times New Roman"/>
                <w:szCs w:val="21"/>
              </w:rPr>
            </w:pPr>
            <w:r>
              <w:rPr>
                <w:rFonts w:ascii="Times New Roman" w:hAnsi="Times New Roman" w:cs="Times New Roman"/>
                <w:b/>
                <w:bCs/>
                <w:szCs w:val="21"/>
              </w:rPr>
              <w:t>评审因素</w:t>
            </w:r>
          </w:p>
        </w:tc>
        <w:tc>
          <w:tcPr>
            <w:tcW w:w="3187" w:type="pct"/>
            <w:vAlign w:val="center"/>
          </w:tcPr>
          <w:p w14:paraId="2DB068A4">
            <w:pPr>
              <w:widowControl/>
              <w:spacing w:line="360" w:lineRule="atLeast"/>
              <w:ind w:firstLine="422"/>
              <w:jc w:val="center"/>
              <w:rPr>
                <w:rFonts w:ascii="Times New Roman" w:hAnsi="Times New Roman" w:cs="Times New Roman"/>
                <w:szCs w:val="21"/>
              </w:rPr>
            </w:pPr>
            <w:r>
              <w:rPr>
                <w:rFonts w:ascii="Times New Roman" w:hAnsi="Times New Roman" w:cs="Times New Roman"/>
                <w:b/>
                <w:bCs/>
                <w:szCs w:val="21"/>
              </w:rPr>
              <w:t>评审标准</w:t>
            </w:r>
          </w:p>
        </w:tc>
      </w:tr>
      <w:tr w14:paraId="70D2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restart"/>
            <w:vAlign w:val="center"/>
          </w:tcPr>
          <w:p w14:paraId="35EE8C6E">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2.1.1</w:t>
            </w:r>
          </w:p>
        </w:tc>
        <w:tc>
          <w:tcPr>
            <w:tcW w:w="565" w:type="pct"/>
            <w:vMerge w:val="restart"/>
            <w:vAlign w:val="center"/>
          </w:tcPr>
          <w:p w14:paraId="1B8E2238">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形式评审标准</w:t>
            </w:r>
          </w:p>
        </w:tc>
        <w:tc>
          <w:tcPr>
            <w:tcW w:w="882" w:type="pct"/>
            <w:tcMar>
              <w:left w:w="75" w:type="dxa"/>
            </w:tcMar>
            <w:vAlign w:val="center"/>
          </w:tcPr>
          <w:p w14:paraId="36C3720C">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供应商名称</w:t>
            </w:r>
          </w:p>
        </w:tc>
        <w:tc>
          <w:tcPr>
            <w:tcW w:w="3187" w:type="pct"/>
            <w:tcMar>
              <w:left w:w="75" w:type="dxa"/>
            </w:tcMar>
            <w:vAlign w:val="center"/>
          </w:tcPr>
          <w:p w14:paraId="02FAF694">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与营业执照、资质证书（如有）一致</w:t>
            </w:r>
          </w:p>
        </w:tc>
      </w:tr>
      <w:tr w14:paraId="08CB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4AE57550">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5FD25640">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2343CD70">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响应文件格式</w:t>
            </w:r>
          </w:p>
        </w:tc>
        <w:tc>
          <w:tcPr>
            <w:tcW w:w="3187" w:type="pct"/>
            <w:tcMar>
              <w:left w:w="75" w:type="dxa"/>
            </w:tcMar>
            <w:vAlign w:val="center"/>
          </w:tcPr>
          <w:p w14:paraId="7B2D02A6">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符合第六章“响应文件格式”的规定，关键字迹清晰可辨</w:t>
            </w:r>
          </w:p>
        </w:tc>
      </w:tr>
      <w:tr w14:paraId="2C86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02F98153">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38E2F9A9">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76909E30">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签名盖章</w:t>
            </w:r>
          </w:p>
        </w:tc>
        <w:tc>
          <w:tcPr>
            <w:tcW w:w="3187" w:type="pct"/>
            <w:tcMar>
              <w:left w:w="75" w:type="dxa"/>
            </w:tcMar>
            <w:vAlign w:val="center"/>
          </w:tcPr>
          <w:p w14:paraId="25118775">
            <w:pPr>
              <w:widowControl/>
              <w:adjustRightInd w:val="0"/>
              <w:snapToGrid w:val="0"/>
              <w:spacing w:line="360" w:lineRule="atLeast"/>
              <w:rPr>
                <w:rFonts w:ascii="Times New Roman" w:hAnsi="Times New Roman" w:cs="Times New Roman"/>
                <w:szCs w:val="21"/>
              </w:rPr>
            </w:pPr>
            <w:r>
              <w:rPr>
                <w:rFonts w:ascii="Times New Roman" w:hAnsi="Times New Roman" w:cs="Times New Roman"/>
                <w:bCs/>
                <w:szCs w:val="21"/>
              </w:rPr>
              <w:t>符合第二章“供应商须知”第3.6.3项的规定</w:t>
            </w:r>
          </w:p>
        </w:tc>
      </w:tr>
      <w:tr w14:paraId="7CD8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Align w:val="center"/>
          </w:tcPr>
          <w:p w14:paraId="398E3821">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2.1.2</w:t>
            </w:r>
          </w:p>
        </w:tc>
        <w:tc>
          <w:tcPr>
            <w:tcW w:w="565" w:type="pct"/>
            <w:vAlign w:val="center"/>
          </w:tcPr>
          <w:p w14:paraId="200C0FE6">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资格评审标准</w:t>
            </w:r>
          </w:p>
        </w:tc>
        <w:tc>
          <w:tcPr>
            <w:tcW w:w="882" w:type="pct"/>
            <w:tcMar>
              <w:left w:w="75" w:type="dxa"/>
            </w:tcMar>
            <w:vAlign w:val="center"/>
          </w:tcPr>
          <w:p w14:paraId="09CAB017">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资质条件、能力、信誉及其他要求</w:t>
            </w:r>
          </w:p>
        </w:tc>
        <w:tc>
          <w:tcPr>
            <w:tcW w:w="3187" w:type="pct"/>
            <w:tcMar>
              <w:left w:w="75" w:type="dxa"/>
            </w:tcMar>
            <w:vAlign w:val="center"/>
          </w:tcPr>
          <w:p w14:paraId="3FD22B69">
            <w:pPr>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符合第二章“供应商须知”第1.2.1项规定</w:t>
            </w:r>
          </w:p>
        </w:tc>
      </w:tr>
      <w:tr w14:paraId="2761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restart"/>
            <w:vAlign w:val="center"/>
          </w:tcPr>
          <w:p w14:paraId="0E0812A0">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2.1.3</w:t>
            </w:r>
          </w:p>
        </w:tc>
        <w:tc>
          <w:tcPr>
            <w:tcW w:w="565" w:type="pct"/>
            <w:vMerge w:val="restart"/>
            <w:vAlign w:val="center"/>
          </w:tcPr>
          <w:p w14:paraId="66BF4B3B">
            <w:pPr>
              <w:widowControl/>
              <w:adjustRightInd w:val="0"/>
              <w:snapToGrid w:val="0"/>
              <w:spacing w:line="360" w:lineRule="atLeast"/>
              <w:jc w:val="center"/>
              <w:rPr>
                <w:rFonts w:ascii="Times New Roman" w:hAnsi="Times New Roman" w:cs="Times New Roman"/>
                <w:szCs w:val="21"/>
              </w:rPr>
            </w:pPr>
            <w:r>
              <w:rPr>
                <w:rFonts w:ascii="Times New Roman" w:hAnsi="Times New Roman" w:cs="Times New Roman"/>
                <w:szCs w:val="21"/>
              </w:rPr>
              <w:t>响应性评审标准</w:t>
            </w:r>
          </w:p>
        </w:tc>
        <w:tc>
          <w:tcPr>
            <w:tcW w:w="882" w:type="pct"/>
            <w:tcMar>
              <w:left w:w="75" w:type="dxa"/>
            </w:tcMar>
            <w:vAlign w:val="center"/>
          </w:tcPr>
          <w:p w14:paraId="53B5FEBC">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报价内容</w:t>
            </w:r>
          </w:p>
        </w:tc>
        <w:tc>
          <w:tcPr>
            <w:tcW w:w="3187" w:type="pct"/>
            <w:tcMar>
              <w:left w:w="75" w:type="dxa"/>
            </w:tcMar>
            <w:vAlign w:val="center"/>
          </w:tcPr>
          <w:p w14:paraId="07FA4625">
            <w:pPr>
              <w:widowControl/>
              <w:adjustRightInd w:val="0"/>
              <w:snapToGrid w:val="0"/>
              <w:spacing w:line="360" w:lineRule="atLeast"/>
              <w:rPr>
                <w:rFonts w:ascii="Times New Roman" w:hAnsi="Times New Roman" w:cs="Times New Roman"/>
                <w:szCs w:val="21"/>
              </w:rPr>
            </w:pPr>
            <w:r>
              <w:rPr>
                <w:rFonts w:ascii="Times New Roman" w:hAnsi="Times New Roman" w:cs="Times New Roman"/>
              </w:rPr>
              <w:t>符合第一章“</w:t>
            </w:r>
            <w:r>
              <w:rPr>
                <w:rFonts w:ascii="Times New Roman" w:hAnsi="Times New Roman" w:cs="Times New Roman"/>
                <w:szCs w:val="21"/>
              </w:rPr>
              <w:t>采购公告/采购邀请书</w:t>
            </w:r>
            <w:r>
              <w:rPr>
                <w:rFonts w:ascii="Times New Roman" w:hAnsi="Times New Roman" w:cs="Times New Roman"/>
              </w:rPr>
              <w:t>”规定</w:t>
            </w:r>
          </w:p>
        </w:tc>
      </w:tr>
      <w:tr w14:paraId="4CD3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6AAC1419">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668C000F">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23EB3EC1">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服务期</w:t>
            </w:r>
          </w:p>
        </w:tc>
        <w:tc>
          <w:tcPr>
            <w:tcW w:w="3187" w:type="pct"/>
            <w:tcMar>
              <w:left w:w="75" w:type="dxa"/>
            </w:tcMar>
            <w:vAlign w:val="center"/>
          </w:tcPr>
          <w:p w14:paraId="12D33CE5">
            <w:pPr>
              <w:widowControl/>
              <w:adjustRightInd w:val="0"/>
              <w:snapToGrid w:val="0"/>
              <w:spacing w:line="360" w:lineRule="atLeast"/>
              <w:rPr>
                <w:rFonts w:ascii="Times New Roman" w:hAnsi="Times New Roman" w:cs="Times New Roman"/>
                <w:szCs w:val="21"/>
              </w:rPr>
            </w:pPr>
            <w:r>
              <w:rPr>
                <w:rFonts w:ascii="Times New Roman" w:hAnsi="Times New Roman" w:cs="Times New Roman"/>
              </w:rPr>
              <w:t>符合第一章“</w:t>
            </w:r>
            <w:r>
              <w:rPr>
                <w:rFonts w:ascii="Times New Roman" w:hAnsi="Times New Roman" w:cs="Times New Roman"/>
                <w:szCs w:val="21"/>
              </w:rPr>
              <w:t>采购公告/采购邀请书</w:t>
            </w:r>
            <w:r>
              <w:rPr>
                <w:rFonts w:ascii="Times New Roman" w:hAnsi="Times New Roman" w:cs="Times New Roman"/>
              </w:rPr>
              <w:t>”规定</w:t>
            </w:r>
          </w:p>
        </w:tc>
      </w:tr>
      <w:tr w14:paraId="60EB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76912F6D">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3AD55E9C">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269B63CF">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质量要求</w:t>
            </w:r>
          </w:p>
        </w:tc>
        <w:tc>
          <w:tcPr>
            <w:tcW w:w="3187" w:type="pct"/>
            <w:tcMar>
              <w:left w:w="75" w:type="dxa"/>
            </w:tcMar>
            <w:vAlign w:val="center"/>
          </w:tcPr>
          <w:p w14:paraId="3250CD93">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符合第二章“供应商须知”第1.1.1项规定</w:t>
            </w:r>
          </w:p>
        </w:tc>
      </w:tr>
      <w:tr w14:paraId="1AA9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3BB33F15">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6687D2E1">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03B2022B">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响应有效期</w:t>
            </w:r>
          </w:p>
        </w:tc>
        <w:tc>
          <w:tcPr>
            <w:tcW w:w="3187" w:type="pct"/>
            <w:tcMar>
              <w:left w:w="75" w:type="dxa"/>
            </w:tcMar>
            <w:vAlign w:val="center"/>
          </w:tcPr>
          <w:p w14:paraId="5F09EBD5">
            <w:pPr>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符合第二章“供应商须知”第3.3.1项规定</w:t>
            </w:r>
          </w:p>
        </w:tc>
      </w:tr>
      <w:tr w14:paraId="08D2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69B37DEA">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25F26190">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5E9585D6">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响应保证金</w:t>
            </w:r>
          </w:p>
        </w:tc>
        <w:tc>
          <w:tcPr>
            <w:tcW w:w="3187" w:type="pct"/>
            <w:tcMar>
              <w:left w:w="75" w:type="dxa"/>
            </w:tcMar>
            <w:vAlign w:val="center"/>
          </w:tcPr>
          <w:p w14:paraId="293C493F">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符合第二章“供应商须知”第3.4.1项规定</w:t>
            </w:r>
          </w:p>
        </w:tc>
      </w:tr>
      <w:tr w14:paraId="1A09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17810663">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4BDEC4C7">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3C2FE4B4">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权利义务</w:t>
            </w:r>
          </w:p>
        </w:tc>
        <w:tc>
          <w:tcPr>
            <w:tcW w:w="3187" w:type="pct"/>
            <w:tcMar>
              <w:left w:w="75" w:type="dxa"/>
            </w:tcMar>
            <w:vAlign w:val="center"/>
          </w:tcPr>
          <w:p w14:paraId="1465A223">
            <w:pPr>
              <w:widowControl/>
              <w:adjustRightInd w:val="0"/>
              <w:snapToGrid w:val="0"/>
              <w:spacing w:line="360" w:lineRule="atLeast"/>
              <w:rPr>
                <w:rFonts w:ascii="Times New Roman" w:hAnsi="Times New Roman" w:cs="Times New Roman"/>
                <w:szCs w:val="21"/>
              </w:rPr>
            </w:pPr>
            <w:r>
              <w:rPr>
                <w:rFonts w:ascii="Times New Roman" w:hAnsi="Times New Roman" w:cs="Times New Roman"/>
                <w:bCs/>
                <w:szCs w:val="21"/>
              </w:rPr>
              <w:t>符合询比文件规定</w:t>
            </w:r>
          </w:p>
        </w:tc>
      </w:tr>
      <w:tr w14:paraId="75C4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076C48A3">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602B49F6">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77C15DC5">
            <w:pPr>
              <w:widowControl/>
              <w:adjustRightInd w:val="0"/>
              <w:snapToGrid w:val="0"/>
              <w:spacing w:line="360" w:lineRule="atLeast"/>
              <w:rPr>
                <w:rFonts w:ascii="Times New Roman" w:hAnsi="Times New Roman" w:cs="Times New Roman"/>
                <w:bCs/>
                <w:szCs w:val="21"/>
              </w:rPr>
            </w:pPr>
            <w:r>
              <w:rPr>
                <w:rFonts w:ascii="Times New Roman" w:hAnsi="Times New Roman" w:cs="Times New Roman"/>
                <w:bCs/>
                <w:szCs w:val="21"/>
              </w:rPr>
              <w:t>询比文件的获取</w:t>
            </w:r>
          </w:p>
        </w:tc>
        <w:tc>
          <w:tcPr>
            <w:tcW w:w="3187" w:type="pct"/>
            <w:tcMar>
              <w:left w:w="75" w:type="dxa"/>
            </w:tcMar>
            <w:vAlign w:val="center"/>
          </w:tcPr>
          <w:p w14:paraId="503754FD">
            <w:pPr>
              <w:widowControl/>
              <w:adjustRightInd w:val="0"/>
              <w:snapToGrid w:val="0"/>
              <w:spacing w:line="360" w:lineRule="atLeast"/>
              <w:rPr>
                <w:rFonts w:ascii="Times New Roman" w:hAnsi="Times New Roman" w:cs="Times New Roman"/>
                <w:bCs/>
                <w:szCs w:val="21"/>
              </w:rPr>
            </w:pPr>
            <w:r>
              <w:rPr>
                <w:rFonts w:ascii="Times New Roman" w:hAnsi="Times New Roman" w:cs="Times New Roman"/>
                <w:bCs/>
                <w:szCs w:val="21"/>
              </w:rPr>
              <w:t>符合</w:t>
            </w:r>
            <w:r>
              <w:rPr>
                <w:rFonts w:ascii="Times New Roman" w:hAnsi="Times New Roman" w:cs="Times New Roman"/>
              </w:rPr>
              <w:t>第一章“</w:t>
            </w:r>
            <w:r>
              <w:rPr>
                <w:rFonts w:ascii="Times New Roman" w:hAnsi="Times New Roman" w:cs="Times New Roman"/>
                <w:szCs w:val="21"/>
              </w:rPr>
              <w:t>采购公告/采购邀请书</w:t>
            </w:r>
            <w:r>
              <w:rPr>
                <w:rFonts w:ascii="Times New Roman" w:hAnsi="Times New Roman" w:cs="Times New Roman"/>
              </w:rPr>
              <w:t>”</w:t>
            </w:r>
            <w:r>
              <w:rPr>
                <w:rFonts w:ascii="Times New Roman" w:hAnsi="Times New Roman" w:cs="Times New Roman"/>
                <w:bCs/>
                <w:szCs w:val="21"/>
              </w:rPr>
              <w:t>规定</w:t>
            </w:r>
          </w:p>
        </w:tc>
      </w:tr>
      <w:tr w14:paraId="58B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053DEB38">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33758236">
            <w:pPr>
              <w:widowControl/>
              <w:adjustRightInd w:val="0"/>
              <w:snapToGrid w:val="0"/>
              <w:spacing w:line="360" w:lineRule="atLeast"/>
              <w:jc w:val="center"/>
              <w:rPr>
                <w:rFonts w:ascii="Times New Roman" w:hAnsi="Times New Roman" w:cs="Times New Roman"/>
                <w:szCs w:val="21"/>
              </w:rPr>
            </w:pPr>
          </w:p>
        </w:tc>
        <w:tc>
          <w:tcPr>
            <w:tcW w:w="882" w:type="pct"/>
            <w:tcBorders>
              <w:top w:val="single" w:color="auto" w:sz="4" w:space="0"/>
              <w:left w:val="single" w:color="auto" w:sz="4" w:space="0"/>
              <w:right w:val="single" w:color="auto" w:sz="4" w:space="0"/>
            </w:tcBorders>
            <w:tcMar>
              <w:left w:w="75" w:type="dxa"/>
            </w:tcMar>
            <w:vAlign w:val="center"/>
          </w:tcPr>
          <w:p w14:paraId="3E11144E">
            <w:pPr>
              <w:widowControl/>
              <w:adjustRightInd w:val="0"/>
              <w:snapToGrid w:val="0"/>
              <w:spacing w:line="360" w:lineRule="atLeast"/>
              <w:rPr>
                <w:rFonts w:ascii="Times New Roman" w:hAnsi="Times New Roman" w:cs="Times New Roman"/>
                <w:bCs/>
                <w:szCs w:val="21"/>
              </w:rPr>
            </w:pPr>
            <w:r>
              <w:rPr>
                <w:rFonts w:ascii="Times New Roman" w:hAnsi="Times New Roman" w:cs="Times New Roman"/>
                <w:bCs/>
                <w:szCs w:val="21"/>
              </w:rPr>
              <w:t>联合体</w:t>
            </w:r>
          </w:p>
        </w:tc>
        <w:tc>
          <w:tcPr>
            <w:tcW w:w="3187" w:type="pct"/>
            <w:tcBorders>
              <w:top w:val="outset" w:color="auto" w:sz="6" w:space="0"/>
              <w:left w:val="single" w:color="auto" w:sz="4" w:space="0"/>
              <w:right w:val="outset" w:color="auto" w:sz="6" w:space="0"/>
            </w:tcBorders>
            <w:tcMar>
              <w:left w:w="75" w:type="dxa"/>
            </w:tcMar>
            <w:vAlign w:val="center"/>
          </w:tcPr>
          <w:p w14:paraId="3044C124">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未以联合体形式报价</w:t>
            </w:r>
          </w:p>
        </w:tc>
      </w:tr>
      <w:tr w14:paraId="1B56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48C8AE3B">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55D0E732">
            <w:pPr>
              <w:widowControl/>
              <w:adjustRightInd w:val="0"/>
              <w:snapToGrid w:val="0"/>
              <w:spacing w:line="360" w:lineRule="atLeast"/>
              <w:jc w:val="center"/>
              <w:rPr>
                <w:rFonts w:ascii="Times New Roman" w:hAnsi="Times New Roman" w:cs="Times New Roman"/>
                <w:szCs w:val="21"/>
              </w:rPr>
            </w:pPr>
          </w:p>
        </w:tc>
        <w:tc>
          <w:tcPr>
            <w:tcW w:w="882" w:type="pct"/>
            <w:tcBorders>
              <w:top w:val="single" w:color="auto" w:sz="4" w:space="0"/>
              <w:left w:val="single" w:color="auto" w:sz="4" w:space="0"/>
              <w:right w:val="single" w:color="auto" w:sz="4" w:space="0"/>
            </w:tcBorders>
            <w:tcMar>
              <w:left w:w="75" w:type="dxa"/>
            </w:tcMar>
            <w:vAlign w:val="center"/>
          </w:tcPr>
          <w:p w14:paraId="4A425A3B">
            <w:pPr>
              <w:widowControl/>
              <w:adjustRightInd w:val="0"/>
              <w:snapToGrid w:val="0"/>
              <w:spacing w:line="360" w:lineRule="atLeast"/>
              <w:rPr>
                <w:rFonts w:ascii="Times New Roman" w:hAnsi="Times New Roman" w:cs="Times New Roman"/>
                <w:szCs w:val="21"/>
              </w:rPr>
            </w:pPr>
            <w:r>
              <w:rPr>
                <w:rFonts w:ascii="Times New Roman" w:hAnsi="Times New Roman" w:cs="Times New Roman"/>
                <w:bCs/>
                <w:szCs w:val="21"/>
              </w:rPr>
              <w:t>分包</w:t>
            </w:r>
          </w:p>
        </w:tc>
        <w:tc>
          <w:tcPr>
            <w:tcW w:w="3187" w:type="pct"/>
            <w:tcBorders>
              <w:top w:val="outset" w:color="auto" w:sz="6" w:space="0"/>
              <w:left w:val="single" w:color="auto" w:sz="4" w:space="0"/>
              <w:right w:val="outset" w:color="auto" w:sz="6" w:space="0"/>
            </w:tcBorders>
            <w:tcMar>
              <w:left w:w="75" w:type="dxa"/>
            </w:tcMar>
            <w:vAlign w:val="center"/>
          </w:tcPr>
          <w:p w14:paraId="6E8C66F1">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没有分包</w:t>
            </w:r>
          </w:p>
        </w:tc>
      </w:tr>
      <w:tr w14:paraId="7DCC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520D718D">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68CA15C5">
            <w:pPr>
              <w:widowControl/>
              <w:adjustRightInd w:val="0"/>
              <w:snapToGrid w:val="0"/>
              <w:spacing w:line="360" w:lineRule="atLeast"/>
              <w:jc w:val="center"/>
              <w:rPr>
                <w:rFonts w:ascii="Times New Roman" w:hAnsi="Times New Roman" w:cs="Times New Roman"/>
                <w:szCs w:val="21"/>
              </w:rPr>
            </w:pPr>
          </w:p>
        </w:tc>
        <w:tc>
          <w:tcPr>
            <w:tcW w:w="882" w:type="pct"/>
            <w:tcBorders>
              <w:top w:val="single" w:color="auto" w:sz="4" w:space="0"/>
              <w:left w:val="single" w:color="auto" w:sz="4" w:space="0"/>
              <w:right w:val="single" w:color="auto" w:sz="4" w:space="0"/>
            </w:tcBorders>
            <w:tcMar>
              <w:left w:w="75" w:type="dxa"/>
            </w:tcMar>
            <w:vAlign w:val="center"/>
          </w:tcPr>
          <w:p w14:paraId="2BB227D2">
            <w:pPr>
              <w:widowControl/>
              <w:adjustRightInd w:val="0"/>
              <w:snapToGrid w:val="0"/>
              <w:spacing w:line="360" w:lineRule="atLeast"/>
              <w:rPr>
                <w:rFonts w:ascii="Times New Roman" w:hAnsi="Times New Roman" w:cs="Times New Roman"/>
                <w:bCs/>
                <w:szCs w:val="21"/>
              </w:rPr>
            </w:pPr>
            <w:r>
              <w:rPr>
                <w:rFonts w:ascii="Times New Roman" w:hAnsi="Times New Roman" w:cs="Times New Roman"/>
                <w:szCs w:val="21"/>
              </w:rPr>
              <w:t>报价</w:t>
            </w:r>
          </w:p>
        </w:tc>
        <w:tc>
          <w:tcPr>
            <w:tcW w:w="3187" w:type="pct"/>
            <w:tcBorders>
              <w:top w:val="outset" w:color="auto" w:sz="6" w:space="0"/>
              <w:left w:val="single" w:color="auto" w:sz="4" w:space="0"/>
              <w:right w:val="outset" w:color="auto" w:sz="6" w:space="0"/>
            </w:tcBorders>
            <w:tcMar>
              <w:left w:w="75" w:type="dxa"/>
            </w:tcMar>
            <w:vAlign w:val="center"/>
          </w:tcPr>
          <w:p w14:paraId="6CAE636D">
            <w:pPr>
              <w:widowControl/>
              <w:adjustRightInd w:val="0"/>
              <w:snapToGrid w:val="0"/>
              <w:spacing w:line="360" w:lineRule="atLeast"/>
              <w:rPr>
                <w:rFonts w:ascii="Times New Roman" w:hAnsi="Times New Roman" w:cs="Times New Roman"/>
              </w:rPr>
            </w:pPr>
            <w:r>
              <w:rPr>
                <w:rFonts w:ascii="Times New Roman" w:hAnsi="Times New Roman" w:cs="Times New Roman"/>
              </w:rPr>
              <w:t>（1）报价未超过询比文件设定的最高限价。</w:t>
            </w:r>
          </w:p>
          <w:p w14:paraId="79293904">
            <w:pPr>
              <w:widowControl/>
              <w:adjustRightInd w:val="0"/>
              <w:snapToGrid w:val="0"/>
              <w:spacing w:line="360" w:lineRule="atLeast"/>
              <w:rPr>
                <w:rFonts w:ascii="Times New Roman" w:hAnsi="Times New Roman" w:cs="Times New Roman"/>
              </w:rPr>
            </w:pPr>
            <w:r>
              <w:rPr>
                <w:rFonts w:ascii="Times New Roman" w:hAnsi="Times New Roman" w:cs="Times New Roman"/>
              </w:rPr>
              <w:t>（2）已标价的报价清单总报价和报价函的报价一致（四舍五入除外）。</w:t>
            </w:r>
          </w:p>
          <w:p w14:paraId="3D7D485D">
            <w:pPr>
              <w:widowControl/>
              <w:adjustRightInd w:val="0"/>
              <w:snapToGrid w:val="0"/>
              <w:spacing w:line="360" w:lineRule="atLeast"/>
              <w:rPr>
                <w:rFonts w:ascii="Times New Roman" w:hAnsi="Times New Roman" w:cs="Times New Roman"/>
              </w:rPr>
            </w:pPr>
            <w:r>
              <w:rPr>
                <w:rFonts w:ascii="Times New Roman" w:hAnsi="Times New Roman" w:cs="Times New Roman"/>
              </w:rPr>
              <w:t>（3）报价的大写数值能确定具体数值，未出现数量级错误、报价金额单位错误。</w:t>
            </w:r>
          </w:p>
          <w:p w14:paraId="0A4DDFA5">
            <w:pPr>
              <w:widowControl/>
              <w:adjustRightInd w:val="0"/>
              <w:snapToGrid w:val="0"/>
              <w:spacing w:line="360" w:lineRule="atLeast"/>
              <w:rPr>
                <w:rFonts w:ascii="Times New Roman" w:hAnsi="Times New Roman" w:cs="Times New Roman"/>
              </w:rPr>
            </w:pPr>
            <w:r>
              <w:rPr>
                <w:rFonts w:ascii="Times New Roman" w:hAnsi="Times New Roman" w:cs="Times New Roman"/>
              </w:rPr>
              <w:t>（4）同一供应商未递交两个以上不同的报价。</w:t>
            </w:r>
          </w:p>
          <w:p w14:paraId="688977D5">
            <w:pPr>
              <w:widowControl/>
              <w:adjustRightInd w:val="0"/>
              <w:snapToGrid w:val="0"/>
              <w:spacing w:line="360" w:lineRule="atLeast"/>
              <w:rPr>
                <w:rFonts w:ascii="Times New Roman" w:hAnsi="Times New Roman" w:cs="Times New Roman"/>
              </w:rPr>
            </w:pPr>
            <w:r>
              <w:rPr>
                <w:rFonts w:ascii="Times New Roman" w:hAnsi="Times New Roman" w:cs="Times New Roman"/>
              </w:rPr>
              <w:t>（5）供应商按采购人提供的书面报价清单填写了报价，且未修改报价清单说明、数量等实质性内容。</w:t>
            </w:r>
          </w:p>
          <w:p w14:paraId="7CC71DBC">
            <w:pPr>
              <w:widowControl/>
              <w:adjustRightInd w:val="0"/>
              <w:snapToGrid w:val="0"/>
              <w:spacing w:line="360" w:lineRule="atLeast"/>
              <w:rPr>
                <w:rFonts w:ascii="Times New Roman" w:hAnsi="Times New Roman" w:cs="Times New Roman"/>
              </w:rPr>
            </w:pPr>
            <w:r>
              <w:rPr>
                <w:rFonts w:ascii="Times New Roman" w:hAnsi="Times New Roman" w:cs="Times New Roman"/>
              </w:rPr>
              <w:t>（6）已标价</w:t>
            </w:r>
            <w:r>
              <w:rPr>
                <w:rFonts w:ascii="Times New Roman" w:hAnsi="Times New Roman" w:cs="Times New Roman"/>
                <w:szCs w:val="21"/>
              </w:rPr>
              <w:t>报价清单中未更改询比文件确定的暂列金额。</w:t>
            </w:r>
          </w:p>
        </w:tc>
      </w:tr>
      <w:tr w14:paraId="39C3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vMerge w:val="continue"/>
            <w:vAlign w:val="center"/>
          </w:tcPr>
          <w:p w14:paraId="336409C4">
            <w:pPr>
              <w:widowControl/>
              <w:adjustRightInd w:val="0"/>
              <w:snapToGrid w:val="0"/>
              <w:spacing w:line="360" w:lineRule="atLeast"/>
              <w:jc w:val="center"/>
              <w:rPr>
                <w:rFonts w:ascii="Times New Roman" w:hAnsi="Times New Roman" w:cs="Times New Roman"/>
                <w:szCs w:val="21"/>
              </w:rPr>
            </w:pPr>
          </w:p>
        </w:tc>
        <w:tc>
          <w:tcPr>
            <w:tcW w:w="565" w:type="pct"/>
            <w:vMerge w:val="continue"/>
            <w:vAlign w:val="center"/>
          </w:tcPr>
          <w:p w14:paraId="1FD76CA9">
            <w:pPr>
              <w:widowControl/>
              <w:adjustRightInd w:val="0"/>
              <w:snapToGrid w:val="0"/>
              <w:spacing w:line="360" w:lineRule="atLeast"/>
              <w:jc w:val="center"/>
              <w:rPr>
                <w:rFonts w:ascii="Times New Roman" w:hAnsi="Times New Roman" w:cs="Times New Roman"/>
                <w:szCs w:val="21"/>
              </w:rPr>
            </w:pPr>
          </w:p>
        </w:tc>
        <w:tc>
          <w:tcPr>
            <w:tcW w:w="882" w:type="pct"/>
            <w:tcMar>
              <w:left w:w="75" w:type="dxa"/>
            </w:tcMar>
            <w:vAlign w:val="center"/>
          </w:tcPr>
          <w:p w14:paraId="26705BAC">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其他实质性要求</w:t>
            </w:r>
          </w:p>
        </w:tc>
        <w:tc>
          <w:tcPr>
            <w:tcW w:w="3187" w:type="pct"/>
            <w:tcMar>
              <w:left w:w="75" w:type="dxa"/>
            </w:tcMar>
            <w:vAlign w:val="center"/>
          </w:tcPr>
          <w:p w14:paraId="3F79ABE1">
            <w:pPr>
              <w:widowControl/>
              <w:adjustRightInd w:val="0"/>
              <w:snapToGrid w:val="0"/>
              <w:spacing w:line="360" w:lineRule="atLeast"/>
              <w:rPr>
                <w:rFonts w:ascii="Times New Roman" w:hAnsi="Times New Roman" w:cs="Times New Roman"/>
                <w:szCs w:val="21"/>
              </w:rPr>
            </w:pPr>
            <w:r>
              <w:rPr>
                <w:rFonts w:ascii="Times New Roman" w:hAnsi="Times New Roman" w:cs="Times New Roman"/>
                <w:szCs w:val="21"/>
              </w:rPr>
              <w:t>符合询比文件的其他实质性要求和条件</w:t>
            </w:r>
          </w:p>
        </w:tc>
      </w:tr>
    </w:tbl>
    <w:p w14:paraId="20157513">
      <w:pPr>
        <w:ind w:firstLine="482"/>
        <w:rPr>
          <w:rFonts w:ascii="Times New Roman" w:hAnsi="Times New Roman" w:cs="Times New Roman"/>
          <w:sz w:val="24"/>
        </w:rPr>
      </w:pPr>
    </w:p>
    <w:p w14:paraId="723916E4">
      <w:pPr>
        <w:rPr>
          <w:rFonts w:ascii="Times New Roman" w:hAnsi="Times New Roman" w:cs="Times New Roman"/>
          <w:sz w:val="24"/>
        </w:rPr>
      </w:pPr>
    </w:p>
    <w:p w14:paraId="1330237D">
      <w:pPr>
        <w:spacing w:after="312" w:afterLines="100" w:line="420" w:lineRule="exact"/>
        <w:jc w:val="center"/>
        <w:rPr>
          <w:rFonts w:ascii="Times New Roman" w:hAnsi="Times New Roman" w:eastAsia="黑体" w:cs="Times New Roman"/>
          <w:sz w:val="28"/>
          <w:szCs w:val="28"/>
        </w:rPr>
      </w:pPr>
    </w:p>
    <w:tbl>
      <w:tblPr>
        <w:tblStyle w:val="29"/>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1196"/>
        <w:gridCol w:w="1344"/>
        <w:gridCol w:w="4949"/>
      </w:tblGrid>
      <w:tr w14:paraId="28F61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609" w:type="pct"/>
            <w:vAlign w:val="center"/>
          </w:tcPr>
          <w:p w14:paraId="38CE3339">
            <w:pPr>
              <w:spacing w:line="360" w:lineRule="exact"/>
              <w:ind w:left="105" w:leftChars="50" w:right="105" w:rightChars="50"/>
              <w:jc w:val="center"/>
              <w:rPr>
                <w:rFonts w:ascii="Times New Roman" w:hAnsi="Times New Roman" w:cs="Times New Roman"/>
                <w:b/>
                <w:szCs w:val="21"/>
              </w:rPr>
            </w:pPr>
            <w:r>
              <w:rPr>
                <w:rFonts w:ascii="Times New Roman" w:hAnsi="Times New Roman" w:cs="Times New Roman"/>
                <w:b/>
                <w:szCs w:val="21"/>
              </w:rPr>
              <w:t>条款号</w:t>
            </w:r>
          </w:p>
        </w:tc>
        <w:tc>
          <w:tcPr>
            <w:tcW w:w="1489" w:type="pct"/>
            <w:gridSpan w:val="2"/>
            <w:vAlign w:val="center"/>
          </w:tcPr>
          <w:p w14:paraId="598FF01E">
            <w:pPr>
              <w:spacing w:line="360" w:lineRule="exact"/>
              <w:ind w:left="105" w:leftChars="50" w:right="105" w:rightChars="50"/>
              <w:jc w:val="center"/>
              <w:rPr>
                <w:rFonts w:ascii="Times New Roman" w:hAnsi="Times New Roman" w:cs="Times New Roman"/>
                <w:b/>
                <w:szCs w:val="21"/>
              </w:rPr>
            </w:pPr>
            <w:r>
              <w:rPr>
                <w:rFonts w:ascii="Times New Roman" w:hAnsi="Times New Roman" w:cs="Times New Roman"/>
                <w:b/>
                <w:szCs w:val="21"/>
              </w:rPr>
              <w:t>条款内容</w:t>
            </w:r>
          </w:p>
        </w:tc>
        <w:tc>
          <w:tcPr>
            <w:tcW w:w="2901" w:type="pct"/>
            <w:vAlign w:val="center"/>
          </w:tcPr>
          <w:p w14:paraId="01FB83A5">
            <w:pPr>
              <w:spacing w:line="360" w:lineRule="exact"/>
              <w:ind w:left="105" w:leftChars="50" w:right="105" w:rightChars="50"/>
              <w:jc w:val="center"/>
              <w:rPr>
                <w:rFonts w:ascii="Times New Roman" w:hAnsi="Times New Roman" w:cs="Times New Roman"/>
                <w:b/>
                <w:szCs w:val="21"/>
              </w:rPr>
            </w:pPr>
            <w:r>
              <w:rPr>
                <w:rFonts w:ascii="Times New Roman" w:hAnsi="Times New Roman" w:cs="Times New Roman"/>
                <w:b/>
                <w:szCs w:val="21"/>
              </w:rPr>
              <w:t>编列内容</w:t>
            </w:r>
          </w:p>
        </w:tc>
      </w:tr>
      <w:tr w14:paraId="2F456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Align w:val="center"/>
          </w:tcPr>
          <w:p w14:paraId="039551B6">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2.2.1</w:t>
            </w:r>
          </w:p>
        </w:tc>
        <w:tc>
          <w:tcPr>
            <w:tcW w:w="1489" w:type="pct"/>
            <w:gridSpan w:val="2"/>
            <w:vAlign w:val="center"/>
          </w:tcPr>
          <w:p w14:paraId="126C5882">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分值构成</w:t>
            </w:r>
          </w:p>
          <w:p w14:paraId="618C3F34">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总分100分</w:t>
            </w:r>
          </w:p>
        </w:tc>
        <w:tc>
          <w:tcPr>
            <w:tcW w:w="2901" w:type="pct"/>
            <w:vAlign w:val="center"/>
          </w:tcPr>
          <w:p w14:paraId="5C618EC6">
            <w:pPr>
              <w:spacing w:line="360" w:lineRule="exact"/>
              <w:ind w:right="105" w:rightChars="50"/>
              <w:rPr>
                <w:rFonts w:ascii="Times New Roman" w:hAnsi="Times New Roman" w:cs="Times New Roman"/>
                <w:szCs w:val="21"/>
              </w:rPr>
            </w:pPr>
            <w:r>
              <w:rPr>
                <w:rFonts w:ascii="Times New Roman" w:hAnsi="Times New Roman" w:cs="Times New Roman"/>
                <w:szCs w:val="21"/>
              </w:rPr>
              <w:t>响应报价：30分</w:t>
            </w:r>
          </w:p>
          <w:p w14:paraId="25AF1673">
            <w:pPr>
              <w:spacing w:line="360" w:lineRule="exact"/>
              <w:ind w:right="105" w:rightChars="50"/>
              <w:rPr>
                <w:rFonts w:ascii="Times New Roman" w:hAnsi="Times New Roman" w:cs="Times New Roman"/>
                <w:szCs w:val="21"/>
              </w:rPr>
            </w:pPr>
            <w:r>
              <w:rPr>
                <w:rFonts w:ascii="Times New Roman" w:hAnsi="Times New Roman" w:cs="Times New Roman"/>
                <w:szCs w:val="21"/>
              </w:rPr>
              <w:t>商务部分：</w:t>
            </w:r>
            <w:r>
              <w:rPr>
                <w:rFonts w:hint="eastAsia" w:ascii="Times New Roman" w:hAnsi="Times New Roman" w:cs="Times New Roman"/>
                <w:szCs w:val="21"/>
              </w:rPr>
              <w:t>2</w:t>
            </w:r>
            <w:r>
              <w:rPr>
                <w:rFonts w:ascii="Times New Roman" w:hAnsi="Times New Roman" w:cs="Times New Roman"/>
                <w:szCs w:val="21"/>
              </w:rPr>
              <w:t>0分</w:t>
            </w:r>
          </w:p>
          <w:p w14:paraId="48FD0F6C">
            <w:pPr>
              <w:spacing w:line="360" w:lineRule="exact"/>
              <w:ind w:right="105" w:rightChars="50"/>
              <w:rPr>
                <w:rFonts w:ascii="Times New Roman" w:hAnsi="Times New Roman" w:cs="Times New Roman"/>
                <w:szCs w:val="21"/>
              </w:rPr>
            </w:pPr>
            <w:r>
              <w:rPr>
                <w:rFonts w:ascii="Times New Roman" w:hAnsi="Times New Roman" w:cs="Times New Roman"/>
                <w:szCs w:val="21"/>
              </w:rPr>
              <w:t>技术部分：</w:t>
            </w:r>
            <w:r>
              <w:rPr>
                <w:rFonts w:hint="eastAsia" w:ascii="Times New Roman" w:hAnsi="Times New Roman" w:cs="Times New Roman"/>
                <w:szCs w:val="21"/>
              </w:rPr>
              <w:t>5</w:t>
            </w:r>
            <w:r>
              <w:rPr>
                <w:rFonts w:ascii="Times New Roman" w:hAnsi="Times New Roman" w:cs="Times New Roman"/>
                <w:szCs w:val="21"/>
              </w:rPr>
              <w:t>0分</w:t>
            </w:r>
          </w:p>
        </w:tc>
      </w:tr>
      <w:tr w14:paraId="798BFE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Align w:val="center"/>
          </w:tcPr>
          <w:p w14:paraId="157F700E">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2.2.2</w:t>
            </w:r>
          </w:p>
        </w:tc>
        <w:tc>
          <w:tcPr>
            <w:tcW w:w="1489" w:type="pct"/>
            <w:gridSpan w:val="2"/>
            <w:vAlign w:val="center"/>
          </w:tcPr>
          <w:p w14:paraId="54FA8255">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评审基准价计算方法</w:t>
            </w:r>
          </w:p>
        </w:tc>
        <w:tc>
          <w:tcPr>
            <w:tcW w:w="2901" w:type="pct"/>
            <w:vAlign w:val="center"/>
          </w:tcPr>
          <w:p w14:paraId="2966C807">
            <w:pPr>
              <w:spacing w:line="360" w:lineRule="atLeast"/>
              <w:rPr>
                <w:rFonts w:ascii="Times New Roman" w:hAnsi="Times New Roman" w:cs="Times New Roman"/>
                <w:szCs w:val="21"/>
              </w:rPr>
            </w:pPr>
            <w:r>
              <w:rPr>
                <w:rFonts w:ascii="Times New Roman" w:hAnsi="Times New Roman" w:cs="Times New Roman"/>
                <w:szCs w:val="21"/>
              </w:rPr>
              <w:t>评审基准价的计算：</w:t>
            </w:r>
          </w:p>
          <w:p w14:paraId="67148384">
            <w:pPr>
              <w:spacing w:line="360" w:lineRule="atLeast"/>
              <w:rPr>
                <w:rFonts w:ascii="Times New Roman" w:hAnsi="Times New Roman" w:cs="Times New Roman"/>
                <w:szCs w:val="21"/>
              </w:rPr>
            </w:pPr>
            <w:r>
              <w:rPr>
                <w:rFonts w:ascii="Times New Roman" w:hAnsi="Times New Roman" w:cs="Times New Roman"/>
                <w:szCs w:val="21"/>
              </w:rPr>
              <w:t>（1）评审价的确定：</w:t>
            </w:r>
          </w:p>
          <w:p w14:paraId="19064A07">
            <w:pPr>
              <w:spacing w:line="360" w:lineRule="atLeast"/>
              <w:rPr>
                <w:rFonts w:ascii="Times New Roman" w:hAnsi="Times New Roman" w:cs="Times New Roman"/>
                <w:szCs w:val="21"/>
              </w:rPr>
            </w:pPr>
            <w:r>
              <w:rPr>
                <w:rFonts w:ascii="Times New Roman" w:hAnsi="Times New Roman" w:cs="Times New Roman"/>
                <w:szCs w:val="21"/>
              </w:rPr>
              <w:t>评审价＝修正后的报价</w:t>
            </w:r>
          </w:p>
          <w:p w14:paraId="2152B7AD">
            <w:pPr>
              <w:spacing w:line="360" w:lineRule="atLeast"/>
              <w:rPr>
                <w:rFonts w:ascii="Times New Roman" w:hAnsi="Times New Roman" w:cs="Times New Roman"/>
                <w:szCs w:val="21"/>
              </w:rPr>
            </w:pPr>
            <w:r>
              <w:rPr>
                <w:rFonts w:ascii="Times New Roman" w:hAnsi="Times New Roman" w:cs="Times New Roman"/>
                <w:szCs w:val="21"/>
              </w:rPr>
              <w:t>（2）评审基准价的计算：</w:t>
            </w:r>
          </w:p>
          <w:p w14:paraId="7D5D261C">
            <w:pPr>
              <w:spacing w:line="360" w:lineRule="atLeast"/>
              <w:rPr>
                <w:rFonts w:ascii="Times New Roman" w:hAnsi="Times New Roman" w:cs="Times New Roman"/>
                <w:szCs w:val="21"/>
              </w:rPr>
            </w:pPr>
            <w:r>
              <w:rPr>
                <w:rFonts w:ascii="Times New Roman" w:hAnsi="Times New Roman" w:cs="Times New Roman"/>
                <w:szCs w:val="21"/>
              </w:rPr>
              <w:t>所有通过初步评审的供应商的评审价去掉一个最高值和一个最低值后的算术平均值即为评审基准价（如果参与评审价平均值计算的有效供应商少于5家时，则计算评审价平均值时不去掉最高值和最低值）。</w:t>
            </w:r>
          </w:p>
        </w:tc>
      </w:tr>
      <w:tr w14:paraId="327738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Align w:val="center"/>
          </w:tcPr>
          <w:p w14:paraId="0AA3D873">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2.2.3</w:t>
            </w:r>
          </w:p>
        </w:tc>
        <w:tc>
          <w:tcPr>
            <w:tcW w:w="1489" w:type="pct"/>
            <w:gridSpan w:val="2"/>
            <w:vAlign w:val="center"/>
          </w:tcPr>
          <w:p w14:paraId="4AB3793C">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响应报价的偏差率计算公式</w:t>
            </w:r>
          </w:p>
        </w:tc>
        <w:tc>
          <w:tcPr>
            <w:tcW w:w="2901" w:type="pct"/>
            <w:vAlign w:val="center"/>
          </w:tcPr>
          <w:p w14:paraId="623EDB3F">
            <w:pPr>
              <w:spacing w:line="360" w:lineRule="exact"/>
              <w:ind w:right="105" w:rightChars="50"/>
              <w:rPr>
                <w:rFonts w:ascii="Times New Roman" w:hAnsi="Times New Roman" w:cs="Times New Roman"/>
                <w:szCs w:val="21"/>
              </w:rPr>
            </w:pPr>
            <w:r>
              <w:rPr>
                <w:rFonts w:ascii="Times New Roman" w:hAnsi="Times New Roman" w:cs="Times New Roman"/>
                <w:szCs w:val="21"/>
              </w:rPr>
              <w:t>偏差率=100%×（供应商的响应报价－评审基准价）/评审基准价</w:t>
            </w:r>
          </w:p>
          <w:p w14:paraId="206DE1AC">
            <w:pPr>
              <w:spacing w:line="360" w:lineRule="exact"/>
              <w:ind w:right="105" w:rightChars="50"/>
              <w:rPr>
                <w:rFonts w:ascii="Times New Roman" w:hAnsi="Times New Roman" w:cs="Times New Roman"/>
                <w:szCs w:val="21"/>
              </w:rPr>
            </w:pPr>
            <w:r>
              <w:rPr>
                <w:rFonts w:ascii="Times New Roman" w:hAnsi="Times New Roman" w:cs="Times New Roman"/>
                <w:szCs w:val="21"/>
              </w:rPr>
              <w:t>百分率计算结果保留小数点后两位，小数点后第三位四舍五入，即为*.**%。</w:t>
            </w:r>
          </w:p>
        </w:tc>
      </w:tr>
      <w:tr w14:paraId="3FB6D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6" w:hRule="exact"/>
        </w:trPr>
        <w:tc>
          <w:tcPr>
            <w:tcW w:w="609" w:type="pct"/>
            <w:vAlign w:val="center"/>
          </w:tcPr>
          <w:p w14:paraId="22C0AA53">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条款号</w:t>
            </w:r>
          </w:p>
        </w:tc>
        <w:tc>
          <w:tcPr>
            <w:tcW w:w="1489" w:type="pct"/>
            <w:gridSpan w:val="2"/>
            <w:vAlign w:val="center"/>
          </w:tcPr>
          <w:p w14:paraId="545301BA">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评分因素</w:t>
            </w:r>
          </w:p>
        </w:tc>
        <w:tc>
          <w:tcPr>
            <w:tcW w:w="2901" w:type="pct"/>
            <w:vAlign w:val="center"/>
          </w:tcPr>
          <w:p w14:paraId="0F7612AB">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评分标准</w:t>
            </w:r>
          </w:p>
        </w:tc>
      </w:tr>
      <w:tr w14:paraId="7D6AA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Align w:val="center"/>
          </w:tcPr>
          <w:p w14:paraId="63ADFBC8">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2.2.4（1）</w:t>
            </w:r>
          </w:p>
        </w:tc>
        <w:tc>
          <w:tcPr>
            <w:tcW w:w="1489" w:type="pct"/>
            <w:gridSpan w:val="2"/>
            <w:vAlign w:val="center"/>
          </w:tcPr>
          <w:p w14:paraId="24A10984">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响应报价</w:t>
            </w:r>
          </w:p>
          <w:p w14:paraId="50F6C8F8">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（30分）</w:t>
            </w:r>
          </w:p>
        </w:tc>
        <w:tc>
          <w:tcPr>
            <w:tcW w:w="2901" w:type="pct"/>
            <w:vAlign w:val="center"/>
          </w:tcPr>
          <w:p w14:paraId="2688BEE4">
            <w:pPr>
              <w:rPr>
                <w:rFonts w:ascii="Times New Roman" w:hAnsi="Times New Roman" w:cs="Times New Roman"/>
                <w:szCs w:val="21"/>
              </w:rPr>
            </w:pPr>
            <w:r>
              <w:rPr>
                <w:rFonts w:ascii="Times New Roman" w:hAnsi="Times New Roman" w:cs="Times New Roman"/>
                <w:szCs w:val="21"/>
              </w:rPr>
              <w:t>响应报价得分计算公式：</w:t>
            </w:r>
          </w:p>
          <w:p w14:paraId="671000C6">
            <w:pPr>
              <w:rPr>
                <w:rFonts w:ascii="Times New Roman" w:hAnsi="Times New Roman" w:cs="Times New Roman"/>
                <w:szCs w:val="21"/>
              </w:rPr>
            </w:pPr>
            <w:r>
              <w:rPr>
                <w:rFonts w:ascii="Times New Roman" w:hAnsi="Times New Roman" w:cs="Times New Roman"/>
                <w:szCs w:val="21"/>
              </w:rPr>
              <w:t>（1）如果供应商的评审价</w:t>
            </w:r>
            <w:r>
              <w:rPr>
                <w:rFonts w:ascii="Times New Roman" w:hAnsi="Times New Roman" w:eastAsia="微软雅黑" w:cs="Times New Roman"/>
                <w:szCs w:val="21"/>
              </w:rPr>
              <w:t>&gt;</w:t>
            </w:r>
            <w:r>
              <w:rPr>
                <w:rFonts w:ascii="Times New Roman" w:hAnsi="Times New Roman" w:cs="Times New Roman"/>
                <w:szCs w:val="21"/>
              </w:rPr>
              <w:t>评审基准价，则响应报价得分＝30－偏差率×100×0.3；</w:t>
            </w:r>
          </w:p>
          <w:p w14:paraId="6BFAA4DD">
            <w:pPr>
              <w:rPr>
                <w:rFonts w:ascii="Times New Roman" w:hAnsi="Times New Roman" w:cs="Times New Roman"/>
                <w:szCs w:val="21"/>
              </w:rPr>
            </w:pPr>
            <w:r>
              <w:rPr>
                <w:rFonts w:ascii="Times New Roman" w:hAnsi="Times New Roman" w:cs="Times New Roman"/>
                <w:szCs w:val="21"/>
              </w:rPr>
              <w:t>（2）如果供应商的评审价≤评审基准价，则响应报价得分＝30</w:t>
            </w:r>
            <w:r>
              <w:rPr>
                <w:rFonts w:hint="eastAsia" w:ascii="Times New Roman" w:hAnsi="Times New Roman" w:cs="Times New Roman"/>
                <w:szCs w:val="21"/>
                <w:lang w:val="en-US" w:eastAsia="zh-CN"/>
              </w:rPr>
              <w:t>-</w:t>
            </w:r>
            <w:r>
              <w:rPr>
                <w:rFonts w:ascii="Times New Roman" w:hAnsi="Times New Roman" w:cs="Times New Roman"/>
                <w:szCs w:val="21"/>
              </w:rPr>
              <w:t>偏差率×100×0.2。</w:t>
            </w:r>
          </w:p>
          <w:p w14:paraId="09939292">
            <w:pPr>
              <w:rPr>
                <w:rFonts w:ascii="Times New Roman" w:hAnsi="Times New Roman" w:cs="Times New Roman"/>
                <w:szCs w:val="21"/>
              </w:rPr>
            </w:pPr>
            <w:r>
              <w:rPr>
                <w:rFonts w:ascii="Times New Roman" w:hAnsi="Times New Roman" w:cs="Times New Roman"/>
                <w:szCs w:val="21"/>
              </w:rPr>
              <w:t>评审价不得负分，且得分保留两位小数。</w:t>
            </w:r>
          </w:p>
        </w:tc>
      </w:tr>
      <w:tr w14:paraId="4E11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7" w:hRule="atLeast"/>
        </w:trPr>
        <w:tc>
          <w:tcPr>
            <w:tcW w:w="609" w:type="pct"/>
            <w:vMerge w:val="restart"/>
            <w:vAlign w:val="center"/>
          </w:tcPr>
          <w:p w14:paraId="00ABA479">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2.2.4（2）</w:t>
            </w:r>
          </w:p>
        </w:tc>
        <w:tc>
          <w:tcPr>
            <w:tcW w:w="701" w:type="pct"/>
            <w:vMerge w:val="restart"/>
            <w:shd w:val="clear" w:color="auto" w:fill="auto"/>
            <w:vAlign w:val="center"/>
          </w:tcPr>
          <w:p w14:paraId="53D1538E">
            <w:pPr>
              <w:spacing w:line="360" w:lineRule="exact"/>
              <w:ind w:left="105" w:leftChars="50" w:right="105" w:rightChars="50"/>
              <w:rPr>
                <w:rFonts w:ascii="Times New Roman" w:hAnsi="Times New Roman" w:cs="Times New Roman"/>
                <w:szCs w:val="21"/>
              </w:rPr>
            </w:pPr>
            <w:r>
              <w:rPr>
                <w:rFonts w:ascii="Times New Roman" w:hAnsi="Times New Roman" w:cs="Times New Roman"/>
                <w:szCs w:val="21"/>
              </w:rPr>
              <w:t>商务部分评分标准</w:t>
            </w:r>
          </w:p>
          <w:p w14:paraId="207F3EC3">
            <w:pPr>
              <w:spacing w:line="360" w:lineRule="exact"/>
              <w:ind w:left="105" w:leftChars="50" w:right="105" w:rightChars="5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0分）</w:t>
            </w:r>
          </w:p>
        </w:tc>
        <w:tc>
          <w:tcPr>
            <w:tcW w:w="787" w:type="pct"/>
            <w:shd w:val="clear" w:color="auto" w:fill="auto"/>
            <w:vAlign w:val="center"/>
          </w:tcPr>
          <w:p w14:paraId="0ED714D2">
            <w:pPr>
              <w:spacing w:line="360" w:lineRule="exact"/>
              <w:ind w:right="105" w:rightChars="50"/>
              <w:jc w:val="center"/>
              <w:rPr>
                <w:rFonts w:ascii="Times New Roman" w:hAnsi="Times New Roman" w:cs="Times New Roman"/>
                <w:szCs w:val="21"/>
              </w:rPr>
            </w:pPr>
            <w:r>
              <w:rPr>
                <w:rFonts w:hint="eastAsia" w:ascii="Times New Roman" w:hAnsi="Times New Roman" w:cs="Times New Roman"/>
                <w:szCs w:val="21"/>
              </w:rPr>
              <w:t>企业资信</w:t>
            </w:r>
          </w:p>
          <w:p w14:paraId="6CCC53C5">
            <w:pPr>
              <w:spacing w:line="360" w:lineRule="exact"/>
              <w:ind w:right="105" w:rightChars="50"/>
              <w:jc w:val="center"/>
              <w:rPr>
                <w:rFonts w:ascii="Times New Roman" w:hAnsi="Times New Roman" w:cs="Times New Roman"/>
                <w:szCs w:val="21"/>
              </w:rPr>
            </w:pPr>
            <w:r>
              <w:rPr>
                <w:rFonts w:hint="eastAsia" w:ascii="Times New Roman" w:hAnsi="Times New Roman" w:cs="Times New Roman"/>
                <w:szCs w:val="21"/>
              </w:rPr>
              <w:t>（4分）</w:t>
            </w:r>
          </w:p>
        </w:tc>
        <w:tc>
          <w:tcPr>
            <w:tcW w:w="2901" w:type="pct"/>
            <w:vAlign w:val="center"/>
          </w:tcPr>
          <w:p w14:paraId="7C11B31B">
            <w:pPr>
              <w:spacing w:line="360" w:lineRule="exact"/>
              <w:ind w:right="105" w:rightChars="5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供应商具有</w:t>
            </w:r>
            <w:r>
              <w:rPr>
                <w:rFonts w:hint="eastAsia" w:ascii="Times New Roman" w:hAnsi="Times New Roman" w:cs="Times New Roman"/>
                <w:szCs w:val="21"/>
              </w:rPr>
              <w:t>ISO9001质量管理体系认证、ISO27001信息安全管理体系证书、质量信用等级认证证书AAAAA、</w:t>
            </w:r>
            <w:r>
              <w:rPr>
                <w:rFonts w:ascii="Times New Roman" w:hAnsi="Times New Roman" w:cs="Times New Roman"/>
                <w:szCs w:val="21"/>
              </w:rPr>
              <w:t>企业咨询管理服务能力等级证书国家一级</w:t>
            </w:r>
            <w:r>
              <w:rPr>
                <w:rFonts w:hint="eastAsia" w:ascii="Times New Roman" w:hAnsi="Times New Roman" w:cs="Times New Roman"/>
                <w:szCs w:val="21"/>
              </w:rPr>
              <w:t>，每个证书得1分，本项最高得4</w:t>
            </w:r>
            <w:r>
              <w:rPr>
                <w:rFonts w:ascii="Times New Roman" w:hAnsi="Times New Roman" w:cs="Times New Roman"/>
                <w:szCs w:val="21"/>
              </w:rPr>
              <w:t>分。</w:t>
            </w:r>
          </w:p>
        </w:tc>
      </w:tr>
      <w:tr w14:paraId="78F78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6" w:hRule="atLeast"/>
        </w:trPr>
        <w:tc>
          <w:tcPr>
            <w:tcW w:w="609" w:type="pct"/>
            <w:vMerge w:val="continue"/>
            <w:vAlign w:val="center"/>
          </w:tcPr>
          <w:p w14:paraId="6CD77A35">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21782B1B">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1A1A7B5C">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项目业绩</w:t>
            </w:r>
          </w:p>
          <w:p w14:paraId="3453F6C5">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10</w:t>
            </w:r>
            <w:r>
              <w:rPr>
                <w:rFonts w:ascii="Times New Roman" w:hAnsi="Times New Roman" w:cs="Times New Roman"/>
                <w:szCs w:val="21"/>
              </w:rPr>
              <w:t>分）</w:t>
            </w:r>
          </w:p>
        </w:tc>
        <w:tc>
          <w:tcPr>
            <w:tcW w:w="2901" w:type="pct"/>
            <w:vAlign w:val="center"/>
          </w:tcPr>
          <w:p w14:paraId="142EA9B4">
            <w:pPr>
              <w:spacing w:line="360" w:lineRule="exact"/>
              <w:ind w:right="105" w:rightChars="50"/>
              <w:rPr>
                <w:rFonts w:ascii="Times New Roman" w:hAnsi="Times New Roman" w:cs="Times New Roman"/>
                <w:szCs w:val="21"/>
              </w:rPr>
            </w:pPr>
            <w:r>
              <w:rPr>
                <w:rFonts w:ascii="Times New Roman" w:hAnsi="Times New Roman" w:cs="Times New Roman"/>
                <w:szCs w:val="21"/>
              </w:rPr>
              <w:t>供应商满足资格条件的，得基本分</w:t>
            </w:r>
            <w:r>
              <w:rPr>
                <w:rFonts w:hint="eastAsia" w:ascii="Times New Roman" w:hAnsi="Times New Roman" w:cs="Times New Roman"/>
                <w:szCs w:val="21"/>
              </w:rPr>
              <w:t>6</w:t>
            </w:r>
            <w:r>
              <w:rPr>
                <w:rFonts w:ascii="Times New Roman" w:hAnsi="Times New Roman" w:cs="Times New Roman"/>
                <w:szCs w:val="21"/>
              </w:rPr>
              <w:t>分。</w:t>
            </w:r>
          </w:p>
          <w:p w14:paraId="5D311277">
            <w:pPr>
              <w:spacing w:line="360" w:lineRule="exact"/>
              <w:ind w:right="105" w:rightChars="50"/>
              <w:rPr>
                <w:rFonts w:ascii="Times New Roman" w:hAnsi="Times New Roman" w:cs="Times New Roman"/>
                <w:szCs w:val="21"/>
              </w:rPr>
            </w:pPr>
            <w:r>
              <w:rPr>
                <w:rFonts w:ascii="Times New Roman" w:hAnsi="Times New Roman" w:cs="Times New Roman"/>
                <w:szCs w:val="21"/>
              </w:rPr>
              <w:t>2019年1月1日以来（以合同签订时间为准），供应商每增加一个的合同金额在</w:t>
            </w:r>
            <w:r>
              <w:rPr>
                <w:rFonts w:hint="eastAsia" w:ascii="Times New Roman" w:hAnsi="Times New Roman" w:cs="Times New Roman"/>
                <w:szCs w:val="21"/>
                <w:lang w:val="en-US" w:eastAsia="zh-CN"/>
              </w:rPr>
              <w:t>35</w:t>
            </w:r>
            <w:r>
              <w:rPr>
                <w:rFonts w:ascii="Times New Roman" w:hAnsi="Times New Roman" w:cs="Times New Roman"/>
                <w:szCs w:val="21"/>
              </w:rPr>
              <w:t>万元人民币</w:t>
            </w:r>
            <w:r>
              <w:rPr>
                <w:rFonts w:hint="eastAsia" w:ascii="Times New Roman" w:hAnsi="Times New Roman" w:cs="Times New Roman"/>
                <w:szCs w:val="21"/>
                <w:lang w:val="en-US" w:eastAsia="zh-CN"/>
              </w:rPr>
              <w:t>及以上</w:t>
            </w:r>
            <w:r>
              <w:rPr>
                <w:rFonts w:hint="eastAsia" w:ascii="Times New Roman" w:hAnsi="Times New Roman" w:cs="Times New Roman"/>
                <w:szCs w:val="21"/>
              </w:rPr>
              <w:t>的</w:t>
            </w:r>
            <w:r>
              <w:rPr>
                <w:rFonts w:hint="eastAsia"/>
                <w:lang w:val="en-US" w:eastAsia="zh-CN"/>
              </w:rPr>
              <w:t>建筑行业</w:t>
            </w:r>
            <w:r>
              <w:rPr>
                <w:rFonts w:ascii="Times New Roman" w:hAnsi="Times New Roman" w:cs="Times New Roman"/>
                <w:szCs w:val="21"/>
              </w:rPr>
              <w:t>企业</w:t>
            </w:r>
            <w:r>
              <w:rPr>
                <w:rFonts w:hint="eastAsia" w:ascii="Times New Roman" w:hAnsi="Times New Roman" w:cs="Times New Roman"/>
                <w:szCs w:val="21"/>
              </w:rPr>
              <w:t>战略规划</w:t>
            </w:r>
            <w:r>
              <w:rPr>
                <w:rFonts w:ascii="Times New Roman" w:hAnsi="Times New Roman" w:cs="Times New Roman"/>
                <w:szCs w:val="21"/>
              </w:rPr>
              <w:t>咨询项目业绩合同加</w:t>
            </w:r>
            <w:r>
              <w:rPr>
                <w:rFonts w:hint="eastAsia" w:ascii="Times New Roman" w:hAnsi="Times New Roman" w:cs="Times New Roman"/>
                <w:szCs w:val="21"/>
              </w:rPr>
              <w:t>2</w:t>
            </w:r>
            <w:r>
              <w:rPr>
                <w:rFonts w:ascii="Times New Roman" w:hAnsi="Times New Roman" w:cs="Times New Roman"/>
                <w:szCs w:val="21"/>
              </w:rPr>
              <w:t>分，最多加</w:t>
            </w:r>
            <w:r>
              <w:rPr>
                <w:rFonts w:hint="eastAsia" w:ascii="Times New Roman" w:hAnsi="Times New Roman" w:cs="Times New Roman"/>
                <w:szCs w:val="21"/>
              </w:rPr>
              <w:t>4</w:t>
            </w:r>
            <w:r>
              <w:rPr>
                <w:rFonts w:ascii="Times New Roman" w:hAnsi="Times New Roman" w:cs="Times New Roman"/>
                <w:szCs w:val="21"/>
              </w:rPr>
              <w:t>分。</w:t>
            </w:r>
          </w:p>
          <w:p w14:paraId="2D1E282A">
            <w:pPr>
              <w:spacing w:line="360" w:lineRule="exact"/>
              <w:ind w:right="105" w:rightChars="50"/>
              <w:rPr>
                <w:rFonts w:ascii="Times New Roman" w:hAnsi="Times New Roman" w:cs="Times New Roman"/>
                <w:b/>
                <w:bCs/>
                <w:szCs w:val="21"/>
              </w:rPr>
            </w:pPr>
            <w:r>
              <w:rPr>
                <w:rFonts w:ascii="Times New Roman" w:hAnsi="Times New Roman" w:cs="Times New Roman"/>
                <w:szCs w:val="21"/>
              </w:rPr>
              <w:t>注：</w:t>
            </w:r>
            <w:r>
              <w:rPr>
                <w:rFonts w:hint="eastAsia" w:ascii="Times New Roman" w:hAnsi="Times New Roman" w:cs="Times New Roman"/>
                <w:szCs w:val="21"/>
                <w:lang w:val="en-US" w:eastAsia="zh-CN"/>
              </w:rPr>
              <w:t>响应</w:t>
            </w:r>
            <w:r>
              <w:rPr>
                <w:rFonts w:ascii="Times New Roman" w:hAnsi="Times New Roman" w:cs="Times New Roman"/>
                <w:szCs w:val="21"/>
              </w:rPr>
              <w:t>文件中必须提供合同，合同中如无法反应评审信息还需提供业主加盖公章证明材料。</w:t>
            </w:r>
          </w:p>
        </w:tc>
      </w:tr>
      <w:tr w14:paraId="34FF8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continue"/>
            <w:vAlign w:val="center"/>
          </w:tcPr>
          <w:p w14:paraId="4C125F4B">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77DEABC4">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34707125">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项目团队</w:t>
            </w:r>
          </w:p>
          <w:p w14:paraId="58B1647E">
            <w:pPr>
              <w:pStyle w:val="38"/>
              <w:jc w:val="center"/>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6</w:t>
            </w:r>
            <w:r>
              <w:rPr>
                <w:rFonts w:ascii="Times New Roman" w:hAnsi="Times New Roman" w:cs="Times New Roman"/>
                <w:sz w:val="21"/>
                <w:szCs w:val="21"/>
              </w:rPr>
              <w:t>分）</w:t>
            </w:r>
          </w:p>
        </w:tc>
        <w:tc>
          <w:tcPr>
            <w:tcW w:w="2901" w:type="pct"/>
            <w:vAlign w:val="center"/>
          </w:tcPr>
          <w:p w14:paraId="28691DA0">
            <w:pPr>
              <w:spacing w:line="360" w:lineRule="exact"/>
              <w:ind w:right="105" w:rightChars="50"/>
              <w:rPr>
                <w:rFonts w:ascii="Times New Roman" w:hAnsi="Times New Roman" w:cs="Times New Roman"/>
                <w:szCs w:val="21"/>
              </w:rPr>
            </w:pPr>
            <w:r>
              <w:rPr>
                <w:rFonts w:ascii="Times New Roman" w:hAnsi="Times New Roman" w:cs="Times New Roman"/>
                <w:szCs w:val="21"/>
              </w:rPr>
              <w:t>供应商满足资格条件的，得基本分</w:t>
            </w:r>
            <w:r>
              <w:rPr>
                <w:rFonts w:hint="eastAsia" w:ascii="Times New Roman" w:hAnsi="Times New Roman" w:cs="Times New Roman"/>
                <w:szCs w:val="21"/>
              </w:rPr>
              <w:t>3</w:t>
            </w:r>
            <w:r>
              <w:rPr>
                <w:rFonts w:ascii="Times New Roman" w:hAnsi="Times New Roman" w:cs="Times New Roman"/>
                <w:szCs w:val="21"/>
              </w:rPr>
              <w:t>分。</w:t>
            </w:r>
          </w:p>
          <w:p w14:paraId="63A25385">
            <w:pPr>
              <w:pStyle w:val="38"/>
              <w:spacing w:line="360" w:lineRule="exact"/>
              <w:rPr>
                <w:rFonts w:ascii="Times New Roman" w:hAnsi="Times New Roman" w:cs="Times New Roman"/>
                <w:sz w:val="21"/>
                <w:szCs w:val="21"/>
              </w:rPr>
            </w:pPr>
            <w:r>
              <w:rPr>
                <w:rFonts w:ascii="Times New Roman" w:hAnsi="Times New Roman" w:cs="Times New Roman"/>
                <w:sz w:val="21"/>
                <w:szCs w:val="21"/>
              </w:rPr>
              <w:t>1.项目负责人具有硕士及以上学历的，得1分。</w:t>
            </w:r>
          </w:p>
          <w:p w14:paraId="656B11B2">
            <w:pPr>
              <w:pStyle w:val="38"/>
              <w:spacing w:line="360" w:lineRule="exact"/>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项目团队成员（项目负责人除外），每一人具有</w:t>
            </w:r>
            <w:r>
              <w:rPr>
                <w:rFonts w:ascii="Times New Roman" w:hAnsi="Times New Roman" w:cs="Times New Roman"/>
                <w:sz w:val="21"/>
                <w:szCs w:val="21"/>
              </w:rPr>
              <w:t>企业</w:t>
            </w:r>
            <w:r>
              <w:rPr>
                <w:rFonts w:hint="eastAsia" w:ascii="Times New Roman" w:hAnsi="Times New Roman" w:cs="Times New Roman"/>
                <w:sz w:val="21"/>
                <w:szCs w:val="21"/>
              </w:rPr>
              <w:t>战略规划</w:t>
            </w:r>
            <w:r>
              <w:rPr>
                <w:rFonts w:ascii="Times New Roman" w:hAnsi="Times New Roman" w:cs="Times New Roman"/>
                <w:sz w:val="21"/>
                <w:szCs w:val="21"/>
              </w:rPr>
              <w:t>咨询项目</w:t>
            </w:r>
            <w:r>
              <w:rPr>
                <w:rFonts w:hint="eastAsia" w:ascii="Times New Roman" w:hAnsi="Times New Roman" w:cs="Times New Roman"/>
                <w:sz w:val="21"/>
                <w:szCs w:val="21"/>
              </w:rPr>
              <w:t>经验加1分，最多加2分</w:t>
            </w:r>
            <w:r>
              <w:rPr>
                <w:rFonts w:ascii="Times New Roman" w:hAnsi="Times New Roman" w:cs="Times New Roman"/>
                <w:sz w:val="21"/>
                <w:szCs w:val="21"/>
              </w:rPr>
              <w:t>。</w:t>
            </w:r>
          </w:p>
          <w:p w14:paraId="5792C795">
            <w:pPr>
              <w:pStyle w:val="38"/>
              <w:spacing w:line="360" w:lineRule="exact"/>
              <w:rPr>
                <w:rFonts w:ascii="Times New Roman" w:hAnsi="Times New Roman" w:cs="Times New Roman"/>
                <w:b/>
                <w:bCs/>
                <w:sz w:val="21"/>
                <w:szCs w:val="21"/>
              </w:rPr>
            </w:pPr>
            <w:r>
              <w:rPr>
                <w:rFonts w:ascii="Times New Roman" w:hAnsi="Times New Roman" w:cs="Times New Roman"/>
                <w:sz w:val="21"/>
                <w:szCs w:val="21"/>
              </w:rPr>
              <w:t>注：提供上述对应服务团队人员的学历证书</w:t>
            </w:r>
            <w:r>
              <w:rPr>
                <w:rFonts w:hint="eastAsia" w:ascii="Times New Roman" w:hAnsi="Times New Roman" w:cs="Times New Roman"/>
                <w:sz w:val="21"/>
                <w:szCs w:val="21"/>
              </w:rPr>
              <w:t>、业绩证明材料（合同或甲方出具的证明材料）。</w:t>
            </w:r>
          </w:p>
        </w:tc>
      </w:tr>
      <w:tr w14:paraId="1CB732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restart"/>
            <w:vAlign w:val="center"/>
          </w:tcPr>
          <w:p w14:paraId="5D8B8B64">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2.2.4（3）</w:t>
            </w:r>
          </w:p>
        </w:tc>
        <w:tc>
          <w:tcPr>
            <w:tcW w:w="701" w:type="pct"/>
            <w:vMerge w:val="restart"/>
            <w:shd w:val="clear" w:color="auto" w:fill="auto"/>
            <w:vAlign w:val="center"/>
          </w:tcPr>
          <w:p w14:paraId="4D6F6906">
            <w:pPr>
              <w:spacing w:line="360" w:lineRule="exact"/>
              <w:ind w:left="105" w:leftChars="50" w:right="105" w:rightChars="50"/>
              <w:jc w:val="center"/>
              <w:rPr>
                <w:rFonts w:ascii="Times New Roman" w:hAnsi="Times New Roman" w:cs="Times New Roman"/>
                <w:szCs w:val="21"/>
              </w:rPr>
            </w:pPr>
            <w:r>
              <w:rPr>
                <w:rFonts w:ascii="Times New Roman" w:hAnsi="Times New Roman" w:cs="Times New Roman"/>
                <w:szCs w:val="21"/>
              </w:rPr>
              <w:t>技术部分评分标准</w:t>
            </w:r>
          </w:p>
          <w:p w14:paraId="461CE206">
            <w:pPr>
              <w:spacing w:line="360" w:lineRule="exact"/>
              <w:ind w:left="105" w:leftChars="50" w:right="105" w:rightChars="50"/>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0分</w:t>
            </w:r>
          </w:p>
        </w:tc>
        <w:tc>
          <w:tcPr>
            <w:tcW w:w="787" w:type="pct"/>
            <w:shd w:val="clear" w:color="auto" w:fill="auto"/>
            <w:vAlign w:val="center"/>
          </w:tcPr>
          <w:p w14:paraId="5D17C7A9">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需求分析</w:t>
            </w:r>
          </w:p>
          <w:p w14:paraId="7453832C">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分）</w:t>
            </w:r>
          </w:p>
        </w:tc>
        <w:tc>
          <w:tcPr>
            <w:tcW w:w="2901" w:type="pct"/>
            <w:vAlign w:val="center"/>
          </w:tcPr>
          <w:p w14:paraId="42DC1496">
            <w:pPr>
              <w:spacing w:line="360" w:lineRule="exact"/>
              <w:ind w:right="105" w:rightChars="50"/>
              <w:rPr>
                <w:rFonts w:ascii="Times New Roman" w:hAnsi="Times New Roman" w:cs="Times New Roman"/>
                <w:szCs w:val="21"/>
              </w:rPr>
            </w:pPr>
            <w:r>
              <w:rPr>
                <w:rFonts w:ascii="Times New Roman" w:hAnsi="Times New Roman" w:cs="Times New Roman"/>
                <w:szCs w:val="21"/>
              </w:rPr>
              <w:t>提供了需求分析的，得基本分</w:t>
            </w:r>
            <w:r>
              <w:rPr>
                <w:rFonts w:hint="eastAsia" w:ascii="Times New Roman" w:hAnsi="Times New Roman" w:cs="Times New Roman"/>
                <w:szCs w:val="21"/>
                <w:lang w:val="en-US" w:eastAsia="zh-CN"/>
              </w:rPr>
              <w:t>3</w:t>
            </w:r>
            <w:r>
              <w:rPr>
                <w:rFonts w:ascii="Times New Roman" w:hAnsi="Times New Roman" w:cs="Times New Roman"/>
                <w:szCs w:val="21"/>
              </w:rPr>
              <w:t>分。</w:t>
            </w:r>
          </w:p>
          <w:p w14:paraId="100EA406">
            <w:pPr>
              <w:spacing w:line="360" w:lineRule="exact"/>
              <w:ind w:right="105" w:rightChars="50"/>
              <w:rPr>
                <w:rFonts w:ascii="Times New Roman" w:hAnsi="Times New Roman" w:cs="Times New Roman"/>
                <w:szCs w:val="21"/>
              </w:rPr>
            </w:pPr>
            <w:r>
              <w:rPr>
                <w:rFonts w:ascii="Times New Roman" w:hAnsi="Times New Roman" w:cs="Times New Roman"/>
                <w:szCs w:val="21"/>
              </w:rPr>
              <w:t>根据供应商提供的对本项目的理解，结合对于项目的认知及自身过往完成的案例，提出对本项目的需求分析以及对本项目的工作内容理解是否全面准确地了解招标人的需求，分析是否到位，是否与招标人的需求高度契合，进行综合评价，加0-</w:t>
            </w:r>
            <w:r>
              <w:rPr>
                <w:rFonts w:hint="eastAsia" w:ascii="Times New Roman" w:hAnsi="Times New Roman" w:cs="Times New Roman"/>
                <w:szCs w:val="21"/>
                <w:lang w:val="en-US" w:eastAsia="zh-CN"/>
              </w:rPr>
              <w:t>2</w:t>
            </w:r>
            <w:r>
              <w:rPr>
                <w:rFonts w:ascii="Times New Roman" w:hAnsi="Times New Roman" w:cs="Times New Roman"/>
                <w:szCs w:val="21"/>
              </w:rPr>
              <w:t>分。</w:t>
            </w:r>
          </w:p>
        </w:tc>
      </w:tr>
      <w:tr w14:paraId="70E95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continue"/>
            <w:vAlign w:val="center"/>
          </w:tcPr>
          <w:p w14:paraId="3B146F8E">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1A087CE5">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52AC1CA8">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项目组织及实施方案</w:t>
            </w:r>
          </w:p>
          <w:p w14:paraId="2FD42D1A">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lang w:val="en-US" w:eastAsia="zh-CN"/>
              </w:rPr>
              <w:t>15</w:t>
            </w:r>
            <w:r>
              <w:rPr>
                <w:rFonts w:ascii="Times New Roman" w:hAnsi="Times New Roman" w:cs="Times New Roman"/>
                <w:szCs w:val="21"/>
              </w:rPr>
              <w:t>分）</w:t>
            </w:r>
          </w:p>
        </w:tc>
        <w:tc>
          <w:tcPr>
            <w:tcW w:w="2901" w:type="pct"/>
            <w:vAlign w:val="center"/>
          </w:tcPr>
          <w:p w14:paraId="79D310A3">
            <w:pPr>
              <w:spacing w:line="360" w:lineRule="exact"/>
              <w:ind w:right="105" w:rightChars="50"/>
              <w:rPr>
                <w:rFonts w:ascii="Times New Roman" w:hAnsi="Times New Roman" w:cs="Times New Roman"/>
                <w:szCs w:val="21"/>
              </w:rPr>
            </w:pPr>
            <w:r>
              <w:rPr>
                <w:rFonts w:ascii="Times New Roman" w:hAnsi="Times New Roman" w:cs="Times New Roman"/>
                <w:szCs w:val="21"/>
              </w:rPr>
              <w:t>提供了项目组织及实施方案的，得基本分</w:t>
            </w:r>
            <w:r>
              <w:rPr>
                <w:rFonts w:hint="eastAsia" w:ascii="Times New Roman" w:hAnsi="Times New Roman" w:cs="Times New Roman"/>
                <w:szCs w:val="21"/>
                <w:lang w:val="en-US" w:eastAsia="zh-CN"/>
              </w:rPr>
              <w:t>9</w:t>
            </w:r>
            <w:r>
              <w:rPr>
                <w:rFonts w:ascii="Times New Roman" w:hAnsi="Times New Roman" w:cs="Times New Roman"/>
                <w:szCs w:val="21"/>
              </w:rPr>
              <w:t>分。</w:t>
            </w:r>
          </w:p>
          <w:p w14:paraId="31324762">
            <w:pPr>
              <w:spacing w:line="360" w:lineRule="exact"/>
              <w:ind w:right="105" w:rightChars="50"/>
              <w:rPr>
                <w:rFonts w:ascii="Times New Roman" w:hAnsi="Times New Roman" w:cs="Times New Roman"/>
                <w:szCs w:val="21"/>
              </w:rPr>
            </w:pPr>
            <w:r>
              <w:rPr>
                <w:rFonts w:ascii="Times New Roman" w:hAnsi="Times New Roman" w:cs="Times New Roman"/>
                <w:szCs w:val="21"/>
              </w:rPr>
              <w:t>根据供应商针对本项目的项目组织及实施方案是否满足采购人需求，是否与本项目的实际需求相适应，方案是否具有全面性、针对性、先进性、实用性进行综合评价，加0-</w:t>
            </w:r>
            <w:r>
              <w:rPr>
                <w:rFonts w:hint="eastAsia" w:ascii="Times New Roman" w:hAnsi="Times New Roman" w:cs="Times New Roman"/>
                <w:szCs w:val="21"/>
                <w:lang w:val="en-US" w:eastAsia="zh-CN"/>
              </w:rPr>
              <w:t>6</w:t>
            </w:r>
            <w:r>
              <w:rPr>
                <w:rFonts w:ascii="Times New Roman" w:hAnsi="Times New Roman" w:cs="Times New Roman"/>
                <w:szCs w:val="21"/>
              </w:rPr>
              <w:t>分。</w:t>
            </w:r>
          </w:p>
        </w:tc>
      </w:tr>
      <w:tr w14:paraId="4AB89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8" w:hRule="atLeast"/>
        </w:trPr>
        <w:tc>
          <w:tcPr>
            <w:tcW w:w="609" w:type="pct"/>
            <w:vMerge w:val="continue"/>
            <w:vAlign w:val="center"/>
          </w:tcPr>
          <w:p w14:paraId="4208C858">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65FAB1CE">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5D8423DF">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项目重点、难点分析及相应的对策和措施</w:t>
            </w:r>
          </w:p>
          <w:p w14:paraId="3160FB67">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分）</w:t>
            </w:r>
          </w:p>
        </w:tc>
        <w:tc>
          <w:tcPr>
            <w:tcW w:w="2901" w:type="pct"/>
            <w:vAlign w:val="center"/>
          </w:tcPr>
          <w:p w14:paraId="70996CA4">
            <w:pPr>
              <w:spacing w:line="360" w:lineRule="exact"/>
              <w:ind w:right="105" w:rightChars="50"/>
              <w:rPr>
                <w:rFonts w:ascii="Times New Roman" w:hAnsi="Times New Roman" w:cs="Times New Roman"/>
                <w:szCs w:val="21"/>
              </w:rPr>
            </w:pPr>
            <w:r>
              <w:rPr>
                <w:rFonts w:ascii="Times New Roman" w:hAnsi="Times New Roman" w:cs="Times New Roman"/>
                <w:szCs w:val="21"/>
              </w:rPr>
              <w:t>提供了项目重点、难点分析及相应的对策和措施的，得基本分</w:t>
            </w:r>
            <w:r>
              <w:rPr>
                <w:rFonts w:hint="eastAsia" w:ascii="Times New Roman" w:hAnsi="Times New Roman" w:cs="Times New Roman"/>
                <w:szCs w:val="21"/>
                <w:lang w:val="en-US" w:eastAsia="zh-CN"/>
              </w:rPr>
              <w:t>2</w:t>
            </w:r>
            <w:r>
              <w:rPr>
                <w:rFonts w:ascii="Times New Roman" w:hAnsi="Times New Roman" w:cs="Times New Roman"/>
                <w:szCs w:val="21"/>
              </w:rPr>
              <w:t>分。</w:t>
            </w:r>
          </w:p>
          <w:p w14:paraId="48E9C1B2">
            <w:pPr>
              <w:spacing w:line="360" w:lineRule="exact"/>
              <w:ind w:right="105" w:rightChars="50"/>
              <w:rPr>
                <w:rFonts w:ascii="Times New Roman" w:hAnsi="Times New Roman" w:cs="Times New Roman"/>
                <w:szCs w:val="21"/>
              </w:rPr>
            </w:pPr>
            <w:r>
              <w:rPr>
                <w:rFonts w:ascii="Times New Roman" w:hAnsi="Times New Roman" w:cs="Times New Roman"/>
                <w:szCs w:val="21"/>
              </w:rPr>
              <w:t>根据供应商针对本项目的重点、难点分析是否到位，相应的对策和措施是否充分、条理清晰、针对性强进行综合评价，加0-</w:t>
            </w:r>
            <w:r>
              <w:rPr>
                <w:rFonts w:hint="eastAsia" w:ascii="Times New Roman" w:hAnsi="Times New Roman" w:cs="Times New Roman"/>
                <w:szCs w:val="21"/>
                <w:lang w:val="en-US" w:eastAsia="zh-CN"/>
              </w:rPr>
              <w:t>3</w:t>
            </w:r>
            <w:r>
              <w:rPr>
                <w:rFonts w:ascii="Times New Roman" w:hAnsi="Times New Roman" w:cs="Times New Roman"/>
                <w:szCs w:val="21"/>
              </w:rPr>
              <w:t>分。</w:t>
            </w:r>
          </w:p>
        </w:tc>
      </w:tr>
      <w:tr w14:paraId="5A0F6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continue"/>
            <w:vAlign w:val="center"/>
          </w:tcPr>
          <w:p w14:paraId="26547555">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11260E48">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7BFE8FCF">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项目进度安排及保障措施</w:t>
            </w:r>
          </w:p>
          <w:p w14:paraId="6FDFE61E">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（5分）</w:t>
            </w:r>
          </w:p>
        </w:tc>
        <w:tc>
          <w:tcPr>
            <w:tcW w:w="2901" w:type="pct"/>
            <w:vAlign w:val="center"/>
          </w:tcPr>
          <w:p w14:paraId="7B8BF8B8">
            <w:pPr>
              <w:spacing w:line="360" w:lineRule="exact"/>
              <w:ind w:right="105" w:rightChars="50"/>
              <w:rPr>
                <w:rFonts w:ascii="Times New Roman" w:hAnsi="Times New Roman" w:cs="Times New Roman"/>
                <w:szCs w:val="21"/>
              </w:rPr>
            </w:pPr>
            <w:r>
              <w:rPr>
                <w:rFonts w:ascii="Times New Roman" w:hAnsi="Times New Roman" w:cs="Times New Roman"/>
                <w:szCs w:val="21"/>
              </w:rPr>
              <w:t>提供了项目进度安排及保障措施的，得基本分3分。</w:t>
            </w:r>
          </w:p>
          <w:p w14:paraId="43D1935E">
            <w:pPr>
              <w:spacing w:line="360" w:lineRule="exact"/>
              <w:ind w:right="105" w:rightChars="50"/>
              <w:rPr>
                <w:rFonts w:ascii="Times New Roman" w:hAnsi="Times New Roman" w:cs="Times New Roman"/>
                <w:szCs w:val="21"/>
              </w:rPr>
            </w:pPr>
            <w:r>
              <w:rPr>
                <w:rFonts w:ascii="Times New Roman" w:hAnsi="Times New Roman" w:cs="Times New Roman"/>
                <w:szCs w:val="21"/>
              </w:rPr>
              <w:t>根据供应商针对本项目的服务内容，在保证质量前提下，根据供应商提出的工作计划安排，项目团队的运作流程、投入人数情况及提出的进度安排是否具备科学性、合理性、完整性进行综合评价，加0-2分。</w:t>
            </w:r>
          </w:p>
        </w:tc>
      </w:tr>
      <w:tr w14:paraId="6CA15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continue"/>
            <w:vAlign w:val="center"/>
          </w:tcPr>
          <w:p w14:paraId="1BC7DFB8">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5DDE5CA6">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36953F19">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质量控制方案及保障措施</w:t>
            </w:r>
          </w:p>
          <w:p w14:paraId="16A2600D">
            <w:pPr>
              <w:spacing w:line="360" w:lineRule="exact"/>
              <w:ind w:right="105" w:rightChars="50"/>
              <w:jc w:val="center"/>
              <w:rPr>
                <w:rFonts w:ascii="Times New Roman" w:hAnsi="Times New Roman" w:cs="Times New Roman"/>
                <w:szCs w:val="21"/>
              </w:rPr>
            </w:pPr>
            <w:r>
              <w:rPr>
                <w:rFonts w:ascii="Times New Roman" w:hAnsi="Times New Roman" w:cs="Times New Roman"/>
                <w:szCs w:val="21"/>
              </w:rPr>
              <w:t>（5分）</w:t>
            </w:r>
          </w:p>
        </w:tc>
        <w:tc>
          <w:tcPr>
            <w:tcW w:w="2901" w:type="pct"/>
            <w:vAlign w:val="center"/>
          </w:tcPr>
          <w:p w14:paraId="6E4B8E83">
            <w:pPr>
              <w:spacing w:line="360" w:lineRule="exact"/>
              <w:ind w:right="105" w:rightChars="50"/>
              <w:rPr>
                <w:rFonts w:ascii="Times New Roman" w:hAnsi="Times New Roman" w:cs="Times New Roman"/>
                <w:szCs w:val="21"/>
              </w:rPr>
            </w:pPr>
            <w:r>
              <w:rPr>
                <w:rFonts w:ascii="Times New Roman" w:hAnsi="Times New Roman" w:cs="Times New Roman"/>
                <w:szCs w:val="21"/>
              </w:rPr>
              <w:t>提供了项目进度安排及保障措施的，得基本分3分。</w:t>
            </w:r>
          </w:p>
          <w:p w14:paraId="63A735D8">
            <w:pPr>
              <w:spacing w:line="360" w:lineRule="exact"/>
              <w:ind w:right="105" w:rightChars="50"/>
              <w:rPr>
                <w:rFonts w:ascii="Times New Roman" w:hAnsi="Times New Roman" w:cs="Times New Roman"/>
                <w:szCs w:val="21"/>
              </w:rPr>
            </w:pPr>
            <w:r>
              <w:rPr>
                <w:rFonts w:ascii="Times New Roman" w:hAnsi="Times New Roman" w:cs="Times New Roman"/>
                <w:szCs w:val="21"/>
              </w:rPr>
              <w:t>供应商有实现项目需求、服务质量目标的保证措施，具有有效的质量控制机制、项目沟通协调机制、错误纠正处理机制、资源调配机制等，建立完善的项目服务管理体系及监督机制，实事求是且满足用户需求的程度。</w:t>
            </w:r>
          </w:p>
          <w:p w14:paraId="20C97BDC">
            <w:pPr>
              <w:spacing w:line="360" w:lineRule="exact"/>
              <w:ind w:right="105" w:rightChars="50"/>
              <w:rPr>
                <w:rFonts w:ascii="Times New Roman" w:hAnsi="Times New Roman" w:cs="Times New Roman"/>
                <w:szCs w:val="21"/>
              </w:rPr>
            </w:pPr>
            <w:r>
              <w:rPr>
                <w:rFonts w:ascii="Times New Roman" w:hAnsi="Times New Roman" w:cs="Times New Roman"/>
                <w:szCs w:val="21"/>
              </w:rPr>
              <w:t>根据各供应商针对本项目的质量控制方案及保障措施是否充分、条理清晰、针对性强进行综合评价，加0-2分。</w:t>
            </w:r>
          </w:p>
        </w:tc>
      </w:tr>
      <w:tr w14:paraId="58BFED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09" w:type="pct"/>
            <w:vMerge w:val="continue"/>
            <w:vAlign w:val="center"/>
          </w:tcPr>
          <w:p w14:paraId="6F1253F3">
            <w:pPr>
              <w:spacing w:line="360" w:lineRule="exact"/>
              <w:ind w:left="105" w:leftChars="50" w:right="105" w:rightChars="50"/>
              <w:jc w:val="center"/>
              <w:rPr>
                <w:rFonts w:ascii="Times New Roman" w:hAnsi="Times New Roman" w:cs="Times New Roman"/>
                <w:szCs w:val="21"/>
              </w:rPr>
            </w:pPr>
          </w:p>
        </w:tc>
        <w:tc>
          <w:tcPr>
            <w:tcW w:w="701" w:type="pct"/>
            <w:vMerge w:val="continue"/>
            <w:shd w:val="clear" w:color="auto" w:fill="auto"/>
            <w:vAlign w:val="center"/>
          </w:tcPr>
          <w:p w14:paraId="58839EC6">
            <w:pPr>
              <w:spacing w:line="360" w:lineRule="exact"/>
              <w:ind w:left="105" w:leftChars="50" w:right="105" w:rightChars="50"/>
              <w:jc w:val="center"/>
              <w:rPr>
                <w:rFonts w:ascii="Times New Roman" w:hAnsi="Times New Roman" w:cs="Times New Roman"/>
                <w:szCs w:val="21"/>
              </w:rPr>
            </w:pPr>
          </w:p>
        </w:tc>
        <w:tc>
          <w:tcPr>
            <w:tcW w:w="787" w:type="pct"/>
            <w:shd w:val="clear" w:color="auto" w:fill="auto"/>
            <w:vAlign w:val="center"/>
          </w:tcPr>
          <w:p w14:paraId="5C92212B">
            <w:pPr>
              <w:spacing w:line="360" w:lineRule="exact"/>
              <w:ind w:right="105" w:rightChars="50"/>
              <w:jc w:val="center"/>
              <w:rPr>
                <w:rFonts w:hint="default" w:ascii="Times New Roman" w:hAnsi="Times New Roman" w:eastAsia="宋体" w:cs="Times New Roman"/>
                <w:szCs w:val="21"/>
                <w:highlight w:val="green"/>
                <w:lang w:val="en-US" w:eastAsia="zh-CN"/>
              </w:rPr>
            </w:pPr>
            <w:r>
              <w:rPr>
                <w:rFonts w:hint="eastAsia" w:ascii="Times New Roman" w:hAnsi="Times New Roman" w:cs="Times New Roman"/>
                <w:szCs w:val="21"/>
                <w:highlight w:val="green"/>
                <w:lang w:val="en-US" w:eastAsia="zh-CN"/>
              </w:rPr>
              <w:t>现场陈述情况（15分）</w:t>
            </w:r>
          </w:p>
        </w:tc>
        <w:tc>
          <w:tcPr>
            <w:tcW w:w="2901" w:type="pct"/>
            <w:vAlign w:val="center"/>
          </w:tcPr>
          <w:p w14:paraId="07D66EB0">
            <w:pPr>
              <w:spacing w:line="360" w:lineRule="exact"/>
              <w:ind w:right="105" w:rightChars="50"/>
              <w:rPr>
                <w:rFonts w:hint="default" w:ascii="Times New Roman" w:hAnsi="Times New Roman" w:eastAsia="宋体" w:cs="Times New Roman"/>
                <w:szCs w:val="21"/>
                <w:highlight w:val="green"/>
                <w:lang w:eastAsia="zh-CN"/>
              </w:rPr>
            </w:pPr>
            <w:r>
              <w:rPr>
                <w:rFonts w:hint="eastAsia" w:ascii="Times New Roman" w:hAnsi="Times New Roman" w:cs="Times New Roman"/>
                <w:szCs w:val="21"/>
                <w:highlight w:val="green"/>
                <w:lang w:val="en-US" w:eastAsia="zh-CN"/>
              </w:rPr>
              <w:t>供应商安排人员</w:t>
            </w:r>
            <w:r>
              <w:rPr>
                <w:rFonts w:hint="default" w:ascii="Times New Roman" w:hAnsi="Times New Roman" w:cs="Times New Roman"/>
                <w:szCs w:val="21"/>
                <w:highlight w:val="green"/>
                <w:lang w:eastAsia="zh-CN"/>
              </w:rPr>
              <w:t>对其服务方案进行现场陈述的，得基本分</w:t>
            </w:r>
            <w:r>
              <w:rPr>
                <w:rFonts w:hint="eastAsia" w:ascii="Times New Roman" w:hAnsi="Times New Roman" w:cs="Times New Roman"/>
                <w:szCs w:val="21"/>
                <w:highlight w:val="green"/>
                <w:lang w:val="en-US" w:eastAsia="zh-CN"/>
              </w:rPr>
              <w:t>5</w:t>
            </w:r>
            <w:r>
              <w:rPr>
                <w:rFonts w:hint="default" w:ascii="Times New Roman" w:hAnsi="Times New Roman" w:cs="Times New Roman"/>
                <w:szCs w:val="21"/>
                <w:highlight w:val="green"/>
                <w:lang w:eastAsia="zh-CN"/>
              </w:rPr>
              <w:t>分。</w:t>
            </w:r>
          </w:p>
          <w:p w14:paraId="6FBD10A0">
            <w:pPr>
              <w:spacing w:line="360" w:lineRule="exact"/>
              <w:ind w:right="105" w:rightChars="50"/>
              <w:rPr>
                <w:rFonts w:hint="default" w:ascii="Times New Roman" w:hAnsi="Times New Roman" w:eastAsia="宋体" w:cs="Times New Roman"/>
                <w:szCs w:val="21"/>
                <w:highlight w:val="green"/>
                <w:lang w:val="en-US" w:eastAsia="zh-CN"/>
              </w:rPr>
            </w:pPr>
            <w:r>
              <w:rPr>
                <w:rFonts w:hint="eastAsia" w:ascii="Times New Roman" w:hAnsi="Times New Roman" w:cs="Times New Roman"/>
                <w:szCs w:val="21"/>
                <w:highlight w:val="green"/>
                <w:lang w:val="en-US" w:eastAsia="zh-CN"/>
              </w:rPr>
              <w:t>评审委员会根据供应商现场陈述情况，并结合服务方案进行综合评定，加0-10分。</w:t>
            </w:r>
          </w:p>
          <w:p w14:paraId="1BFA5E4D">
            <w:pPr>
              <w:spacing w:line="360" w:lineRule="exact"/>
              <w:ind w:right="105" w:rightChars="50"/>
              <w:rPr>
                <w:rFonts w:hint="eastAsia" w:ascii="Times New Roman" w:hAnsi="Times New Roman" w:cs="Times New Roman"/>
                <w:szCs w:val="21"/>
                <w:highlight w:val="green"/>
              </w:rPr>
            </w:pPr>
            <w:r>
              <w:rPr>
                <w:rFonts w:hint="eastAsia" w:ascii="Times New Roman" w:hAnsi="Times New Roman" w:cs="Times New Roman"/>
                <w:szCs w:val="21"/>
                <w:highlight w:val="green"/>
                <w:lang w:val="en-US" w:eastAsia="zh-CN"/>
              </w:rPr>
              <w:t>具体</w:t>
            </w:r>
            <w:r>
              <w:rPr>
                <w:rFonts w:hint="eastAsia" w:ascii="Times New Roman" w:hAnsi="Times New Roman" w:cs="Times New Roman"/>
                <w:szCs w:val="21"/>
                <w:highlight w:val="green"/>
              </w:rPr>
              <w:t>陈述要求如下</w:t>
            </w:r>
            <w:r>
              <w:rPr>
                <w:rFonts w:hint="eastAsia" w:ascii="Times New Roman" w:hAnsi="Times New Roman" w:cs="Times New Roman"/>
                <w:szCs w:val="21"/>
                <w:highlight w:val="green"/>
                <w:lang w:eastAsia="zh-CN"/>
              </w:rPr>
              <w:t>：</w:t>
            </w:r>
          </w:p>
          <w:p w14:paraId="6DCDBBC7">
            <w:pPr>
              <w:spacing w:line="360" w:lineRule="exact"/>
              <w:ind w:right="105" w:rightChars="50"/>
              <w:rPr>
                <w:rFonts w:hint="eastAsia" w:ascii="Times New Roman" w:hAnsi="Times New Roman" w:cs="Times New Roman"/>
                <w:szCs w:val="21"/>
                <w:highlight w:val="green"/>
                <w:lang w:eastAsia="zh-CN"/>
              </w:rPr>
            </w:pPr>
            <w:r>
              <w:rPr>
                <w:rFonts w:hint="eastAsia" w:ascii="Times New Roman" w:hAnsi="Times New Roman" w:cs="Times New Roman"/>
                <w:szCs w:val="21"/>
                <w:highlight w:val="green"/>
                <w:lang w:val="en-US" w:eastAsia="zh-CN"/>
              </w:rPr>
              <w:t>（1）</w:t>
            </w:r>
            <w:r>
              <w:rPr>
                <w:rFonts w:hint="eastAsia" w:ascii="Times New Roman" w:hAnsi="Times New Roman" w:cs="Times New Roman"/>
                <w:szCs w:val="21"/>
                <w:highlight w:val="green"/>
              </w:rPr>
              <w:t>陈述顺序</w:t>
            </w: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rPr>
              <w:t>随机顺序</w:t>
            </w:r>
            <w:r>
              <w:rPr>
                <w:rFonts w:hint="eastAsia" w:ascii="Times New Roman" w:hAnsi="Times New Roman" w:cs="Times New Roman"/>
                <w:szCs w:val="21"/>
                <w:highlight w:val="green"/>
                <w:lang w:eastAsia="zh-CN"/>
              </w:rPr>
              <w:t>；</w:t>
            </w:r>
          </w:p>
          <w:p w14:paraId="6A503C55">
            <w:pPr>
              <w:spacing w:line="360" w:lineRule="exact"/>
              <w:ind w:right="105" w:rightChars="50"/>
              <w:rPr>
                <w:rFonts w:hint="eastAsia" w:ascii="Times New Roman" w:hAnsi="Times New Roman" w:cs="Times New Roman"/>
                <w:szCs w:val="21"/>
                <w:highlight w:val="green"/>
                <w:lang w:eastAsia="zh-CN"/>
              </w:rPr>
            </w:pP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lang w:val="en-US" w:eastAsia="zh-CN"/>
              </w:rPr>
              <w:t>2</w:t>
            </w: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rPr>
              <w:t>陈述人员</w:t>
            </w: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rPr>
              <w:t>陈述人员须为本项目拟派的</w:t>
            </w:r>
            <w:r>
              <w:rPr>
                <w:rFonts w:hint="eastAsia" w:ascii="Times New Roman" w:hAnsi="Times New Roman" w:cs="Times New Roman"/>
                <w:szCs w:val="21"/>
                <w:highlight w:val="green"/>
                <w:lang w:val="en-US" w:eastAsia="zh-CN"/>
              </w:rPr>
              <w:t>服务团队人员，</w:t>
            </w:r>
            <w:r>
              <w:rPr>
                <w:rFonts w:hint="eastAsia" w:ascii="Times New Roman" w:hAnsi="Times New Roman" w:cs="Times New Roman"/>
                <w:szCs w:val="21"/>
                <w:highlight w:val="green"/>
              </w:rPr>
              <w:t>陈述现场不得超过2人</w:t>
            </w:r>
            <w:r>
              <w:rPr>
                <w:rFonts w:hint="eastAsia" w:ascii="Times New Roman" w:hAnsi="Times New Roman" w:cs="Times New Roman"/>
                <w:szCs w:val="21"/>
                <w:highlight w:val="green"/>
                <w:lang w:eastAsia="zh-CN"/>
              </w:rPr>
              <w:t>；</w:t>
            </w:r>
          </w:p>
          <w:p w14:paraId="1108D94D">
            <w:pPr>
              <w:spacing w:line="360" w:lineRule="exact"/>
              <w:ind w:right="105" w:rightChars="50"/>
              <w:rPr>
                <w:rFonts w:ascii="Times New Roman" w:hAnsi="Times New Roman" w:cs="Times New Roman"/>
                <w:szCs w:val="21"/>
                <w:highlight w:val="green"/>
              </w:rPr>
            </w:pP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lang w:val="en-US" w:eastAsia="zh-CN"/>
              </w:rPr>
              <w:t>3</w:t>
            </w: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rPr>
              <w:t>陈述时间</w:t>
            </w:r>
            <w:r>
              <w:rPr>
                <w:rFonts w:hint="eastAsia" w:ascii="Times New Roman" w:hAnsi="Times New Roman" w:cs="Times New Roman"/>
                <w:szCs w:val="21"/>
                <w:highlight w:val="green"/>
                <w:lang w:eastAsia="zh-CN"/>
              </w:rPr>
              <w:t>：</w:t>
            </w:r>
            <w:r>
              <w:rPr>
                <w:rFonts w:hint="eastAsia" w:ascii="Times New Roman" w:hAnsi="Times New Roman" w:cs="Times New Roman"/>
                <w:szCs w:val="21"/>
                <w:highlight w:val="green"/>
                <w:lang w:val="en-US" w:eastAsia="zh-CN"/>
              </w:rPr>
              <w:t>每家</w:t>
            </w:r>
            <w:r>
              <w:rPr>
                <w:rFonts w:hint="eastAsia" w:ascii="Times New Roman" w:hAnsi="Times New Roman" w:cs="Times New Roman"/>
                <w:szCs w:val="21"/>
                <w:highlight w:val="green"/>
              </w:rPr>
              <w:t>不超过</w:t>
            </w:r>
            <w:r>
              <w:rPr>
                <w:rFonts w:hint="eastAsia" w:ascii="Times New Roman" w:hAnsi="Times New Roman" w:cs="Times New Roman"/>
                <w:szCs w:val="21"/>
                <w:highlight w:val="green"/>
                <w:lang w:val="en-US" w:eastAsia="zh-CN"/>
              </w:rPr>
              <w:t>20</w:t>
            </w:r>
            <w:r>
              <w:rPr>
                <w:rFonts w:hint="eastAsia" w:ascii="Times New Roman" w:hAnsi="Times New Roman" w:cs="Times New Roman"/>
                <w:szCs w:val="21"/>
                <w:highlight w:val="green"/>
              </w:rPr>
              <w:t>分钟</w:t>
            </w:r>
            <w:r>
              <w:rPr>
                <w:rFonts w:hint="eastAsia" w:ascii="Times New Roman" w:hAnsi="Times New Roman" w:cs="Times New Roman"/>
                <w:szCs w:val="21"/>
                <w:highlight w:val="green"/>
                <w:lang w:eastAsia="zh-CN"/>
              </w:rPr>
              <w:t>。</w:t>
            </w:r>
          </w:p>
        </w:tc>
      </w:tr>
    </w:tbl>
    <w:p w14:paraId="6E03DD1A">
      <w:pPr>
        <w:rPr>
          <w:rFonts w:ascii="Times New Roman" w:hAnsi="Times New Roman" w:eastAsia="黑体" w:cs="Times New Roman"/>
          <w:bCs/>
          <w:sz w:val="24"/>
        </w:rPr>
      </w:pPr>
      <w:r>
        <w:rPr>
          <w:rFonts w:ascii="Times New Roman" w:hAnsi="Times New Roman" w:eastAsia="黑体" w:cs="Times New Roman"/>
          <w:bCs/>
          <w:sz w:val="24"/>
        </w:rPr>
        <w:br w:type="page"/>
      </w:r>
    </w:p>
    <w:p w14:paraId="45008369">
      <w:pPr>
        <w:keepNext/>
        <w:keepLines/>
        <w:spacing w:before="156" w:beforeLines="50" w:after="156" w:afterLines="50"/>
        <w:outlineLvl w:val="1"/>
        <w:rPr>
          <w:rFonts w:ascii="Times New Roman" w:hAnsi="Times New Roman" w:eastAsia="黑体" w:cs="Times New Roman"/>
          <w:bCs/>
          <w:sz w:val="24"/>
        </w:rPr>
      </w:pPr>
      <w:r>
        <w:rPr>
          <w:rFonts w:ascii="Times New Roman" w:hAnsi="Times New Roman" w:eastAsia="黑体" w:cs="Times New Roman"/>
          <w:bCs/>
          <w:sz w:val="24"/>
        </w:rPr>
        <w:t>1. 评审方法</w:t>
      </w:r>
    </w:p>
    <w:p w14:paraId="3FBE2DCF">
      <w:pPr>
        <w:spacing w:line="440" w:lineRule="exact"/>
        <w:ind w:firstLine="420"/>
        <w:rPr>
          <w:rFonts w:ascii="Times New Roman" w:hAnsi="Times New Roman" w:cs="Times New Roman"/>
          <w:sz w:val="24"/>
        </w:rPr>
      </w:pPr>
      <w:r>
        <w:rPr>
          <w:rFonts w:ascii="Times New Roman" w:hAnsi="Times New Roman" w:cs="Times New Roman"/>
          <w:sz w:val="24"/>
        </w:rPr>
        <w:t>本次评审采用综合评分法。评审小组对满足询比文件实质性要求的响应文件按照本章第2.2款规定的评分标准进行打分，按照得分由高到低依次推荐成交候选人。如得分相同的，按照评审办法前附表中的规定确定成交候选人顺序。</w:t>
      </w:r>
    </w:p>
    <w:p w14:paraId="7DF02FCB">
      <w:pPr>
        <w:keepNext/>
        <w:keepLines/>
        <w:spacing w:before="156" w:beforeLines="50" w:after="156" w:afterLines="50"/>
        <w:outlineLvl w:val="1"/>
        <w:rPr>
          <w:rFonts w:ascii="Times New Roman" w:hAnsi="Times New Roman" w:eastAsia="黑体" w:cs="Times New Roman"/>
          <w:bCs/>
          <w:sz w:val="24"/>
        </w:rPr>
      </w:pPr>
      <w:r>
        <w:rPr>
          <w:rFonts w:ascii="Times New Roman" w:hAnsi="Times New Roman" w:eastAsia="黑体" w:cs="Times New Roman"/>
          <w:bCs/>
          <w:sz w:val="24"/>
        </w:rPr>
        <w:t>2. 评审标准</w:t>
      </w:r>
    </w:p>
    <w:p w14:paraId="02667789">
      <w:pPr>
        <w:keepNext/>
        <w:keepLines/>
        <w:spacing w:before="120" w:after="120"/>
        <w:outlineLvl w:val="2"/>
        <w:rPr>
          <w:rFonts w:ascii="Times New Roman" w:hAnsi="Times New Roman" w:eastAsia="黑体" w:cs="Times New Roman"/>
          <w:bCs/>
          <w:sz w:val="24"/>
        </w:rPr>
      </w:pPr>
      <w:r>
        <w:rPr>
          <w:rFonts w:ascii="Times New Roman" w:hAnsi="Times New Roman" w:eastAsia="黑体" w:cs="Times New Roman"/>
          <w:bCs/>
          <w:sz w:val="24"/>
        </w:rPr>
        <w:t>2.1 初步评审标准</w:t>
      </w:r>
    </w:p>
    <w:p w14:paraId="30046EC1">
      <w:pPr>
        <w:spacing w:line="440" w:lineRule="exact"/>
        <w:ind w:firstLine="420"/>
        <w:rPr>
          <w:rFonts w:ascii="Times New Roman" w:hAnsi="Times New Roman" w:cs="Times New Roman"/>
          <w:sz w:val="24"/>
        </w:rPr>
      </w:pPr>
      <w:r>
        <w:rPr>
          <w:rFonts w:ascii="Times New Roman" w:hAnsi="Times New Roman" w:cs="Times New Roman"/>
          <w:sz w:val="24"/>
        </w:rPr>
        <w:t>2.1.1 形式评审标准：见评审办法前附表。</w:t>
      </w:r>
    </w:p>
    <w:p w14:paraId="3519AD7F">
      <w:pPr>
        <w:spacing w:line="440" w:lineRule="exact"/>
        <w:ind w:firstLine="420"/>
        <w:rPr>
          <w:rFonts w:ascii="Times New Roman" w:hAnsi="Times New Roman" w:cs="Times New Roman"/>
          <w:sz w:val="24"/>
        </w:rPr>
      </w:pPr>
      <w:r>
        <w:rPr>
          <w:rFonts w:ascii="Times New Roman" w:hAnsi="Times New Roman" w:cs="Times New Roman"/>
          <w:sz w:val="24"/>
        </w:rPr>
        <w:t>2.1.2 资格评审标准：见评审办法前附表。</w:t>
      </w:r>
    </w:p>
    <w:p w14:paraId="3521A147">
      <w:pPr>
        <w:spacing w:line="440" w:lineRule="exact"/>
        <w:ind w:firstLine="420"/>
        <w:rPr>
          <w:rFonts w:ascii="Times New Roman" w:hAnsi="Times New Roman" w:cs="Times New Roman"/>
          <w:sz w:val="24"/>
        </w:rPr>
      </w:pPr>
      <w:r>
        <w:rPr>
          <w:rFonts w:ascii="Times New Roman" w:hAnsi="Times New Roman" w:cs="Times New Roman"/>
          <w:sz w:val="24"/>
        </w:rPr>
        <w:t>2.1.3 响应性评审标准：见评审办法前附表。</w:t>
      </w:r>
    </w:p>
    <w:p w14:paraId="6634E6D9">
      <w:pPr>
        <w:keepNext/>
        <w:keepLines/>
        <w:spacing w:before="120" w:after="120"/>
        <w:outlineLvl w:val="2"/>
        <w:rPr>
          <w:rFonts w:ascii="Times New Roman" w:hAnsi="Times New Roman" w:eastAsia="黑体" w:cs="Times New Roman"/>
          <w:bCs/>
          <w:sz w:val="24"/>
        </w:rPr>
      </w:pPr>
      <w:r>
        <w:rPr>
          <w:rFonts w:ascii="Times New Roman" w:hAnsi="Times New Roman" w:eastAsia="黑体" w:cs="Times New Roman"/>
          <w:bCs/>
          <w:sz w:val="24"/>
        </w:rPr>
        <w:t>2.2 分值构成与评审标准</w:t>
      </w:r>
    </w:p>
    <w:p w14:paraId="16890CAB">
      <w:pPr>
        <w:spacing w:line="440" w:lineRule="exact"/>
        <w:ind w:firstLine="420"/>
        <w:rPr>
          <w:rFonts w:ascii="Times New Roman" w:hAnsi="Times New Roman" w:cs="Times New Roman"/>
          <w:sz w:val="24"/>
        </w:rPr>
      </w:pPr>
      <w:r>
        <w:rPr>
          <w:rFonts w:ascii="Times New Roman" w:hAnsi="Times New Roman" w:cs="Times New Roman"/>
          <w:sz w:val="24"/>
        </w:rPr>
        <w:t>2.2.1分值构成：</w:t>
      </w:r>
    </w:p>
    <w:p w14:paraId="22B7BCF0">
      <w:pPr>
        <w:spacing w:line="440" w:lineRule="exact"/>
        <w:ind w:firstLine="420"/>
        <w:rPr>
          <w:rFonts w:ascii="Times New Roman" w:hAnsi="Times New Roman" w:cs="Times New Roman"/>
          <w:sz w:val="24"/>
        </w:rPr>
      </w:pPr>
      <w:r>
        <w:rPr>
          <w:rFonts w:ascii="Times New Roman" w:hAnsi="Times New Roman" w:cs="Times New Roman"/>
          <w:sz w:val="24"/>
        </w:rPr>
        <w:t>（1）响应报价：见评审办法前附表；</w:t>
      </w:r>
    </w:p>
    <w:p w14:paraId="7DD7FB3B">
      <w:pPr>
        <w:spacing w:line="440" w:lineRule="exact"/>
        <w:ind w:firstLine="420"/>
        <w:rPr>
          <w:rFonts w:ascii="Times New Roman" w:hAnsi="Times New Roman" w:cs="Times New Roman"/>
          <w:sz w:val="24"/>
        </w:rPr>
      </w:pPr>
      <w:r>
        <w:rPr>
          <w:rFonts w:ascii="Times New Roman" w:hAnsi="Times New Roman" w:cs="Times New Roman"/>
          <w:sz w:val="24"/>
        </w:rPr>
        <w:t>（2）商务部分：见评审办法前附表；</w:t>
      </w:r>
    </w:p>
    <w:p w14:paraId="61CE018A">
      <w:pPr>
        <w:spacing w:line="360" w:lineRule="auto"/>
        <w:ind w:firstLine="420"/>
        <w:rPr>
          <w:rFonts w:ascii="Times New Roman" w:hAnsi="Times New Roman" w:cs="Times New Roman"/>
          <w:sz w:val="24"/>
        </w:rPr>
      </w:pPr>
      <w:r>
        <w:rPr>
          <w:rFonts w:ascii="Times New Roman" w:hAnsi="Times New Roman" w:cs="Times New Roman"/>
          <w:sz w:val="24"/>
        </w:rPr>
        <w:t>（3）技术部分：见评审办法前附表。</w:t>
      </w:r>
    </w:p>
    <w:p w14:paraId="371DF5C2">
      <w:pPr>
        <w:spacing w:line="360" w:lineRule="auto"/>
        <w:ind w:firstLine="420"/>
        <w:rPr>
          <w:rFonts w:ascii="Times New Roman" w:hAnsi="Times New Roman" w:cs="Times New Roman"/>
          <w:sz w:val="24"/>
        </w:rPr>
      </w:pPr>
      <w:r>
        <w:rPr>
          <w:rFonts w:ascii="Times New Roman" w:hAnsi="Times New Roman" w:cs="Times New Roman"/>
          <w:sz w:val="24"/>
        </w:rPr>
        <w:t>2.2.2 评审基准价计算</w:t>
      </w:r>
    </w:p>
    <w:p w14:paraId="1369D92A">
      <w:pPr>
        <w:spacing w:line="360" w:lineRule="auto"/>
        <w:ind w:firstLine="420"/>
        <w:rPr>
          <w:rFonts w:ascii="Times New Roman" w:hAnsi="Times New Roman" w:cs="Times New Roman"/>
          <w:sz w:val="24"/>
        </w:rPr>
      </w:pPr>
      <w:r>
        <w:rPr>
          <w:rFonts w:ascii="Times New Roman" w:hAnsi="Times New Roman" w:cs="Times New Roman"/>
          <w:sz w:val="24"/>
        </w:rPr>
        <w:t>评审基准价计算方法：见评审办法前附表。</w:t>
      </w:r>
    </w:p>
    <w:p w14:paraId="5EBCD0E2">
      <w:pPr>
        <w:spacing w:line="360" w:lineRule="auto"/>
        <w:ind w:firstLine="420"/>
        <w:rPr>
          <w:rFonts w:ascii="Times New Roman" w:hAnsi="Times New Roman" w:cs="Times New Roman"/>
          <w:sz w:val="24"/>
        </w:rPr>
      </w:pPr>
      <w:r>
        <w:rPr>
          <w:rFonts w:ascii="Times New Roman" w:hAnsi="Times New Roman" w:cs="Times New Roman"/>
          <w:sz w:val="24"/>
        </w:rPr>
        <w:t>2.2.3 响应报价的偏差率计算</w:t>
      </w:r>
    </w:p>
    <w:p w14:paraId="0CA669E3">
      <w:pPr>
        <w:spacing w:line="360" w:lineRule="auto"/>
        <w:ind w:firstLine="420"/>
        <w:rPr>
          <w:rFonts w:ascii="Times New Roman" w:hAnsi="Times New Roman" w:cs="Times New Roman"/>
          <w:sz w:val="24"/>
        </w:rPr>
      </w:pPr>
      <w:r>
        <w:rPr>
          <w:rFonts w:ascii="Times New Roman" w:hAnsi="Times New Roman" w:cs="Times New Roman"/>
          <w:sz w:val="24"/>
        </w:rPr>
        <w:t xml:space="preserve"> 响应报价的偏差率计算方法：见评审办法前附表</w:t>
      </w:r>
    </w:p>
    <w:p w14:paraId="6738DFA3">
      <w:pPr>
        <w:spacing w:line="360" w:lineRule="auto"/>
        <w:ind w:firstLine="420"/>
        <w:rPr>
          <w:rFonts w:ascii="Times New Roman" w:hAnsi="Times New Roman" w:cs="Times New Roman"/>
          <w:sz w:val="24"/>
        </w:rPr>
      </w:pPr>
      <w:r>
        <w:rPr>
          <w:rFonts w:ascii="Times New Roman" w:hAnsi="Times New Roman" w:cs="Times New Roman"/>
          <w:sz w:val="24"/>
        </w:rPr>
        <w:t>2.2.4评分标准：</w:t>
      </w:r>
    </w:p>
    <w:p w14:paraId="0BE85692">
      <w:pPr>
        <w:spacing w:line="360" w:lineRule="auto"/>
        <w:ind w:firstLine="420"/>
        <w:rPr>
          <w:rFonts w:ascii="Times New Roman" w:hAnsi="Times New Roman" w:cs="Times New Roman"/>
          <w:sz w:val="24"/>
        </w:rPr>
      </w:pPr>
      <w:r>
        <w:rPr>
          <w:rFonts w:ascii="Times New Roman" w:hAnsi="Times New Roman" w:cs="Times New Roman"/>
          <w:sz w:val="24"/>
        </w:rPr>
        <w:t>（1）响应报价评分标准：见评审办法前附表；</w:t>
      </w:r>
    </w:p>
    <w:p w14:paraId="6B4DD728">
      <w:pPr>
        <w:spacing w:line="360" w:lineRule="auto"/>
        <w:ind w:firstLine="420"/>
        <w:rPr>
          <w:rFonts w:ascii="Times New Roman" w:hAnsi="Times New Roman" w:cs="Times New Roman"/>
          <w:sz w:val="24"/>
        </w:rPr>
      </w:pPr>
      <w:r>
        <w:rPr>
          <w:rFonts w:ascii="Times New Roman" w:hAnsi="Times New Roman" w:cs="Times New Roman"/>
          <w:sz w:val="24"/>
        </w:rPr>
        <w:t>（2）商务部分评分标准：见评审办法前附表；</w:t>
      </w:r>
    </w:p>
    <w:p w14:paraId="24441B9C">
      <w:pPr>
        <w:spacing w:line="360" w:lineRule="auto"/>
        <w:ind w:firstLine="420"/>
        <w:rPr>
          <w:rFonts w:ascii="Times New Roman" w:hAnsi="Times New Roman" w:cs="Times New Roman"/>
          <w:sz w:val="24"/>
        </w:rPr>
      </w:pPr>
      <w:r>
        <w:rPr>
          <w:rFonts w:ascii="Times New Roman" w:hAnsi="Times New Roman" w:cs="Times New Roman"/>
          <w:sz w:val="24"/>
        </w:rPr>
        <w:t>（3）技术部分评分标准：见评标审办法前附表。</w:t>
      </w:r>
    </w:p>
    <w:p w14:paraId="63E3EFBC">
      <w:pPr>
        <w:keepNext/>
        <w:keepLines/>
        <w:spacing w:before="156" w:beforeLines="50" w:after="156" w:afterLines="50" w:line="360" w:lineRule="auto"/>
        <w:outlineLvl w:val="1"/>
        <w:rPr>
          <w:rFonts w:ascii="Times New Roman" w:hAnsi="Times New Roman" w:eastAsia="黑体" w:cs="Times New Roman"/>
          <w:bCs/>
          <w:sz w:val="24"/>
        </w:rPr>
      </w:pPr>
      <w:r>
        <w:rPr>
          <w:rFonts w:ascii="Times New Roman" w:hAnsi="Times New Roman" w:eastAsia="黑体" w:cs="Times New Roman"/>
          <w:bCs/>
          <w:sz w:val="24"/>
        </w:rPr>
        <w:t>3. 评审程序</w:t>
      </w:r>
    </w:p>
    <w:p w14:paraId="3A70E4C0">
      <w:pPr>
        <w:keepNext/>
        <w:keepLines/>
        <w:spacing w:before="120" w:after="120" w:line="360" w:lineRule="auto"/>
        <w:outlineLvl w:val="2"/>
        <w:rPr>
          <w:rFonts w:ascii="Times New Roman" w:hAnsi="Times New Roman" w:eastAsia="黑体" w:cs="Times New Roman"/>
          <w:bCs/>
          <w:sz w:val="24"/>
        </w:rPr>
      </w:pPr>
      <w:r>
        <w:rPr>
          <w:rFonts w:ascii="Times New Roman" w:hAnsi="Times New Roman" w:eastAsia="黑体" w:cs="Times New Roman"/>
          <w:bCs/>
          <w:sz w:val="24"/>
        </w:rPr>
        <w:t>3.1 初步评审</w:t>
      </w:r>
    </w:p>
    <w:p w14:paraId="18047158">
      <w:pPr>
        <w:spacing w:line="360" w:lineRule="auto"/>
        <w:ind w:firstLine="420"/>
        <w:rPr>
          <w:rFonts w:ascii="Times New Roman" w:hAnsi="Times New Roman" w:cs="Times New Roman"/>
          <w:sz w:val="24"/>
        </w:rPr>
      </w:pPr>
      <w:r>
        <w:rPr>
          <w:rFonts w:ascii="Times New Roman" w:hAnsi="Times New Roman" w:cs="Times New Roman"/>
          <w:sz w:val="24"/>
        </w:rPr>
        <w:t>3.1.1评审小组依据本章第2.1.1项、第2.1.2项、第2.1.3项规定的标准对响应文件进行评审。有一项不符合评审标准的，评审小组应否决其响应文件。</w:t>
      </w:r>
    </w:p>
    <w:p w14:paraId="7D7CFD67">
      <w:pPr>
        <w:spacing w:line="360" w:lineRule="auto"/>
        <w:ind w:firstLine="420"/>
        <w:rPr>
          <w:rFonts w:ascii="Times New Roman" w:hAnsi="Times New Roman" w:cs="Times New Roman"/>
          <w:sz w:val="24"/>
        </w:rPr>
      </w:pPr>
      <w:r>
        <w:rPr>
          <w:rFonts w:ascii="Times New Roman" w:hAnsi="Times New Roman" w:cs="Times New Roman"/>
          <w:sz w:val="24"/>
        </w:rPr>
        <w:t>3.1.2 响应文件中填报的报价、服务期、质量标准前后不一致时，按细微偏差处理，并以报价函填报的为准。</w:t>
      </w:r>
    </w:p>
    <w:p w14:paraId="3F1260B7">
      <w:pPr>
        <w:keepNext/>
        <w:keepLines/>
        <w:spacing w:before="120" w:after="120" w:line="360" w:lineRule="auto"/>
        <w:outlineLvl w:val="2"/>
        <w:rPr>
          <w:rFonts w:ascii="Times New Roman" w:hAnsi="Times New Roman" w:cs="Times New Roman"/>
          <w:sz w:val="24"/>
        </w:rPr>
      </w:pPr>
      <w:r>
        <w:rPr>
          <w:rFonts w:ascii="Times New Roman" w:hAnsi="Times New Roman" w:eastAsia="黑体" w:cs="Times New Roman"/>
          <w:bCs/>
          <w:sz w:val="24"/>
        </w:rPr>
        <w:t>3.2 详细评审</w:t>
      </w:r>
    </w:p>
    <w:p w14:paraId="3F150F8B">
      <w:pPr>
        <w:spacing w:line="360" w:lineRule="auto"/>
        <w:ind w:firstLine="420"/>
        <w:rPr>
          <w:rFonts w:ascii="Times New Roman" w:hAnsi="Times New Roman" w:cs="Times New Roman"/>
          <w:sz w:val="24"/>
        </w:rPr>
      </w:pPr>
      <w:r>
        <w:rPr>
          <w:rFonts w:ascii="Times New Roman" w:hAnsi="Times New Roman" w:cs="Times New Roman"/>
          <w:sz w:val="24"/>
        </w:rPr>
        <w:t>3.2.1 评审小组按本章第2.2款规定的量化因素和分值进行打分，并计算出综合评估得分。</w:t>
      </w:r>
    </w:p>
    <w:p w14:paraId="260210C7">
      <w:pPr>
        <w:spacing w:line="360" w:lineRule="auto"/>
        <w:ind w:firstLine="420"/>
        <w:rPr>
          <w:rFonts w:ascii="Times New Roman" w:hAnsi="Times New Roman" w:cs="Times New Roman"/>
          <w:sz w:val="24"/>
        </w:rPr>
      </w:pPr>
      <w:r>
        <w:rPr>
          <w:rFonts w:ascii="Times New Roman" w:hAnsi="Times New Roman" w:cs="Times New Roman"/>
          <w:sz w:val="24"/>
        </w:rPr>
        <w:t>（1）按本章第2.2.4(1)目规定的评审因素和分值对项目团队计算出得分Ⅰ；</w:t>
      </w:r>
    </w:p>
    <w:p w14:paraId="384A6E7F">
      <w:pPr>
        <w:spacing w:line="360" w:lineRule="auto"/>
        <w:ind w:firstLine="420"/>
        <w:rPr>
          <w:rFonts w:ascii="Times New Roman" w:hAnsi="Times New Roman" w:cs="Times New Roman"/>
          <w:sz w:val="24"/>
        </w:rPr>
      </w:pPr>
      <w:r>
        <w:rPr>
          <w:rFonts w:ascii="Times New Roman" w:hAnsi="Times New Roman" w:cs="Times New Roman"/>
          <w:sz w:val="24"/>
        </w:rPr>
        <w:t>（2）按本章第2.2.4(2)目规定的评审因素和分值对供应商业绩计算出得分Ⅱ；</w:t>
      </w:r>
    </w:p>
    <w:p w14:paraId="1A7DCD90">
      <w:pPr>
        <w:spacing w:line="360" w:lineRule="auto"/>
        <w:ind w:firstLine="420"/>
        <w:rPr>
          <w:rFonts w:ascii="Times New Roman" w:hAnsi="Times New Roman" w:cs="Times New Roman"/>
          <w:sz w:val="24"/>
        </w:rPr>
      </w:pPr>
      <w:r>
        <w:rPr>
          <w:rFonts w:ascii="Times New Roman" w:hAnsi="Times New Roman" w:cs="Times New Roman"/>
          <w:sz w:val="24"/>
        </w:rPr>
        <w:t>（3）按本章第2.2.4(3)目规定的评审因素和分值对服务方案计算出得分Ⅲ。</w:t>
      </w:r>
    </w:p>
    <w:p w14:paraId="6743D577">
      <w:pPr>
        <w:spacing w:line="360" w:lineRule="auto"/>
        <w:ind w:firstLine="480" w:firstLineChars="200"/>
        <w:rPr>
          <w:rFonts w:ascii="Times New Roman" w:hAnsi="Times New Roman" w:cs="Times New Roman"/>
          <w:sz w:val="24"/>
        </w:rPr>
      </w:pPr>
      <w:r>
        <w:rPr>
          <w:rFonts w:ascii="Times New Roman" w:hAnsi="Times New Roman" w:cs="Times New Roman"/>
          <w:sz w:val="24"/>
        </w:rPr>
        <w:t>3.2.2 评分分值计算保留小数点后两位，小数点后第三位“四舍五入”。</w:t>
      </w:r>
    </w:p>
    <w:p w14:paraId="3061335D">
      <w:pPr>
        <w:spacing w:line="360" w:lineRule="auto"/>
        <w:ind w:firstLine="480" w:firstLineChars="200"/>
        <w:rPr>
          <w:rFonts w:ascii="Times New Roman" w:hAnsi="Times New Roman" w:cs="Times New Roman"/>
          <w:sz w:val="24"/>
        </w:rPr>
      </w:pPr>
      <w:r>
        <w:rPr>
          <w:rFonts w:ascii="Times New Roman" w:hAnsi="Times New Roman" w:cs="Times New Roman"/>
          <w:sz w:val="24"/>
        </w:rPr>
        <w:t>3.2.3 评审小组成员对供应商综合评分=Ⅰ+Ⅱ+Ⅲ，供应商最终得分为各评审小组成员评分的算数平均值。</w:t>
      </w:r>
    </w:p>
    <w:p w14:paraId="1BFC374D">
      <w:pPr>
        <w:spacing w:line="360" w:lineRule="auto"/>
        <w:ind w:firstLine="480" w:firstLineChars="200"/>
        <w:rPr>
          <w:rFonts w:ascii="Times New Roman" w:hAnsi="Times New Roman" w:cs="Times New Roman"/>
          <w:sz w:val="24"/>
        </w:rPr>
      </w:pPr>
      <w:r>
        <w:rPr>
          <w:rFonts w:ascii="Times New Roman" w:hAnsi="Times New Roman" w:cs="Times New Roman"/>
          <w:sz w:val="24"/>
        </w:rPr>
        <w:t>3.2.4评审委员会发现供应商的报价明显低于其他响应报价，使得其响应报价可能低于其个别成本的，应当要求该供应商作出书面说明并提供相应的证明材料。供应商不能合理说明或者不能提供相应证明材料的，评审委员会应当认定该供应商以低于成本报价竞争，并否决其响应文件。</w:t>
      </w:r>
    </w:p>
    <w:p w14:paraId="35E24783">
      <w:pPr>
        <w:keepNext/>
        <w:keepLines/>
        <w:spacing w:before="120" w:after="120" w:line="360" w:lineRule="auto"/>
        <w:outlineLvl w:val="2"/>
        <w:rPr>
          <w:rFonts w:ascii="Times New Roman" w:hAnsi="Times New Roman" w:eastAsia="黑体" w:cs="Times New Roman"/>
          <w:bCs/>
          <w:sz w:val="24"/>
        </w:rPr>
      </w:pPr>
      <w:r>
        <w:rPr>
          <w:rFonts w:ascii="Times New Roman" w:hAnsi="Times New Roman" w:eastAsia="黑体" w:cs="Times New Roman"/>
          <w:bCs/>
          <w:sz w:val="24"/>
        </w:rPr>
        <w:t>3.3 否决响应文件的其他情形</w:t>
      </w:r>
    </w:p>
    <w:p w14:paraId="44DE2B74">
      <w:pPr>
        <w:spacing w:line="360" w:lineRule="auto"/>
        <w:ind w:firstLine="420"/>
        <w:rPr>
          <w:rFonts w:ascii="Times New Roman" w:hAnsi="Times New Roman" w:cs="Times New Roman"/>
          <w:sz w:val="24"/>
        </w:rPr>
      </w:pPr>
      <w:r>
        <w:rPr>
          <w:rFonts w:ascii="Times New Roman" w:hAnsi="Times New Roman" w:cs="Times New Roman"/>
          <w:sz w:val="24"/>
        </w:rPr>
        <w:t>评审小组应对在评审过程中发现供应商存在串通报价、弄虚作假、行贿等违法行为的，评审小组应否决其响应文件。</w:t>
      </w:r>
    </w:p>
    <w:p w14:paraId="1A35EA31">
      <w:pPr>
        <w:keepNext/>
        <w:keepLines/>
        <w:spacing w:before="120" w:after="120" w:line="360" w:lineRule="auto"/>
        <w:outlineLvl w:val="2"/>
        <w:rPr>
          <w:rFonts w:ascii="Times New Roman" w:hAnsi="Times New Roman" w:eastAsia="黑体" w:cs="Times New Roman"/>
          <w:bCs/>
          <w:sz w:val="24"/>
        </w:rPr>
      </w:pPr>
      <w:r>
        <w:rPr>
          <w:rFonts w:ascii="Times New Roman" w:hAnsi="Times New Roman" w:eastAsia="黑体" w:cs="Times New Roman"/>
          <w:bCs/>
          <w:sz w:val="24"/>
        </w:rPr>
        <w:t>3.4 响应文件的澄清</w:t>
      </w:r>
    </w:p>
    <w:p w14:paraId="2166269B">
      <w:pPr>
        <w:spacing w:line="360" w:lineRule="auto"/>
        <w:ind w:firstLine="420"/>
        <w:rPr>
          <w:rFonts w:ascii="Times New Roman" w:hAnsi="Times New Roman" w:cs="Times New Roman"/>
          <w:sz w:val="24"/>
        </w:rPr>
      </w:pPr>
      <w:r>
        <w:rPr>
          <w:rFonts w:ascii="Times New Roman" w:hAnsi="Times New Roman" w:cs="Times New Roman"/>
          <w:sz w:val="24"/>
        </w:rPr>
        <w:t>3.4.1 在评审过程中，评审小组可以书面形式要求供应商对响应文件中含义不明确、对同类问题表述不一致或者有明显文字错误的内容做必要的澄清。评审小组不接受供应商主动提出的澄清。</w:t>
      </w:r>
    </w:p>
    <w:p w14:paraId="66E3C2C0">
      <w:pPr>
        <w:spacing w:line="360" w:lineRule="auto"/>
        <w:ind w:firstLine="420"/>
        <w:rPr>
          <w:rFonts w:ascii="Times New Roman" w:hAnsi="Times New Roman" w:cs="Times New Roman"/>
          <w:strike/>
          <w:sz w:val="24"/>
        </w:rPr>
      </w:pPr>
      <w:r>
        <w:rPr>
          <w:rFonts w:ascii="Times New Roman" w:hAnsi="Times New Roman" w:cs="Times New Roman"/>
          <w:sz w:val="24"/>
        </w:rPr>
        <w:t>3.4.2 澄清不得超出响应文件的范围且不得改变响应文件的实质性内容，并构成响应文件的组成部分。</w:t>
      </w:r>
    </w:p>
    <w:p w14:paraId="4AB333AA">
      <w:pPr>
        <w:keepNext/>
        <w:keepLines/>
        <w:spacing w:before="120" w:after="120" w:line="360" w:lineRule="auto"/>
        <w:outlineLvl w:val="2"/>
        <w:rPr>
          <w:rFonts w:ascii="Times New Roman" w:hAnsi="Times New Roman" w:eastAsia="黑体" w:cs="Times New Roman"/>
          <w:bCs/>
          <w:sz w:val="24"/>
        </w:rPr>
      </w:pPr>
      <w:r>
        <w:rPr>
          <w:rFonts w:ascii="Times New Roman" w:hAnsi="Times New Roman" w:eastAsia="黑体" w:cs="Times New Roman"/>
          <w:bCs/>
          <w:sz w:val="24"/>
        </w:rPr>
        <w:t>3.5评审结果</w:t>
      </w:r>
    </w:p>
    <w:p w14:paraId="57D1DA85">
      <w:pPr>
        <w:spacing w:line="360" w:lineRule="auto"/>
        <w:ind w:firstLine="420"/>
        <w:rPr>
          <w:rFonts w:ascii="Times New Roman" w:hAnsi="Times New Roman" w:cs="Times New Roman"/>
          <w:sz w:val="24"/>
        </w:rPr>
      </w:pPr>
      <w:r>
        <w:rPr>
          <w:rFonts w:ascii="Times New Roman" w:hAnsi="Times New Roman" w:cs="Times New Roman"/>
          <w:sz w:val="24"/>
        </w:rPr>
        <w:t>评审小组完成评审后，应当向采购人提交评审报告。评审报告应当如实记载以下内容：</w:t>
      </w:r>
    </w:p>
    <w:p w14:paraId="28B91163">
      <w:pPr>
        <w:spacing w:line="360" w:lineRule="auto"/>
        <w:ind w:firstLine="420"/>
        <w:rPr>
          <w:rFonts w:ascii="Times New Roman" w:hAnsi="Times New Roman" w:cs="Times New Roman"/>
          <w:sz w:val="24"/>
        </w:rPr>
      </w:pPr>
      <w:r>
        <w:rPr>
          <w:rFonts w:ascii="Times New Roman" w:hAnsi="Times New Roman" w:cs="Times New Roman"/>
          <w:sz w:val="24"/>
        </w:rPr>
        <w:t>（一）采购项目基本情况</w:t>
      </w:r>
    </w:p>
    <w:p w14:paraId="5EDCBA1C">
      <w:pPr>
        <w:spacing w:line="360" w:lineRule="auto"/>
        <w:ind w:firstLine="420"/>
        <w:rPr>
          <w:rFonts w:ascii="Times New Roman" w:hAnsi="Times New Roman" w:cs="Times New Roman"/>
          <w:sz w:val="24"/>
        </w:rPr>
      </w:pPr>
      <w:r>
        <w:rPr>
          <w:rFonts w:ascii="Times New Roman" w:hAnsi="Times New Roman" w:cs="Times New Roman"/>
          <w:sz w:val="24"/>
        </w:rPr>
        <w:t>（二）采购过程回顾</w:t>
      </w:r>
    </w:p>
    <w:p w14:paraId="54DCB862">
      <w:pPr>
        <w:spacing w:line="360" w:lineRule="auto"/>
        <w:ind w:firstLine="420"/>
        <w:rPr>
          <w:rFonts w:ascii="Times New Roman" w:hAnsi="Times New Roman" w:cs="Times New Roman"/>
          <w:sz w:val="24"/>
        </w:rPr>
      </w:pPr>
      <w:r>
        <w:rPr>
          <w:rFonts w:ascii="Times New Roman" w:hAnsi="Times New Roman" w:cs="Times New Roman"/>
          <w:sz w:val="24"/>
        </w:rPr>
        <w:t>（三）评审小组成员名单</w:t>
      </w:r>
    </w:p>
    <w:p w14:paraId="329A7D3D">
      <w:pPr>
        <w:spacing w:line="360" w:lineRule="auto"/>
        <w:ind w:firstLine="420"/>
        <w:rPr>
          <w:rFonts w:ascii="Times New Roman" w:hAnsi="Times New Roman" w:cs="Times New Roman"/>
          <w:sz w:val="24"/>
        </w:rPr>
      </w:pPr>
      <w:r>
        <w:rPr>
          <w:rFonts w:ascii="Times New Roman" w:hAnsi="Times New Roman" w:cs="Times New Roman"/>
          <w:sz w:val="24"/>
        </w:rPr>
        <w:t>（四）询比评审工作</w:t>
      </w:r>
    </w:p>
    <w:p w14:paraId="6BC36DBE">
      <w:pPr>
        <w:spacing w:line="360" w:lineRule="auto"/>
        <w:ind w:firstLine="420"/>
        <w:rPr>
          <w:rFonts w:ascii="Times New Roman" w:hAnsi="Times New Roman" w:cs="Times New Roman"/>
          <w:sz w:val="24"/>
        </w:rPr>
      </w:pPr>
      <w:r>
        <w:rPr>
          <w:rFonts w:ascii="Times New Roman" w:hAnsi="Times New Roman" w:cs="Times New Roman"/>
          <w:sz w:val="24"/>
        </w:rPr>
        <w:t>1、评审办法</w:t>
      </w:r>
    </w:p>
    <w:p w14:paraId="4355F108">
      <w:pPr>
        <w:spacing w:line="360" w:lineRule="auto"/>
        <w:ind w:firstLine="420"/>
        <w:rPr>
          <w:rFonts w:ascii="Times New Roman" w:hAnsi="Times New Roman" w:cs="Times New Roman"/>
          <w:sz w:val="24"/>
        </w:rPr>
      </w:pPr>
      <w:r>
        <w:rPr>
          <w:rFonts w:ascii="Times New Roman" w:hAnsi="Times New Roman" w:cs="Times New Roman"/>
          <w:sz w:val="24"/>
        </w:rPr>
        <w:t>2、初步评审情况（资格审查、形式性审查、响应性审查）</w:t>
      </w:r>
    </w:p>
    <w:p w14:paraId="530CA608">
      <w:pPr>
        <w:spacing w:line="360" w:lineRule="auto"/>
        <w:ind w:firstLine="420"/>
        <w:rPr>
          <w:rFonts w:ascii="Times New Roman" w:hAnsi="Times New Roman" w:cs="Times New Roman"/>
          <w:sz w:val="24"/>
        </w:rPr>
      </w:pPr>
      <w:r>
        <w:rPr>
          <w:rFonts w:ascii="Times New Roman" w:hAnsi="Times New Roman" w:cs="Times New Roman"/>
          <w:sz w:val="24"/>
        </w:rPr>
        <w:t>3、详细评审情况（供应商的综合评分情况）</w:t>
      </w:r>
    </w:p>
    <w:p w14:paraId="274A70DA">
      <w:pPr>
        <w:spacing w:line="360" w:lineRule="auto"/>
        <w:ind w:firstLine="420"/>
        <w:rPr>
          <w:rFonts w:ascii="Times New Roman" w:hAnsi="Times New Roman" w:cs="Times New Roman"/>
          <w:sz w:val="24"/>
        </w:rPr>
      </w:pPr>
      <w:r>
        <w:rPr>
          <w:rFonts w:ascii="Times New Roman" w:hAnsi="Times New Roman" w:cs="Times New Roman"/>
          <w:sz w:val="24"/>
        </w:rPr>
        <w:t>4、否决的供应商名单以及否决理由（如有）</w:t>
      </w:r>
    </w:p>
    <w:p w14:paraId="6DD81CE8">
      <w:pPr>
        <w:spacing w:line="360" w:lineRule="auto"/>
        <w:ind w:firstLine="420"/>
        <w:rPr>
          <w:rFonts w:ascii="Times New Roman" w:hAnsi="Times New Roman" w:cs="Times New Roman"/>
          <w:sz w:val="24"/>
        </w:rPr>
      </w:pPr>
      <w:r>
        <w:rPr>
          <w:rFonts w:ascii="Times New Roman" w:hAnsi="Times New Roman" w:cs="Times New Roman"/>
          <w:sz w:val="24"/>
        </w:rPr>
        <w:t>5、推荐候选供应商排序</w:t>
      </w:r>
    </w:p>
    <w:p w14:paraId="16D9D596">
      <w:pPr>
        <w:spacing w:line="360" w:lineRule="auto"/>
        <w:ind w:firstLine="420"/>
        <w:rPr>
          <w:rFonts w:ascii="Times New Roman" w:hAnsi="Times New Roman" w:cs="Times New Roman"/>
          <w:sz w:val="24"/>
        </w:rPr>
      </w:pPr>
      <w:r>
        <w:rPr>
          <w:rFonts w:ascii="Times New Roman" w:hAnsi="Times New Roman" w:cs="Times New Roman"/>
          <w:sz w:val="24"/>
        </w:rPr>
        <w:t>（五）需要说明的其他事项</w:t>
      </w:r>
    </w:p>
    <w:p w14:paraId="3DE3A526">
      <w:pPr>
        <w:spacing w:line="360" w:lineRule="auto"/>
        <w:ind w:firstLine="420"/>
        <w:rPr>
          <w:rFonts w:ascii="Times New Roman" w:hAnsi="Times New Roman" w:cs="Times New Roman"/>
          <w:sz w:val="24"/>
        </w:rPr>
      </w:pPr>
      <w:r>
        <w:rPr>
          <w:rFonts w:ascii="Times New Roman" w:hAnsi="Times New Roman" w:cs="Times New Roman"/>
          <w:sz w:val="24"/>
        </w:rPr>
        <w:t>（六）评审附表</w:t>
      </w:r>
    </w:p>
    <w:p w14:paraId="61436B7C">
      <w:pPr>
        <w:spacing w:line="360" w:lineRule="auto"/>
        <w:ind w:firstLine="420"/>
        <w:rPr>
          <w:rFonts w:ascii="Times New Roman" w:hAnsi="Times New Roman" w:cs="Times New Roman"/>
          <w:sz w:val="24"/>
        </w:rPr>
      </w:pPr>
      <w:r>
        <w:rPr>
          <w:rFonts w:ascii="Times New Roman" w:hAnsi="Times New Roman" w:cs="Times New Roman"/>
          <w:sz w:val="24"/>
        </w:rPr>
        <w:t>1、响应文件开启记录表</w:t>
      </w:r>
    </w:p>
    <w:p w14:paraId="727F553A">
      <w:pPr>
        <w:spacing w:line="360" w:lineRule="auto"/>
        <w:ind w:firstLine="420"/>
        <w:rPr>
          <w:rFonts w:ascii="Times New Roman" w:hAnsi="Times New Roman" w:cs="Times New Roman"/>
          <w:sz w:val="24"/>
        </w:rPr>
        <w:sectPr>
          <w:footerReference r:id="rId6" w:type="first"/>
          <w:footerReference r:id="rId5" w:type="default"/>
          <w:footnotePr>
            <w:numFmt w:val="decimalEnclosedCircleChinese"/>
            <w:numRestart w:val="eachPage"/>
          </w:footnotePr>
          <w:pgSz w:w="11906" w:h="16838"/>
          <w:pgMar w:top="1440" w:right="1797" w:bottom="1440" w:left="1797" w:header="851" w:footer="992" w:gutter="0"/>
          <w:pgNumType w:start="1"/>
          <w:cols w:space="720" w:num="1"/>
          <w:titlePg/>
          <w:docGrid w:type="linesAndChars" w:linePitch="312" w:charSpace="0"/>
        </w:sectPr>
      </w:pPr>
      <w:r>
        <w:rPr>
          <w:rFonts w:ascii="Times New Roman" w:hAnsi="Times New Roman" w:cs="Times New Roman"/>
          <w:sz w:val="24"/>
        </w:rPr>
        <w:t>2、评审表格</w:t>
      </w:r>
    </w:p>
    <w:p w14:paraId="19F58277">
      <w:pPr>
        <w:pStyle w:val="3"/>
        <w:spacing w:after="240"/>
        <w:rPr>
          <w:rFonts w:ascii="Times New Roman" w:hAnsi="Times New Roman" w:eastAsia="宋体" w:cs="Times New Roman"/>
        </w:rPr>
      </w:pPr>
      <w:bookmarkStart w:id="131" w:name="_Toc447808679"/>
      <w:bookmarkStart w:id="132" w:name="_Toc228"/>
      <w:bookmarkStart w:id="133" w:name="_Toc12005"/>
      <w:bookmarkStart w:id="134" w:name="_Toc16698_WPSOffice_Level2"/>
      <w:r>
        <w:rPr>
          <w:rFonts w:ascii="Times New Roman" w:hAnsi="Times New Roman" w:eastAsia="宋体" w:cs="Times New Roman"/>
        </w:rPr>
        <w:t>服务合同</w:t>
      </w:r>
      <w:bookmarkEnd w:id="131"/>
      <w:bookmarkEnd w:id="132"/>
      <w:bookmarkEnd w:id="133"/>
      <w:bookmarkEnd w:id="134"/>
      <w:bookmarkStart w:id="135" w:name="_bookmark259"/>
      <w:bookmarkEnd w:id="135"/>
      <w:bookmarkStart w:id="136" w:name="_Toc30852_WPSOffice_Level1"/>
    </w:p>
    <w:p w14:paraId="7A9AD463">
      <w:pPr>
        <w:adjustRightInd w:val="0"/>
        <w:spacing w:after="120" w:line="520" w:lineRule="exact"/>
        <w:ind w:left="435" w:right="120" w:firstLine="195"/>
        <w:textAlignment w:val="baseline"/>
        <w:rPr>
          <w:rFonts w:ascii="Times New Roman" w:hAnsi="Times New Roman" w:eastAsia="黑体" w:cs="Times New Roman"/>
          <w:snapToGrid w:val="0"/>
          <w:spacing w:val="-8"/>
        </w:rPr>
      </w:pPr>
      <w:bookmarkStart w:id="137" w:name="_Toc491262315"/>
      <w:bookmarkStart w:id="138" w:name="_Toc30726"/>
    </w:p>
    <w:p w14:paraId="20D2CCE8">
      <w:pPr>
        <w:adjustRightInd w:val="0"/>
        <w:spacing w:after="120" w:line="520" w:lineRule="exact"/>
        <w:ind w:left="435" w:right="120" w:firstLine="195"/>
        <w:textAlignment w:val="baseline"/>
        <w:rPr>
          <w:rFonts w:ascii="Times New Roman" w:hAnsi="Times New Roman" w:eastAsia="黑体" w:cs="Times New Roman"/>
          <w:snapToGrid w:val="0"/>
          <w:spacing w:val="-8"/>
        </w:rPr>
      </w:pPr>
    </w:p>
    <w:p w14:paraId="24DF20BB">
      <w:pPr>
        <w:autoSpaceDE w:val="0"/>
        <w:autoSpaceDN w:val="0"/>
        <w:adjustRightInd w:val="0"/>
        <w:spacing w:line="560" w:lineRule="exact"/>
        <w:ind w:right="12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技术服务合同</w:t>
      </w:r>
    </w:p>
    <w:p w14:paraId="1EF77656">
      <w:pPr>
        <w:autoSpaceDE w:val="0"/>
        <w:autoSpaceDN w:val="0"/>
        <w:adjustRightInd w:val="0"/>
        <w:spacing w:line="560" w:lineRule="exact"/>
        <w:ind w:right="120" w:firstLine="442"/>
        <w:jc w:val="center"/>
        <w:rPr>
          <w:rFonts w:ascii="Times New Roman" w:hAnsi="Times New Roman" w:eastAsia="方正小标宋简体" w:cs="Times New Roman"/>
          <w:kern w:val="0"/>
          <w:sz w:val="44"/>
          <w:szCs w:val="44"/>
        </w:rPr>
      </w:pPr>
    </w:p>
    <w:p w14:paraId="168370E6">
      <w:pPr>
        <w:autoSpaceDE w:val="0"/>
        <w:autoSpaceDN w:val="0"/>
        <w:adjustRightInd w:val="0"/>
        <w:spacing w:line="560" w:lineRule="exact"/>
        <w:ind w:left="1600" w:right="120" w:hanging="1600" w:hangingChars="500"/>
        <w:jc w:val="left"/>
        <w:rPr>
          <w:rFonts w:ascii="Times New Roman" w:hAnsi="Times New Roman" w:cs="Times New Roman"/>
          <w:kern w:val="0"/>
          <w:sz w:val="32"/>
          <w:szCs w:val="32"/>
        </w:rPr>
      </w:pPr>
    </w:p>
    <w:p w14:paraId="4B8EEF1C">
      <w:pPr>
        <w:autoSpaceDE w:val="0"/>
        <w:autoSpaceDN w:val="0"/>
        <w:adjustRightInd w:val="0"/>
        <w:spacing w:line="560" w:lineRule="exact"/>
        <w:ind w:left="1919" w:leftChars="152" w:right="120" w:hanging="1600" w:hangingChars="500"/>
        <w:jc w:val="left"/>
        <w:rPr>
          <w:rFonts w:ascii="Times New Roman" w:hAnsi="Times New Roman" w:cs="Times New Roman"/>
          <w:kern w:val="0"/>
          <w:sz w:val="32"/>
          <w:szCs w:val="32"/>
        </w:rPr>
      </w:pPr>
      <w:r>
        <w:rPr>
          <w:rFonts w:ascii="Times New Roman" w:hAnsi="Times New Roman" w:cs="Times New Roman"/>
          <w:kern w:val="0"/>
          <w:sz w:val="32"/>
          <w:szCs w:val="32"/>
        </w:rPr>
        <w:t>项目名称：安徽交控建设工程集团有限公司十五五规划咨询服务</w:t>
      </w:r>
    </w:p>
    <w:p w14:paraId="4577F0EB">
      <w:pPr>
        <w:autoSpaceDE w:val="0"/>
        <w:autoSpaceDN w:val="0"/>
        <w:adjustRightInd w:val="0"/>
        <w:spacing w:line="560" w:lineRule="exact"/>
        <w:ind w:right="120" w:firstLine="321"/>
        <w:rPr>
          <w:rFonts w:ascii="Times New Roman" w:hAnsi="Times New Roman" w:cs="Times New Roman"/>
          <w:kern w:val="0"/>
          <w:sz w:val="32"/>
          <w:szCs w:val="32"/>
        </w:rPr>
      </w:pPr>
    </w:p>
    <w:p w14:paraId="4691B919">
      <w:pPr>
        <w:autoSpaceDE w:val="0"/>
        <w:autoSpaceDN w:val="0"/>
        <w:adjustRightInd w:val="0"/>
        <w:spacing w:line="560" w:lineRule="exact"/>
        <w:ind w:right="120" w:firstLine="321"/>
        <w:rPr>
          <w:rFonts w:ascii="Times New Roman" w:hAnsi="Times New Roman" w:cs="Times New Roman"/>
          <w:kern w:val="0"/>
          <w:sz w:val="32"/>
          <w:szCs w:val="32"/>
        </w:rPr>
      </w:pPr>
      <w:r>
        <w:rPr>
          <w:rFonts w:ascii="Times New Roman" w:hAnsi="Times New Roman" w:cs="Times New Roman"/>
          <w:kern w:val="0"/>
          <w:sz w:val="32"/>
          <w:szCs w:val="32"/>
        </w:rPr>
        <w:t>委托方（甲方）： 安徽交控建设工程集团有限公司</w:t>
      </w:r>
    </w:p>
    <w:p w14:paraId="5F76CF1E">
      <w:pPr>
        <w:autoSpaceDE w:val="0"/>
        <w:autoSpaceDN w:val="0"/>
        <w:adjustRightInd w:val="0"/>
        <w:spacing w:line="560" w:lineRule="exact"/>
        <w:ind w:right="120" w:firstLine="321"/>
        <w:rPr>
          <w:rFonts w:ascii="Times New Roman" w:hAnsi="Times New Roman" w:cs="Times New Roman"/>
          <w:kern w:val="0"/>
          <w:sz w:val="32"/>
          <w:szCs w:val="32"/>
        </w:rPr>
      </w:pPr>
    </w:p>
    <w:p w14:paraId="6BF4A656">
      <w:pPr>
        <w:autoSpaceDE w:val="0"/>
        <w:autoSpaceDN w:val="0"/>
        <w:adjustRightInd w:val="0"/>
        <w:spacing w:line="560" w:lineRule="exact"/>
        <w:ind w:right="120" w:firstLine="321"/>
        <w:rPr>
          <w:rFonts w:ascii="Times New Roman" w:hAnsi="Times New Roman" w:cs="Times New Roman"/>
          <w:kern w:val="0"/>
          <w:sz w:val="32"/>
          <w:szCs w:val="32"/>
        </w:rPr>
      </w:pPr>
      <w:r>
        <w:rPr>
          <w:rFonts w:ascii="Times New Roman" w:hAnsi="Times New Roman" w:cs="Times New Roman"/>
          <w:kern w:val="0"/>
          <w:sz w:val="32"/>
          <w:szCs w:val="32"/>
        </w:rPr>
        <w:t>受托方（乙方）：</w:t>
      </w:r>
    </w:p>
    <w:p w14:paraId="239E156C">
      <w:pPr>
        <w:autoSpaceDE w:val="0"/>
        <w:autoSpaceDN w:val="0"/>
        <w:adjustRightInd w:val="0"/>
        <w:spacing w:line="560" w:lineRule="exact"/>
        <w:ind w:right="120" w:firstLine="321"/>
        <w:rPr>
          <w:rFonts w:ascii="Times New Roman" w:hAnsi="Times New Roman" w:cs="Times New Roman"/>
          <w:kern w:val="0"/>
          <w:sz w:val="32"/>
          <w:szCs w:val="32"/>
        </w:rPr>
      </w:pPr>
    </w:p>
    <w:p w14:paraId="02A8A488">
      <w:pPr>
        <w:autoSpaceDE w:val="0"/>
        <w:autoSpaceDN w:val="0"/>
        <w:adjustRightInd w:val="0"/>
        <w:spacing w:line="560" w:lineRule="exact"/>
        <w:ind w:right="120" w:firstLine="321"/>
        <w:rPr>
          <w:rFonts w:ascii="Times New Roman" w:hAnsi="Times New Roman" w:cs="Times New Roman"/>
          <w:kern w:val="0"/>
          <w:sz w:val="32"/>
          <w:szCs w:val="32"/>
        </w:rPr>
      </w:pPr>
    </w:p>
    <w:p w14:paraId="1ABCB626">
      <w:pPr>
        <w:autoSpaceDE w:val="0"/>
        <w:autoSpaceDN w:val="0"/>
        <w:adjustRightInd w:val="0"/>
        <w:spacing w:line="560" w:lineRule="exact"/>
        <w:ind w:right="120" w:firstLine="321"/>
        <w:rPr>
          <w:rFonts w:ascii="Times New Roman" w:hAnsi="Times New Roman" w:cs="Times New Roman"/>
          <w:kern w:val="0"/>
          <w:sz w:val="32"/>
          <w:szCs w:val="32"/>
        </w:rPr>
      </w:pPr>
    </w:p>
    <w:p w14:paraId="54A480E2">
      <w:pPr>
        <w:autoSpaceDE w:val="0"/>
        <w:autoSpaceDN w:val="0"/>
        <w:adjustRightInd w:val="0"/>
        <w:spacing w:line="560" w:lineRule="exact"/>
        <w:ind w:right="120" w:firstLine="321"/>
        <w:rPr>
          <w:rFonts w:ascii="Times New Roman" w:hAnsi="Times New Roman" w:cs="Times New Roman"/>
          <w:kern w:val="0"/>
          <w:sz w:val="32"/>
          <w:szCs w:val="32"/>
        </w:rPr>
      </w:pPr>
      <w:r>
        <w:rPr>
          <w:rFonts w:ascii="Times New Roman" w:hAnsi="Times New Roman" w:cs="Times New Roman"/>
          <w:kern w:val="0"/>
          <w:sz w:val="32"/>
          <w:szCs w:val="32"/>
        </w:rPr>
        <w:t>签订时间：</w:t>
      </w:r>
    </w:p>
    <w:p w14:paraId="45F14DF8">
      <w:pPr>
        <w:autoSpaceDE w:val="0"/>
        <w:autoSpaceDN w:val="0"/>
        <w:adjustRightInd w:val="0"/>
        <w:spacing w:line="560" w:lineRule="exact"/>
        <w:ind w:right="120" w:firstLine="560" w:firstLineChars="200"/>
        <w:rPr>
          <w:rFonts w:ascii="Times New Roman" w:hAnsi="Times New Roman" w:cs="Times New Roman"/>
          <w:sz w:val="28"/>
          <w:szCs w:val="28"/>
        </w:rPr>
        <w:sectPr>
          <w:pgSz w:w="11906" w:h="16838"/>
          <w:pgMar w:top="1417" w:right="1417" w:bottom="1417" w:left="1417" w:header="851" w:footer="992" w:gutter="0"/>
          <w:cols w:space="720" w:num="1"/>
          <w:docGrid w:linePitch="312" w:charSpace="0"/>
        </w:sectPr>
      </w:pPr>
    </w:p>
    <w:p w14:paraId="55490433">
      <w:pPr>
        <w:pageBreakBefore/>
        <w:autoSpaceDE w:val="0"/>
        <w:autoSpaceDN w:val="0"/>
        <w:adjustRightInd w:val="0"/>
        <w:spacing w:line="560" w:lineRule="exact"/>
        <w:ind w:right="12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填写说明</w:t>
      </w:r>
    </w:p>
    <w:p w14:paraId="6D3301F3">
      <w:pPr>
        <w:spacing w:line="560" w:lineRule="exact"/>
        <w:ind w:right="120" w:firstLine="211"/>
        <w:rPr>
          <w:rFonts w:ascii="Times New Roman" w:hAnsi="Times New Roman" w:cs="Times New Roman"/>
          <w:szCs w:val="22"/>
        </w:rPr>
      </w:pPr>
    </w:p>
    <w:p w14:paraId="58DEB6EB">
      <w:pPr>
        <w:autoSpaceDE w:val="0"/>
        <w:autoSpaceDN w:val="0"/>
        <w:adjustRightInd w:val="0"/>
        <w:spacing w:line="560" w:lineRule="exact"/>
        <w:ind w:right="120" w:firstLine="211"/>
        <w:rPr>
          <w:rFonts w:ascii="Times New Roman" w:hAnsi="Times New Roman" w:cs="Times New Roman"/>
          <w:kern w:val="0"/>
          <w:szCs w:val="21"/>
        </w:rPr>
      </w:pPr>
      <w:r>
        <w:rPr>
          <w:rFonts w:ascii="Times New Roman" w:hAnsi="Times New Roman" w:cs="Times New Roman"/>
          <w:kern w:val="0"/>
          <w:szCs w:val="21"/>
        </w:rPr>
        <w:t>一、本合同为中华人民共和国科学技术部印制的技术服务合同示范文本，各技术合同认定登记机构可推介技术合同当事人使用。</w:t>
      </w:r>
    </w:p>
    <w:p w14:paraId="731C4815">
      <w:pPr>
        <w:autoSpaceDE w:val="0"/>
        <w:autoSpaceDN w:val="0"/>
        <w:adjustRightInd w:val="0"/>
        <w:spacing w:line="560" w:lineRule="exact"/>
        <w:ind w:right="120" w:firstLine="211"/>
        <w:rPr>
          <w:rFonts w:ascii="Times New Roman" w:hAnsi="Times New Roman" w:cs="Times New Roman"/>
          <w:kern w:val="0"/>
          <w:szCs w:val="21"/>
        </w:rPr>
      </w:pPr>
      <w:r>
        <w:rPr>
          <w:rFonts w:ascii="Times New Roman" w:hAnsi="Times New Roman" w:cs="Times New Roman"/>
          <w:kern w:val="0"/>
          <w:szCs w:val="21"/>
        </w:rPr>
        <w:t>二、本合同书适用于一方当事人（受托方）以技术知识为另一方（委托方）解决特定技术问题所订立的合同。</w:t>
      </w:r>
    </w:p>
    <w:p w14:paraId="1F06515B">
      <w:pPr>
        <w:autoSpaceDE w:val="0"/>
        <w:autoSpaceDN w:val="0"/>
        <w:adjustRightInd w:val="0"/>
        <w:spacing w:line="560" w:lineRule="exact"/>
        <w:ind w:right="120" w:firstLine="211"/>
        <w:rPr>
          <w:rFonts w:ascii="Times New Roman" w:hAnsi="Times New Roman" w:cs="Times New Roman"/>
          <w:kern w:val="0"/>
          <w:szCs w:val="21"/>
        </w:rPr>
      </w:pPr>
      <w:r>
        <w:rPr>
          <w:rFonts w:ascii="Times New Roman" w:hAnsi="Times New Roman" w:cs="Times New Roman"/>
          <w:kern w:val="0"/>
          <w:szCs w:val="21"/>
        </w:rPr>
        <w:t>三、签约一方为多个当事人的，可按各自在合同关系中的作用等，在“委托方”、“受托方”项下（增页）分别排列为共同委托人或共同受托人。</w:t>
      </w:r>
    </w:p>
    <w:p w14:paraId="506BD01F">
      <w:pPr>
        <w:autoSpaceDE w:val="0"/>
        <w:autoSpaceDN w:val="0"/>
        <w:adjustRightInd w:val="0"/>
        <w:spacing w:line="560" w:lineRule="exact"/>
        <w:ind w:right="120" w:firstLine="211"/>
        <w:rPr>
          <w:rFonts w:ascii="Times New Roman" w:hAnsi="Times New Roman" w:cs="Times New Roman"/>
          <w:kern w:val="0"/>
          <w:szCs w:val="21"/>
        </w:rPr>
      </w:pPr>
      <w:r>
        <w:rPr>
          <w:rFonts w:ascii="Times New Roman" w:hAnsi="Times New Roman" w:cs="Times New Roman"/>
          <w:kern w:val="0"/>
          <w:szCs w:val="21"/>
        </w:rPr>
        <w:t>四、本合同书未尽事项，可由当事人附页另行约定，并作为本合同的组成部分。</w:t>
      </w:r>
    </w:p>
    <w:p w14:paraId="531C1AB7">
      <w:pPr>
        <w:autoSpaceDE w:val="0"/>
        <w:autoSpaceDN w:val="0"/>
        <w:adjustRightInd w:val="0"/>
        <w:spacing w:line="560" w:lineRule="exact"/>
        <w:ind w:right="120" w:firstLine="211"/>
        <w:rPr>
          <w:rFonts w:ascii="Times New Roman" w:hAnsi="Times New Roman" w:cs="Times New Roman"/>
          <w:kern w:val="0"/>
          <w:szCs w:val="21"/>
        </w:rPr>
      </w:pPr>
      <w:r>
        <w:rPr>
          <w:rFonts w:ascii="Times New Roman" w:hAnsi="Times New Roman" w:cs="Times New Roman"/>
          <w:kern w:val="0"/>
          <w:szCs w:val="21"/>
        </w:rPr>
        <w:t>五、当事人使用本合同书时约定无需填写的条款，应在该条款处注明“无”等字样。</w:t>
      </w:r>
    </w:p>
    <w:p w14:paraId="7839B612">
      <w:pPr>
        <w:spacing w:line="560" w:lineRule="exact"/>
        <w:ind w:right="120" w:firstLine="211"/>
        <w:rPr>
          <w:rFonts w:ascii="Times New Roman" w:hAnsi="Times New Roman" w:cs="Times New Roman"/>
          <w:szCs w:val="22"/>
        </w:rPr>
      </w:pPr>
    </w:p>
    <w:p w14:paraId="590AB757">
      <w:pPr>
        <w:ind w:right="120" w:firstLine="211"/>
        <w:rPr>
          <w:rFonts w:ascii="Times New Roman" w:hAnsi="Times New Roman" w:cs="Times New Roman"/>
        </w:rPr>
        <w:sectPr>
          <w:pgSz w:w="11906" w:h="16838"/>
          <w:pgMar w:top="1417" w:right="1417" w:bottom="1417" w:left="1417" w:header="851" w:footer="992" w:gutter="0"/>
          <w:cols w:space="720" w:num="1"/>
          <w:docGrid w:linePitch="312" w:charSpace="0"/>
        </w:sectPr>
      </w:pPr>
    </w:p>
    <w:p w14:paraId="0B28668A">
      <w:pPr>
        <w:pageBreakBefore/>
        <w:autoSpaceDE w:val="0"/>
        <w:autoSpaceDN w:val="0"/>
        <w:adjustRightInd w:val="0"/>
        <w:spacing w:line="560" w:lineRule="exact"/>
        <w:ind w:right="126"/>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技术服务合同</w:t>
      </w:r>
    </w:p>
    <w:p w14:paraId="27F27F1F">
      <w:pPr>
        <w:autoSpaceDE w:val="0"/>
        <w:autoSpaceDN w:val="0"/>
        <w:adjustRightInd w:val="0"/>
        <w:ind w:right="126" w:firstLine="253"/>
        <w:jc w:val="left"/>
        <w:rPr>
          <w:rFonts w:ascii="Times New Roman" w:hAnsi="Times New Roman" w:eastAsia="Sim Hei" w:cs="Times New Roman"/>
          <w:kern w:val="0"/>
          <w:sz w:val="24"/>
        </w:rPr>
      </w:pPr>
    </w:p>
    <w:p w14:paraId="1D038A93">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委托方（甲方）：安徽交控建设工程集团有限公司</w:t>
      </w:r>
    </w:p>
    <w:p w14:paraId="2BE7F9BA">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 xml:space="preserve">住所地： </w:t>
      </w:r>
    </w:p>
    <w:p w14:paraId="7D64239E">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项目联系人：</w:t>
      </w:r>
    </w:p>
    <w:p w14:paraId="05B75671">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 xml:space="preserve">通讯地址： </w:t>
      </w:r>
    </w:p>
    <w:p w14:paraId="657BF235">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电话：                           手机：</w:t>
      </w:r>
    </w:p>
    <w:p w14:paraId="5F07CE31">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 xml:space="preserve">电子信箱： </w:t>
      </w:r>
    </w:p>
    <w:p w14:paraId="497E2011">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受托方（乙方）：</w:t>
      </w:r>
    </w:p>
    <w:p w14:paraId="06A10618">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住所地：</w:t>
      </w:r>
    </w:p>
    <w:p w14:paraId="6A7378FE">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 xml:space="preserve">法定代表人： </w:t>
      </w:r>
    </w:p>
    <w:p w14:paraId="6AF5A3E7">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项目联系人：</w:t>
      </w:r>
    </w:p>
    <w:p w14:paraId="6C9DC9E1">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通讯地址：</w:t>
      </w:r>
    </w:p>
    <w:p w14:paraId="7C56AB67">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电话：手机：</w:t>
      </w:r>
    </w:p>
    <w:p w14:paraId="23FA9990">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电子信箱：</w:t>
      </w:r>
    </w:p>
    <w:p w14:paraId="5FE1E8A0">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本合同甲方委托乙方就</w:t>
      </w:r>
      <w:r>
        <w:rPr>
          <w:rFonts w:ascii="Times New Roman" w:hAnsi="Times New Roman" w:cs="Times New Roman"/>
          <w:kern w:val="0"/>
          <w:szCs w:val="21"/>
          <w:u w:val="single"/>
        </w:rPr>
        <w:t>《</w:t>
      </w:r>
      <w:r>
        <w:rPr>
          <w:u w:val="single"/>
        </w:rPr>
        <w:t>安徽交控建设工程集团有限公司十五五规划咨询服务</w:t>
      </w:r>
      <w:r>
        <w:rPr>
          <w:rFonts w:ascii="Times New Roman" w:hAnsi="Times New Roman" w:cs="Times New Roman"/>
          <w:kern w:val="0"/>
          <w:szCs w:val="21"/>
          <w:u w:val="single"/>
        </w:rPr>
        <w:t>》</w:t>
      </w:r>
      <w:r>
        <w:rPr>
          <w:rFonts w:ascii="Times New Roman" w:hAnsi="Times New Roman" w:cs="Times New Roman"/>
          <w:kern w:val="0"/>
          <w:szCs w:val="21"/>
        </w:rPr>
        <w:t>进行的专项技术服务，并支付相应的技术服务报酬。双方经过平等协商，在真实、充分地表达各自意愿的基础上，根据《中华人民共和国民法典》的规定，达成如下协议，并由双方共同恪守。</w:t>
      </w:r>
    </w:p>
    <w:p w14:paraId="78A62E9E">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第一条</w:t>
      </w:r>
      <w:r>
        <w:rPr>
          <w:rFonts w:ascii="Times New Roman" w:hAnsi="Times New Roman" w:cs="Times New Roman"/>
          <w:kern w:val="0"/>
          <w:szCs w:val="21"/>
        </w:rPr>
        <w:t xml:space="preserve"> 甲方委托乙方进行技术服务的成果及基本内容如下：</w:t>
      </w:r>
    </w:p>
    <w:p w14:paraId="1A576434">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（一）成果要求</w:t>
      </w:r>
    </w:p>
    <w:p w14:paraId="52F22636">
      <w:pPr>
        <w:autoSpaceDE w:val="0"/>
        <w:autoSpaceDN w:val="0"/>
        <w:adjustRightInd w:val="0"/>
        <w:spacing w:line="360" w:lineRule="auto"/>
        <w:ind w:right="126" w:firstLine="420" w:firstLineChars="200"/>
        <w:rPr>
          <w:rFonts w:ascii="Times New Roman" w:hAnsi="Times New Roman" w:cs="Times New Roman"/>
          <w:kern w:val="0"/>
          <w:szCs w:val="21"/>
        </w:rPr>
      </w:pPr>
      <w:r>
        <w:rPr>
          <w:rFonts w:hint="eastAsia" w:ascii="Times New Roman" w:hAnsi="Times New Roman" w:cs="Times New Roman"/>
          <w:kern w:val="0"/>
          <w:szCs w:val="21"/>
        </w:rPr>
        <w:t>基于安徽交控建设工程集团有限公司所处发展环境与发展现状，结合国资委、上级集团等要求，对公司“十五五”时期整体发展形势作出研判，并制定战略规划，包括目标体系、发展路径和重点保障举措等内容，最终形成《安徽交控建设工程集团有限公司十五五战略规划报告》等成果。</w:t>
      </w:r>
    </w:p>
    <w:p w14:paraId="3352A095">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（二）基本内容</w:t>
      </w:r>
    </w:p>
    <w:p w14:paraId="03E73133">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1.详见（一）成果要求。</w:t>
      </w:r>
    </w:p>
    <w:p w14:paraId="5757266D">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2.提交的成果报告形式包括但不限于：</w:t>
      </w:r>
    </w:p>
    <w:p w14:paraId="456A0694">
      <w:pPr>
        <w:autoSpaceDE w:val="0"/>
        <w:autoSpaceDN w:val="0"/>
        <w:adjustRightInd w:val="0"/>
        <w:spacing w:line="360" w:lineRule="auto"/>
        <w:ind w:right="126" w:firstLine="420" w:firstLineChars="200"/>
        <w:rPr>
          <w:rFonts w:ascii="Times New Roman" w:hAnsi="Times New Roman" w:cs="Times New Roman"/>
          <w:kern w:val="0"/>
          <w:szCs w:val="21"/>
          <w:u w:val="single"/>
        </w:rPr>
      </w:pPr>
      <w:r>
        <w:rPr>
          <w:rFonts w:ascii="Times New Roman" w:hAnsi="Times New Roman" w:cs="Times New Roman"/>
          <w:kern w:val="0"/>
          <w:szCs w:val="21"/>
          <w:u w:val="single"/>
        </w:rPr>
        <w:t>PPT和WORD版本的电子版成果报告各1套；</w:t>
      </w:r>
    </w:p>
    <w:p w14:paraId="6A46B078">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第二条</w:t>
      </w:r>
      <w:r>
        <w:rPr>
          <w:rFonts w:ascii="Times New Roman" w:hAnsi="Times New Roman" w:cs="Times New Roman"/>
          <w:kern w:val="0"/>
          <w:szCs w:val="21"/>
        </w:rPr>
        <w:t xml:space="preserve"> 本合同期限：</w:t>
      </w:r>
    </w:p>
    <w:p w14:paraId="34ECE787">
      <w:pPr>
        <w:autoSpaceDE w:val="0"/>
        <w:autoSpaceDN w:val="0"/>
        <w:adjustRightInd w:val="0"/>
        <w:spacing w:line="360" w:lineRule="auto"/>
        <w:ind w:right="126" w:firstLine="420" w:firstLineChars="200"/>
        <w:rPr>
          <w:rFonts w:ascii="Times New Roman" w:hAnsi="Times New Roman" w:cs="Times New Roman"/>
          <w:kern w:val="0"/>
          <w:szCs w:val="21"/>
        </w:rPr>
      </w:pPr>
      <w:bookmarkStart w:id="139" w:name="_Hlk173770846"/>
      <w:r>
        <w:rPr>
          <w:rFonts w:ascii="Times New Roman" w:hAnsi="Times New Roman" w:cs="Times New Roman"/>
          <w:kern w:val="0"/>
          <w:szCs w:val="21"/>
        </w:rPr>
        <w:t>本合同期限包括</w:t>
      </w:r>
      <w:r>
        <w:rPr>
          <w:rFonts w:hint="eastAsia" w:ascii="Times New Roman" w:hAnsi="Times New Roman" w:cs="Times New Roman"/>
          <w:kern w:val="0"/>
          <w:szCs w:val="21"/>
        </w:rPr>
        <w:t>规划编制</w:t>
      </w:r>
      <w:r>
        <w:rPr>
          <w:rFonts w:ascii="Times New Roman" w:hAnsi="Times New Roman" w:cs="Times New Roman"/>
          <w:kern w:val="0"/>
          <w:szCs w:val="21"/>
        </w:rPr>
        <w:t>期和后续服务期。</w:t>
      </w:r>
      <w:r>
        <w:rPr>
          <w:rFonts w:hint="eastAsia" w:ascii="Times New Roman" w:hAnsi="Times New Roman" w:cs="Times New Roman"/>
          <w:kern w:val="0"/>
          <w:szCs w:val="21"/>
        </w:rPr>
        <w:t>规划编制期计划</w:t>
      </w:r>
      <w:r>
        <w:rPr>
          <w:rFonts w:ascii="Times New Roman" w:hAnsi="Times New Roman" w:cs="Times New Roman"/>
          <w:kern w:val="0"/>
          <w:szCs w:val="21"/>
        </w:rPr>
        <w:t>自合同签订日起至2025年9月31日止；后续服务期计划自2025年9月31日至2026年6月31日止。</w:t>
      </w:r>
    </w:p>
    <w:bookmarkEnd w:id="139"/>
    <w:p w14:paraId="7F7AEA26">
      <w:pPr>
        <w:autoSpaceDE w:val="0"/>
        <w:autoSpaceDN w:val="0"/>
        <w:adjustRightInd w:val="0"/>
        <w:spacing w:line="360" w:lineRule="auto"/>
        <w:ind w:right="126" w:firstLine="420" w:firstLineChars="200"/>
        <w:rPr>
          <w:rFonts w:ascii="Times New Roman" w:hAnsi="Times New Roman" w:cs="Times New Roman"/>
          <w:kern w:val="0"/>
          <w:szCs w:val="21"/>
        </w:rPr>
      </w:pPr>
      <w:bookmarkStart w:id="140" w:name="_Hlk173767108"/>
      <w:r>
        <w:rPr>
          <w:rFonts w:ascii="Times New Roman" w:hAnsi="Times New Roman" w:cs="Times New Roman"/>
          <w:b/>
          <w:bCs/>
          <w:kern w:val="0"/>
          <w:szCs w:val="21"/>
        </w:rPr>
        <w:t xml:space="preserve">第三条 </w:t>
      </w:r>
      <w:r>
        <w:rPr>
          <w:rFonts w:ascii="Times New Roman" w:hAnsi="Times New Roman" w:cs="Times New Roman"/>
          <w:kern w:val="0"/>
          <w:szCs w:val="21"/>
        </w:rPr>
        <w:t>进度要求：</w:t>
      </w:r>
    </w:p>
    <w:p w14:paraId="2975B848">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2025年6月底前，开展相关前期工作，形成报告初稿；2025年9月底前，双方进行多轮次的对接沟通，形成报告送审稿；2026年6月底前，根据</w:t>
      </w:r>
      <w:r>
        <w:rPr>
          <w:rFonts w:hint="eastAsia" w:ascii="Times New Roman" w:hAnsi="Times New Roman" w:cs="Times New Roman"/>
          <w:kern w:val="0"/>
          <w:szCs w:val="21"/>
        </w:rPr>
        <w:t>上级集团要求</w:t>
      </w:r>
      <w:r>
        <w:rPr>
          <w:rFonts w:ascii="Times New Roman" w:hAnsi="Times New Roman" w:cs="Times New Roman"/>
          <w:kern w:val="0"/>
          <w:szCs w:val="21"/>
        </w:rPr>
        <w:t>和形势变化，进一步修订完善，形成</w:t>
      </w:r>
      <w:r>
        <w:rPr>
          <w:rFonts w:hint="eastAsia" w:ascii="Times New Roman" w:hAnsi="Times New Roman" w:cs="Times New Roman"/>
          <w:kern w:val="0"/>
          <w:szCs w:val="21"/>
        </w:rPr>
        <w:t>报告</w:t>
      </w:r>
      <w:r>
        <w:rPr>
          <w:rFonts w:ascii="Times New Roman" w:hAnsi="Times New Roman" w:cs="Times New Roman"/>
          <w:kern w:val="0"/>
          <w:szCs w:val="21"/>
        </w:rPr>
        <w:t>终稿。</w:t>
      </w:r>
      <w:bookmarkEnd w:id="140"/>
    </w:p>
    <w:p w14:paraId="242B5B07">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第四条</w:t>
      </w:r>
      <w:r>
        <w:rPr>
          <w:rFonts w:ascii="Times New Roman" w:hAnsi="Times New Roman" w:cs="Times New Roman"/>
          <w:kern w:val="0"/>
          <w:szCs w:val="21"/>
        </w:rPr>
        <w:t xml:space="preserve"> 甲方向乙方支付技术服务报酬及支付方式为：</w:t>
      </w:r>
    </w:p>
    <w:p w14:paraId="2E4FF037">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1. 技术服务费含税总额为人民币：    元。</w:t>
      </w:r>
    </w:p>
    <w:p w14:paraId="4BBF2B32">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本合同额为固定总价，包括专项调研费、资料收集费、研究费、差旅费、劳务费、评审费、印刷费、售后服务、各种税费和其他有关的所有费用不做调整。</w:t>
      </w:r>
    </w:p>
    <w:p w14:paraId="6E53194F">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ascii="Times New Roman" w:hAnsi="Times New Roman" w:eastAsia="宋体" w:cs="Times New Roman"/>
          <w:color w:val="auto"/>
          <w:kern w:val="0"/>
          <w:sz w:val="21"/>
          <w:szCs w:val="21"/>
          <w:lang w:val="en-US" w:eastAsia="zh-CN" w:bidi="ar-SA"/>
        </w:rPr>
        <w:t>乙方应按照总价10%提交履约保证金，形式包括现金、银行转账、电汇、见索即付银行保函等。</w:t>
      </w:r>
    </w:p>
    <w:p w14:paraId="7FE9065C">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2.技术服务费由甲方分期支付乙方。</w:t>
      </w:r>
    </w:p>
    <w:p w14:paraId="29A5F886">
      <w:pPr>
        <w:spacing w:line="360" w:lineRule="auto"/>
        <w:ind w:right="126" w:firstLine="420" w:firstLineChars="200"/>
        <w:rPr>
          <w:rFonts w:ascii="Times New Roman" w:hAnsi="Times New Roman" w:cs="Times New Roman"/>
          <w:szCs w:val="21"/>
        </w:rPr>
      </w:pPr>
      <w:r>
        <w:rPr>
          <w:rFonts w:ascii="Times New Roman" w:hAnsi="Times New Roman" w:cs="Times New Roman"/>
          <w:szCs w:val="21"/>
        </w:rPr>
        <w:t>具体支付方式和时间如下：</w:t>
      </w:r>
    </w:p>
    <w:p w14:paraId="5F3C0551">
      <w:pPr>
        <w:autoSpaceDE w:val="0"/>
        <w:autoSpaceDN w:val="0"/>
        <w:adjustRightInd w:val="0"/>
        <w:spacing w:line="360" w:lineRule="auto"/>
        <w:ind w:right="126" w:firstLine="420" w:firstLineChars="200"/>
        <w:rPr>
          <w:rFonts w:ascii="Times New Roman" w:hAnsi="Times New Roman" w:cs="Times New Roman"/>
          <w:szCs w:val="21"/>
        </w:rPr>
      </w:pPr>
      <w:r>
        <w:rPr>
          <w:rFonts w:ascii="Times New Roman" w:hAnsi="Times New Roman" w:cs="Times New Roman"/>
          <w:szCs w:val="21"/>
        </w:rPr>
        <w:t>第一笔:合同签订后甲方</w:t>
      </w:r>
      <w:r>
        <w:rPr>
          <w:rFonts w:hint="eastAsia" w:ascii="Times New Roman" w:hAnsi="Times New Roman" w:cs="Times New Roman"/>
          <w:szCs w:val="21"/>
        </w:rPr>
        <w:t>支付</w:t>
      </w:r>
      <w:r>
        <w:rPr>
          <w:rFonts w:ascii="Times New Roman" w:hAnsi="Times New Roman" w:cs="Times New Roman"/>
          <w:szCs w:val="21"/>
        </w:rPr>
        <w:t>乙方合同总额的</w:t>
      </w:r>
      <w:r>
        <w:rPr>
          <w:rFonts w:hint="eastAsia" w:ascii="Times New Roman" w:hAnsi="Times New Roman" w:cs="Times New Roman"/>
          <w:szCs w:val="21"/>
          <w:lang w:val="en-US" w:eastAsia="zh-CN"/>
        </w:rPr>
        <w:t>1</w:t>
      </w:r>
      <w:r>
        <w:rPr>
          <w:rFonts w:ascii="Times New Roman" w:hAnsi="Times New Roman" w:cs="Times New Roman"/>
          <w:szCs w:val="21"/>
        </w:rPr>
        <w:t>0%</w:t>
      </w:r>
      <w:r>
        <w:rPr>
          <w:rFonts w:hint="eastAsia" w:ascii="Times New Roman" w:hAnsi="Times New Roman" w:cs="Times New Roman"/>
          <w:szCs w:val="21"/>
          <w:lang w:val="en-US" w:eastAsia="zh-CN"/>
        </w:rPr>
        <w:t>预付款</w:t>
      </w:r>
      <w:r>
        <w:rPr>
          <w:rFonts w:ascii="Times New Roman" w:hAnsi="Times New Roman" w:cs="Times New Roman"/>
          <w:szCs w:val="21"/>
        </w:rPr>
        <w:t>，乙方应提供同等金额</w:t>
      </w:r>
      <w:r>
        <w:rPr>
          <w:rFonts w:hint="eastAsia" w:ascii="Times New Roman" w:hAnsi="Times New Roman" w:cs="Times New Roman"/>
          <w:szCs w:val="21"/>
        </w:rPr>
        <w:t>增值税专用发票</w:t>
      </w:r>
      <w:r>
        <w:rPr>
          <w:rFonts w:ascii="Times New Roman" w:hAnsi="Times New Roman" w:cs="Times New Roman"/>
          <w:szCs w:val="21"/>
        </w:rPr>
        <w:t>，甲方收到</w:t>
      </w:r>
      <w:r>
        <w:rPr>
          <w:rFonts w:hint="eastAsia" w:ascii="Times New Roman" w:hAnsi="Times New Roman" w:cs="Times New Roman"/>
          <w:szCs w:val="21"/>
        </w:rPr>
        <w:t>发票</w:t>
      </w:r>
      <w:r>
        <w:rPr>
          <w:rFonts w:ascii="Times New Roman" w:hAnsi="Times New Roman" w:cs="Times New Roman"/>
          <w:szCs w:val="21"/>
        </w:rPr>
        <w:t>后10</w:t>
      </w:r>
      <w:r>
        <w:rPr>
          <w:rFonts w:hint="eastAsia" w:ascii="Times New Roman" w:hAnsi="Times New Roman" w:cs="Times New Roman"/>
          <w:szCs w:val="21"/>
        </w:rPr>
        <w:t>个</w:t>
      </w:r>
      <w:r>
        <w:rPr>
          <w:rFonts w:ascii="Times New Roman" w:hAnsi="Times New Roman" w:cs="Times New Roman"/>
          <w:szCs w:val="21"/>
        </w:rPr>
        <w:t>工作日内进行支付</w:t>
      </w:r>
      <w:r>
        <w:rPr>
          <w:rFonts w:hint="eastAsia" w:ascii="Times New Roman" w:hAnsi="Times New Roman" w:cs="Times New Roman"/>
          <w:szCs w:val="21"/>
          <w:lang w:eastAsia="zh-CN"/>
        </w:rPr>
        <w:t>。乙方提交同等金额预付款保证金，形式包括现金、银行转账、电汇、见索即付银行保函等。</w:t>
      </w:r>
      <w:r>
        <w:rPr>
          <w:rFonts w:ascii="Times New Roman" w:hAnsi="Times New Roman" w:cs="Times New Roman"/>
          <w:szCs w:val="21"/>
        </w:rPr>
        <w:t>；</w:t>
      </w:r>
    </w:p>
    <w:p w14:paraId="1CA4F00F">
      <w:pPr>
        <w:autoSpaceDE w:val="0"/>
        <w:autoSpaceDN w:val="0"/>
        <w:adjustRightInd w:val="0"/>
        <w:spacing w:line="360" w:lineRule="auto"/>
        <w:ind w:right="126" w:firstLine="420" w:firstLineChars="200"/>
        <w:rPr>
          <w:rFonts w:ascii="Times New Roman" w:hAnsi="Times New Roman" w:cs="Times New Roman"/>
          <w:szCs w:val="21"/>
        </w:rPr>
      </w:pPr>
      <w:r>
        <w:rPr>
          <w:rFonts w:ascii="Times New Roman" w:hAnsi="Times New Roman" w:cs="Times New Roman"/>
          <w:szCs w:val="21"/>
        </w:rPr>
        <w:t>第二笔:完成</w:t>
      </w:r>
      <w:r>
        <w:rPr>
          <w:rFonts w:hint="eastAsia" w:ascii="Times New Roman" w:hAnsi="Times New Roman" w:cs="Times New Roman"/>
          <w:szCs w:val="21"/>
        </w:rPr>
        <w:t>初</w:t>
      </w:r>
      <w:r>
        <w:rPr>
          <w:rFonts w:ascii="Times New Roman" w:hAnsi="Times New Roman" w:cs="Times New Roman"/>
          <w:szCs w:val="21"/>
        </w:rPr>
        <w:t>稿后，乙方按合同约定开具</w:t>
      </w:r>
      <w:r>
        <w:rPr>
          <w:rFonts w:hint="eastAsia" w:ascii="Times New Roman" w:hAnsi="Times New Roman" w:cs="Times New Roman"/>
          <w:szCs w:val="21"/>
        </w:rPr>
        <w:t>等</w:t>
      </w:r>
      <w:r>
        <w:rPr>
          <w:rFonts w:ascii="Times New Roman" w:hAnsi="Times New Roman" w:cs="Times New Roman"/>
          <w:szCs w:val="21"/>
        </w:rPr>
        <w:t>额增值税专用发票递交甲方，甲方收到发票后10</w:t>
      </w:r>
      <w:r>
        <w:rPr>
          <w:rFonts w:hint="eastAsia" w:ascii="Times New Roman" w:hAnsi="Times New Roman" w:cs="Times New Roman"/>
          <w:szCs w:val="21"/>
        </w:rPr>
        <w:t>个</w:t>
      </w:r>
      <w:r>
        <w:rPr>
          <w:rFonts w:ascii="Times New Roman" w:hAnsi="Times New Roman" w:cs="Times New Roman"/>
          <w:szCs w:val="21"/>
        </w:rPr>
        <w:t>工作日内支付合同总额40%。</w:t>
      </w:r>
    </w:p>
    <w:p w14:paraId="7B12143F">
      <w:pPr>
        <w:autoSpaceDE w:val="0"/>
        <w:autoSpaceDN w:val="0"/>
        <w:adjustRightInd w:val="0"/>
        <w:spacing w:line="360" w:lineRule="auto"/>
        <w:ind w:right="126" w:firstLine="420" w:firstLineChars="200"/>
        <w:rPr>
          <w:rFonts w:ascii="Times New Roman" w:hAnsi="Times New Roman" w:cs="Times New Roman"/>
          <w:szCs w:val="21"/>
        </w:rPr>
      </w:pPr>
      <w:r>
        <w:rPr>
          <w:rFonts w:ascii="Times New Roman" w:hAnsi="Times New Roman" w:cs="Times New Roman"/>
          <w:szCs w:val="21"/>
        </w:rPr>
        <w:t>第三笔完成</w:t>
      </w:r>
      <w:r>
        <w:rPr>
          <w:rFonts w:hint="eastAsia" w:ascii="Times New Roman" w:hAnsi="Times New Roman" w:cs="Times New Roman"/>
          <w:szCs w:val="21"/>
        </w:rPr>
        <w:t>送审</w:t>
      </w:r>
      <w:r>
        <w:rPr>
          <w:rFonts w:ascii="Times New Roman" w:hAnsi="Times New Roman" w:cs="Times New Roman"/>
          <w:szCs w:val="21"/>
        </w:rPr>
        <w:t>稿后，乙方按合同约定开具</w:t>
      </w:r>
      <w:r>
        <w:rPr>
          <w:rFonts w:hint="eastAsia" w:ascii="Times New Roman" w:hAnsi="Times New Roman" w:cs="Times New Roman"/>
          <w:szCs w:val="21"/>
        </w:rPr>
        <w:t>等</w:t>
      </w:r>
      <w:r>
        <w:rPr>
          <w:rFonts w:ascii="Times New Roman" w:hAnsi="Times New Roman" w:cs="Times New Roman"/>
          <w:szCs w:val="21"/>
        </w:rPr>
        <w:t>额增值税专用发票递交甲方，甲方收到发票后10</w:t>
      </w:r>
      <w:r>
        <w:rPr>
          <w:rFonts w:hint="eastAsia" w:ascii="Times New Roman" w:hAnsi="Times New Roman" w:cs="Times New Roman"/>
          <w:szCs w:val="21"/>
        </w:rPr>
        <w:t>个</w:t>
      </w:r>
      <w:r>
        <w:rPr>
          <w:rFonts w:ascii="Times New Roman" w:hAnsi="Times New Roman" w:cs="Times New Roman"/>
          <w:szCs w:val="21"/>
        </w:rPr>
        <w:t>工作日内支付合同总额</w:t>
      </w:r>
      <w:r>
        <w:rPr>
          <w:rFonts w:hint="eastAsia" w:ascii="Times New Roman" w:hAnsi="Times New Roman" w:cs="Times New Roman"/>
          <w:szCs w:val="21"/>
          <w:lang w:val="en-US" w:eastAsia="zh-CN"/>
        </w:rPr>
        <w:t>4</w:t>
      </w:r>
      <w:r>
        <w:rPr>
          <w:rFonts w:ascii="Times New Roman" w:hAnsi="Times New Roman" w:cs="Times New Roman"/>
          <w:szCs w:val="21"/>
        </w:rPr>
        <w:t>0%。</w:t>
      </w:r>
    </w:p>
    <w:p w14:paraId="7E9A3E0C">
      <w:pPr>
        <w:autoSpaceDE w:val="0"/>
        <w:autoSpaceDN w:val="0"/>
        <w:adjustRightInd w:val="0"/>
        <w:spacing w:line="360" w:lineRule="auto"/>
        <w:ind w:right="126" w:firstLine="420" w:firstLineChars="200"/>
        <w:rPr>
          <w:rFonts w:ascii="Times New Roman" w:hAnsi="Times New Roman" w:cs="Times New Roman"/>
          <w:kern w:val="0"/>
          <w:szCs w:val="21"/>
        </w:rPr>
      </w:pPr>
      <w:r>
        <w:rPr>
          <w:rFonts w:hint="eastAsia" w:ascii="Times New Roman" w:hAnsi="Times New Roman" w:cs="Times New Roman"/>
          <w:szCs w:val="21"/>
        </w:rPr>
        <w:t>第四笔：后续服务期结束后，</w:t>
      </w:r>
      <w:r>
        <w:rPr>
          <w:rFonts w:ascii="Times New Roman" w:hAnsi="Times New Roman" w:cs="Times New Roman"/>
          <w:szCs w:val="21"/>
        </w:rPr>
        <w:t>乙方按合同约定开具</w:t>
      </w:r>
      <w:r>
        <w:rPr>
          <w:rFonts w:hint="eastAsia" w:ascii="Times New Roman" w:hAnsi="Times New Roman" w:cs="Times New Roman"/>
          <w:szCs w:val="21"/>
        </w:rPr>
        <w:t>等</w:t>
      </w:r>
      <w:r>
        <w:rPr>
          <w:rFonts w:ascii="Times New Roman" w:hAnsi="Times New Roman" w:cs="Times New Roman"/>
          <w:szCs w:val="21"/>
        </w:rPr>
        <w:t>额增值税专用发票递交甲方，甲方收到发票后10</w:t>
      </w:r>
      <w:r>
        <w:rPr>
          <w:rFonts w:hint="eastAsia" w:ascii="Times New Roman" w:hAnsi="Times New Roman" w:cs="Times New Roman"/>
          <w:szCs w:val="21"/>
        </w:rPr>
        <w:t>个</w:t>
      </w:r>
      <w:r>
        <w:rPr>
          <w:rFonts w:ascii="Times New Roman" w:hAnsi="Times New Roman" w:cs="Times New Roman"/>
          <w:szCs w:val="21"/>
        </w:rPr>
        <w:t>工作日内支付合同总额10%。</w:t>
      </w:r>
    </w:p>
    <w:p w14:paraId="7E4B40F3">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乙方开户银行名称、地址和账号为：</w:t>
      </w:r>
    </w:p>
    <w:p w14:paraId="2807AE61">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开户银行：</w:t>
      </w:r>
    </w:p>
    <w:p w14:paraId="49B97BB5">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地址：</w:t>
      </w:r>
    </w:p>
    <w:p w14:paraId="6BCB98A1">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账号：</w:t>
      </w:r>
    </w:p>
    <w:p w14:paraId="7CAB5C6F">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第五条</w:t>
      </w:r>
      <w:r>
        <w:rPr>
          <w:rFonts w:ascii="Times New Roman" w:hAnsi="Times New Roman" w:cs="Times New Roman"/>
          <w:kern w:val="0"/>
          <w:szCs w:val="21"/>
        </w:rPr>
        <w:t xml:space="preserve"> 项目团队成员要求：</w:t>
      </w:r>
    </w:p>
    <w:p w14:paraId="55060995">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1.咨询供应商应提供完整的工作人员使用安排；</w:t>
      </w:r>
    </w:p>
    <w:p w14:paraId="63AA6B53">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2.人员数量应不少于有此类项目经验的3人；</w:t>
      </w:r>
    </w:p>
    <w:p w14:paraId="1BE432F6">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3.项目咨询期间，咨询供应商不得更换、调减项目团队成员</w:t>
      </w:r>
      <w:r>
        <w:rPr>
          <w:rFonts w:hint="eastAsia" w:ascii="Times New Roman" w:hAnsi="Times New Roman" w:cs="Times New Roman"/>
          <w:kern w:val="0"/>
          <w:szCs w:val="21"/>
        </w:rPr>
        <w:t>，否则甲方有权扣除履约保证金</w:t>
      </w:r>
      <w:r>
        <w:rPr>
          <w:rFonts w:ascii="Times New Roman" w:hAnsi="Times New Roman" w:cs="Times New Roman"/>
          <w:kern w:val="0"/>
          <w:szCs w:val="21"/>
        </w:rPr>
        <w:t>。</w:t>
      </w:r>
    </w:p>
    <w:p w14:paraId="1C83B8BF">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第六条</w:t>
      </w:r>
      <w:r>
        <w:rPr>
          <w:rFonts w:ascii="Times New Roman" w:hAnsi="Times New Roman" w:cs="Times New Roman"/>
          <w:kern w:val="0"/>
          <w:szCs w:val="21"/>
        </w:rPr>
        <w:t xml:space="preserve"> 乙方应遵守以下保密义务：</w:t>
      </w:r>
    </w:p>
    <w:p w14:paraId="045345C4">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1.保密内容：甲方所提供与项目有关的业务、财务、技术、人事、管理、投资等方面的信息、记录、文件和资料，以及与项目有关的意见、建议、分析、研究报告等研究成果；</w:t>
      </w:r>
    </w:p>
    <w:p w14:paraId="09A82388">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2.涉密人员范围：项目所有参与成员；</w:t>
      </w:r>
    </w:p>
    <w:p w14:paraId="1267DC25">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3.保密期限：五年；</w:t>
      </w:r>
    </w:p>
    <w:p w14:paraId="357532B6">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4.泄密责任：若乙方泄密，应向甲方支付技术服务费</w:t>
      </w:r>
      <w:r>
        <w:rPr>
          <w:rFonts w:hint="eastAsia" w:ascii="Times New Roman" w:hAnsi="Times New Roman" w:cs="Times New Roman"/>
          <w:kern w:val="0"/>
          <w:szCs w:val="21"/>
          <w:lang w:val="en-US" w:eastAsia="zh-CN"/>
        </w:rPr>
        <w:t>100</w:t>
      </w:r>
      <w:r>
        <w:rPr>
          <w:rFonts w:ascii="Times New Roman" w:hAnsi="Times New Roman" w:cs="Times New Roman"/>
          <w:kern w:val="0"/>
          <w:szCs w:val="21"/>
        </w:rPr>
        <w:t>%的违约金，并赔偿由此给甲方造成的一切损失。</w:t>
      </w:r>
    </w:p>
    <w:p w14:paraId="6C273D97">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第七条</w:t>
      </w:r>
      <w:r>
        <w:rPr>
          <w:rFonts w:ascii="Times New Roman" w:hAnsi="Times New Roman" w:cs="Times New Roman"/>
          <w:kern w:val="0"/>
          <w:szCs w:val="21"/>
        </w:rPr>
        <w:t xml:space="preserve"> 双方确定：本项目研究成果的知识产权归甲方所有，乙方不得侵占、使用和转让本项目研究成果。</w:t>
      </w:r>
    </w:p>
    <w:p w14:paraId="3872C304">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第八条</w:t>
      </w:r>
      <w:r>
        <w:rPr>
          <w:rFonts w:ascii="Times New Roman" w:hAnsi="Times New Roman" w:cs="Times New Roman"/>
          <w:kern w:val="0"/>
          <w:szCs w:val="21"/>
        </w:rPr>
        <w:t xml:space="preserve"> 双方确定，按以下约定承担各自的违约责任：</w:t>
      </w:r>
    </w:p>
    <w:p w14:paraId="25B03F5B">
      <w:pPr>
        <w:spacing w:line="360" w:lineRule="auto"/>
        <w:ind w:right="126" w:firstLine="420" w:firstLineChars="200"/>
        <w:rPr>
          <w:rFonts w:ascii="Times New Roman" w:hAnsi="Times New Roman" w:cs="Times New Roman"/>
          <w:szCs w:val="21"/>
        </w:rPr>
      </w:pPr>
      <w:r>
        <w:rPr>
          <w:rFonts w:ascii="Times New Roman" w:hAnsi="Times New Roman" w:cs="Times New Roman"/>
          <w:szCs w:val="21"/>
        </w:rPr>
        <w:t>1.乙方组建的项目组人员未能正常到位或不符合本合同要求，未能按时完成阶段性目标，以及提供的服务未通过专家评审的，甲方有权拒绝接受服务，乙方需全额退回甲方已支付技术服务费，</w:t>
      </w:r>
      <w:r>
        <w:rPr>
          <w:rFonts w:hint="eastAsia" w:ascii="Times New Roman" w:hAnsi="Times New Roman" w:cs="Times New Roman"/>
          <w:szCs w:val="21"/>
        </w:rPr>
        <w:t>扣除履约保证金</w:t>
      </w:r>
      <w:r>
        <w:rPr>
          <w:rFonts w:ascii="Times New Roman" w:hAnsi="Times New Roman" w:cs="Times New Roman"/>
          <w:szCs w:val="21"/>
        </w:rPr>
        <w:t>且</w:t>
      </w:r>
      <w:r>
        <w:rPr>
          <w:rFonts w:ascii="Times New Roman" w:hAnsi="Times New Roman" w:cs="Times New Roman"/>
          <w:kern w:val="0"/>
          <w:szCs w:val="21"/>
        </w:rPr>
        <w:t>乙方需向甲方支付合同价款5%的违约金</w:t>
      </w:r>
      <w:r>
        <w:rPr>
          <w:rFonts w:ascii="Times New Roman" w:hAnsi="Times New Roman" w:cs="Times New Roman"/>
          <w:szCs w:val="21"/>
        </w:rPr>
        <w:t>。</w:t>
      </w:r>
    </w:p>
    <w:p w14:paraId="757B43CC">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 xml:space="preserve">2.甲方无正当理由拒绝接受服务，到期拒付服务款项的，甲方需向乙方支付合同价款5%的违约金。 </w:t>
      </w:r>
    </w:p>
    <w:p w14:paraId="14E4DCBA">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3.其它违约责任按《中华人民共和国民法典》处理。</w:t>
      </w:r>
    </w:p>
    <w:p w14:paraId="2AF4898A">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第九条</w:t>
      </w:r>
      <w:r>
        <w:rPr>
          <w:rFonts w:ascii="Times New Roman" w:hAnsi="Times New Roman" w:cs="Times New Roman"/>
          <w:kern w:val="0"/>
          <w:szCs w:val="21"/>
        </w:rPr>
        <w:t xml:space="preserve"> 双方确定，在本合同有效期内，甲方指定</w:t>
      </w:r>
      <w:r>
        <w:rPr>
          <w:rFonts w:ascii="Times New Roman" w:hAnsi="Times New Roman" w:cs="Times New Roman"/>
          <w:kern w:val="0"/>
          <w:szCs w:val="21"/>
          <w:u w:val="single"/>
        </w:rPr>
        <w:t xml:space="preserve">            </w:t>
      </w:r>
      <w:r>
        <w:rPr>
          <w:rFonts w:ascii="Times New Roman" w:hAnsi="Times New Roman" w:cs="Times New Roman"/>
          <w:kern w:val="0"/>
          <w:szCs w:val="21"/>
        </w:rPr>
        <w:t>为甲方项目联系人，乙方</w:t>
      </w:r>
      <w:r>
        <w:rPr>
          <w:rFonts w:ascii="Times New Roman" w:hAnsi="Times New Roman" w:cs="Times New Roman"/>
          <w:kern w:val="0"/>
          <w:szCs w:val="21"/>
          <w:u w:val="single"/>
        </w:rPr>
        <w:t xml:space="preserve">            </w:t>
      </w:r>
      <w:r>
        <w:rPr>
          <w:rFonts w:ascii="Times New Roman" w:hAnsi="Times New Roman" w:cs="Times New Roman"/>
          <w:kern w:val="0"/>
          <w:szCs w:val="21"/>
        </w:rPr>
        <w:t>指定</w:t>
      </w:r>
      <w:r>
        <w:rPr>
          <w:rFonts w:ascii="Times New Roman" w:hAnsi="Times New Roman" w:cs="Times New Roman"/>
          <w:kern w:val="0"/>
          <w:szCs w:val="21"/>
          <w:u w:val="single"/>
        </w:rPr>
        <w:t xml:space="preserve">                </w:t>
      </w:r>
      <w:r>
        <w:rPr>
          <w:rFonts w:ascii="Times New Roman" w:hAnsi="Times New Roman" w:cs="Times New Roman"/>
          <w:kern w:val="0"/>
          <w:szCs w:val="21"/>
        </w:rPr>
        <w:t>为乙方项目联系人。</w:t>
      </w:r>
    </w:p>
    <w:p w14:paraId="024D2EEE">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一方变更项目联系人的，应当及时以书面形式通知另一方，未及时通知并影响本合同履行或造成损失的，应承担相应的责任。</w:t>
      </w:r>
    </w:p>
    <w:p w14:paraId="660E11FD">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第十条</w:t>
      </w:r>
      <w:r>
        <w:rPr>
          <w:rFonts w:ascii="Times New Roman" w:hAnsi="Times New Roman" w:cs="Times New Roman"/>
          <w:kern w:val="0"/>
          <w:szCs w:val="21"/>
        </w:rPr>
        <w:t xml:space="preserve"> 双方确定，出现下列情形，致使本合同的履行成为不必要或不可能的，可以解除本合同：</w:t>
      </w:r>
    </w:p>
    <w:p w14:paraId="44D4F339">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1.发生不可抗力；</w:t>
      </w:r>
    </w:p>
    <w:p w14:paraId="3883BA28">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 xml:space="preserve">2.除甲方事先书面同意外，乙方不得部分或全部转让其应履行的合同项下的义务。 </w:t>
      </w:r>
    </w:p>
    <w:p w14:paraId="30897250">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第十一条</w:t>
      </w:r>
      <w:r>
        <w:rPr>
          <w:rFonts w:ascii="Times New Roman" w:hAnsi="Times New Roman" w:cs="Times New Roman"/>
          <w:kern w:val="0"/>
          <w:szCs w:val="21"/>
        </w:rPr>
        <w:t xml:space="preserve"> 双方因履行本合同而发生的争议，应协商、调解解决。如双方不能通过友好协商解决，向甲方所在地人民法院提起诉讼。</w:t>
      </w:r>
    </w:p>
    <w:p w14:paraId="23F3427A">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第十二条</w:t>
      </w:r>
      <w:r>
        <w:rPr>
          <w:rFonts w:ascii="Times New Roman" w:hAnsi="Times New Roman" w:cs="Times New Roman"/>
          <w:kern w:val="0"/>
          <w:szCs w:val="21"/>
        </w:rPr>
        <w:t xml:space="preserve"> 与履行本合同有关的下列文件，经双方确认后，为本合同的组成部分： </w:t>
      </w:r>
    </w:p>
    <w:p w14:paraId="464A0CE0">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 xml:space="preserve">1.本合同所有附件、招标文件、投标文件、中标通知书均为合同的有效组成部分，与本合同具有同等法律效力。 </w:t>
      </w:r>
    </w:p>
    <w:p w14:paraId="21DCBCF3">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kern w:val="0"/>
          <w:szCs w:val="21"/>
        </w:rPr>
        <w:t>2.在执行本合同的过程中，所有经双方签署确认的文件（包括会议纪要、补充协议、往来信函）即成为本合同的有效组成部分。</w:t>
      </w:r>
    </w:p>
    <w:p w14:paraId="2C498C5F">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第十三条</w:t>
      </w:r>
      <w:r>
        <w:rPr>
          <w:rFonts w:ascii="Times New Roman" w:hAnsi="Times New Roman" w:cs="Times New Roman"/>
          <w:kern w:val="0"/>
          <w:szCs w:val="21"/>
        </w:rPr>
        <w:t xml:space="preserve"> 本合同一式</w:t>
      </w:r>
      <w:r>
        <w:rPr>
          <w:rFonts w:hint="eastAsia" w:ascii="Times New Roman" w:hAnsi="Times New Roman" w:cs="Times New Roman"/>
          <w:kern w:val="0"/>
          <w:szCs w:val="21"/>
        </w:rPr>
        <w:t>陆</w:t>
      </w:r>
      <w:r>
        <w:rPr>
          <w:rFonts w:ascii="Times New Roman" w:hAnsi="Times New Roman" w:cs="Times New Roman"/>
          <w:kern w:val="0"/>
          <w:szCs w:val="21"/>
        </w:rPr>
        <w:t>份，甲乙双方各执</w:t>
      </w:r>
      <w:r>
        <w:rPr>
          <w:rFonts w:hint="eastAsia" w:ascii="Times New Roman" w:hAnsi="Times New Roman" w:cs="Times New Roman"/>
          <w:kern w:val="0"/>
          <w:szCs w:val="21"/>
        </w:rPr>
        <w:t>叁</w:t>
      </w:r>
      <w:r>
        <w:rPr>
          <w:rFonts w:ascii="Times New Roman" w:hAnsi="Times New Roman" w:cs="Times New Roman"/>
          <w:kern w:val="0"/>
          <w:szCs w:val="21"/>
        </w:rPr>
        <w:t>份，具有同等法律效力。</w:t>
      </w:r>
    </w:p>
    <w:p w14:paraId="1C9AE70A">
      <w:pPr>
        <w:autoSpaceDE w:val="0"/>
        <w:autoSpaceDN w:val="0"/>
        <w:adjustRightInd w:val="0"/>
        <w:spacing w:line="360" w:lineRule="auto"/>
        <w:ind w:right="126" w:firstLine="420" w:firstLineChars="200"/>
        <w:rPr>
          <w:rFonts w:ascii="Times New Roman" w:hAnsi="Times New Roman" w:cs="Times New Roman"/>
          <w:kern w:val="0"/>
          <w:szCs w:val="21"/>
        </w:rPr>
      </w:pPr>
      <w:r>
        <w:rPr>
          <w:rFonts w:ascii="Times New Roman" w:hAnsi="Times New Roman" w:cs="Times New Roman"/>
          <w:b/>
          <w:bCs/>
          <w:kern w:val="0"/>
          <w:szCs w:val="21"/>
        </w:rPr>
        <w:t>第十四条</w:t>
      </w:r>
      <w:r>
        <w:rPr>
          <w:rFonts w:ascii="Times New Roman" w:hAnsi="Times New Roman" w:cs="Times New Roman"/>
          <w:kern w:val="0"/>
          <w:szCs w:val="21"/>
        </w:rPr>
        <w:t xml:space="preserve"> 本合同经双方签字盖章后生效。</w:t>
      </w:r>
    </w:p>
    <w:p w14:paraId="7D9E2BE4">
      <w:pPr>
        <w:autoSpaceDE w:val="0"/>
        <w:autoSpaceDN w:val="0"/>
        <w:adjustRightInd w:val="0"/>
        <w:spacing w:line="360" w:lineRule="auto"/>
        <w:ind w:right="126" w:firstLine="223"/>
        <w:jc w:val="left"/>
        <w:rPr>
          <w:rFonts w:ascii="Times New Roman" w:hAnsi="Times New Roman" w:cs="Times New Roman"/>
          <w:kern w:val="0"/>
          <w:szCs w:val="21"/>
        </w:rPr>
      </w:pPr>
    </w:p>
    <w:p w14:paraId="3806D20C">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甲方：安徽交控工程集团有限公司（盖章）</w:t>
      </w:r>
    </w:p>
    <w:p w14:paraId="78B4F8E3">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法定代表人／委托代理人：（签名）</w:t>
      </w:r>
    </w:p>
    <w:p w14:paraId="51BD1732">
      <w:pPr>
        <w:autoSpaceDE w:val="0"/>
        <w:autoSpaceDN w:val="0"/>
        <w:adjustRightInd w:val="0"/>
        <w:spacing w:line="360" w:lineRule="auto"/>
        <w:ind w:right="126" w:firstLine="4515" w:firstLineChars="2150"/>
        <w:jc w:val="left"/>
        <w:rPr>
          <w:rFonts w:ascii="Times New Roman" w:hAnsi="Times New Roman" w:cs="Times New Roman"/>
          <w:kern w:val="0"/>
          <w:szCs w:val="21"/>
        </w:rPr>
      </w:pPr>
      <w:r>
        <w:rPr>
          <w:rFonts w:ascii="Times New Roman" w:hAnsi="Times New Roman" w:cs="Times New Roman"/>
          <w:kern w:val="0"/>
          <w:szCs w:val="21"/>
        </w:rPr>
        <w:t xml:space="preserve">年     月      日 </w:t>
      </w:r>
    </w:p>
    <w:p w14:paraId="5E2FC762">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安徽交控建设工程集团有限公司（盖章）</w:t>
      </w:r>
    </w:p>
    <w:p w14:paraId="6A00DBDB">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法定代表人／委托代理人：（签名）</w:t>
      </w:r>
    </w:p>
    <w:p w14:paraId="3DFF57EB">
      <w:pPr>
        <w:autoSpaceDE w:val="0"/>
        <w:autoSpaceDN w:val="0"/>
        <w:adjustRightInd w:val="0"/>
        <w:spacing w:line="360" w:lineRule="auto"/>
        <w:ind w:right="126" w:firstLine="4515" w:firstLineChars="2150"/>
        <w:jc w:val="left"/>
        <w:rPr>
          <w:rFonts w:ascii="Times New Roman" w:hAnsi="Times New Roman" w:cs="Times New Roman"/>
          <w:kern w:val="0"/>
          <w:szCs w:val="21"/>
        </w:rPr>
      </w:pPr>
      <w:r>
        <w:rPr>
          <w:rFonts w:ascii="Times New Roman" w:hAnsi="Times New Roman" w:cs="Times New Roman"/>
          <w:kern w:val="0"/>
          <w:szCs w:val="21"/>
        </w:rPr>
        <w:t xml:space="preserve">年     月      日 </w:t>
      </w:r>
    </w:p>
    <w:p w14:paraId="07DCB9C7">
      <w:pPr>
        <w:autoSpaceDE w:val="0"/>
        <w:autoSpaceDN w:val="0"/>
        <w:adjustRightInd w:val="0"/>
        <w:spacing w:line="360" w:lineRule="auto"/>
        <w:ind w:right="126" w:firstLine="223"/>
        <w:jc w:val="left"/>
        <w:rPr>
          <w:rFonts w:ascii="Times New Roman" w:hAnsi="Times New Roman" w:cs="Times New Roman"/>
          <w:kern w:val="0"/>
          <w:szCs w:val="21"/>
        </w:rPr>
      </w:pPr>
    </w:p>
    <w:p w14:paraId="39CFADE2">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乙方：（盖章）</w:t>
      </w:r>
    </w:p>
    <w:p w14:paraId="6F4E7F7B">
      <w:pPr>
        <w:autoSpaceDE w:val="0"/>
        <w:autoSpaceDN w:val="0"/>
        <w:adjustRightInd w:val="0"/>
        <w:spacing w:line="360" w:lineRule="auto"/>
        <w:ind w:right="126" w:firstLine="223"/>
        <w:jc w:val="left"/>
        <w:rPr>
          <w:rFonts w:ascii="Times New Roman" w:hAnsi="Times New Roman" w:cs="Times New Roman"/>
          <w:kern w:val="0"/>
          <w:szCs w:val="21"/>
        </w:rPr>
      </w:pPr>
      <w:r>
        <w:rPr>
          <w:rFonts w:ascii="Times New Roman" w:hAnsi="Times New Roman" w:cs="Times New Roman"/>
          <w:kern w:val="0"/>
          <w:szCs w:val="21"/>
        </w:rPr>
        <w:t>法定代表人／委托代理人：（签名）</w:t>
      </w:r>
    </w:p>
    <w:p w14:paraId="317D7D5B">
      <w:pPr>
        <w:tabs>
          <w:tab w:val="left" w:pos="6636"/>
        </w:tabs>
        <w:ind w:right="126" w:firstLine="4620" w:firstLineChars="2200"/>
        <w:jc w:val="left"/>
        <w:rPr>
          <w:rFonts w:ascii="Times New Roman" w:hAnsi="Times New Roman" w:cs="Times New Roman"/>
        </w:rPr>
      </w:pPr>
      <w:r>
        <w:rPr>
          <w:rFonts w:ascii="Times New Roman" w:hAnsi="Times New Roman" w:cs="Times New Roman"/>
          <w:szCs w:val="21"/>
        </w:rPr>
        <w:t>年      月     日</w:t>
      </w:r>
    </w:p>
    <w:p w14:paraId="363EE6A6">
      <w:pPr>
        <w:ind w:left="420" w:leftChars="200" w:firstLine="480" w:firstLineChars="200"/>
        <w:rPr>
          <w:rFonts w:ascii="Times New Roman" w:hAnsi="Times New Roman" w:cs="Times New Roman"/>
          <w:sz w:val="24"/>
        </w:rPr>
      </w:pPr>
    </w:p>
    <w:p w14:paraId="262338EF">
      <w:pPr>
        <w:pStyle w:val="28"/>
        <w:ind w:firstLine="480"/>
        <w:rPr>
          <w:rFonts w:ascii="Times New Roman" w:hAnsi="Times New Roman" w:cs="Times New Roman"/>
          <w:kern w:val="0"/>
          <w:sz w:val="24"/>
          <w:szCs w:val="24"/>
        </w:rPr>
      </w:pPr>
    </w:p>
    <w:p w14:paraId="304BFF5E">
      <w:pPr>
        <w:pStyle w:val="28"/>
        <w:ind w:firstLine="480"/>
        <w:rPr>
          <w:rFonts w:ascii="Times New Roman" w:hAnsi="Times New Roman" w:cs="Times New Roman"/>
          <w:kern w:val="0"/>
          <w:sz w:val="24"/>
          <w:szCs w:val="24"/>
        </w:rPr>
      </w:pPr>
    </w:p>
    <w:p w14:paraId="6E908B1E">
      <w:pPr>
        <w:pStyle w:val="28"/>
        <w:ind w:firstLine="480"/>
        <w:rPr>
          <w:rFonts w:ascii="Times New Roman" w:hAnsi="Times New Roman" w:cs="Times New Roman"/>
          <w:kern w:val="0"/>
          <w:sz w:val="24"/>
          <w:szCs w:val="24"/>
        </w:rPr>
      </w:pPr>
    </w:p>
    <w:p w14:paraId="3A35F329">
      <w:pPr>
        <w:pStyle w:val="28"/>
        <w:ind w:firstLine="480"/>
        <w:rPr>
          <w:rFonts w:ascii="Times New Roman" w:hAnsi="Times New Roman" w:cs="Times New Roman"/>
          <w:kern w:val="0"/>
          <w:sz w:val="24"/>
          <w:szCs w:val="24"/>
        </w:rPr>
      </w:pPr>
    </w:p>
    <w:p w14:paraId="42BE5013">
      <w:pPr>
        <w:pStyle w:val="28"/>
        <w:ind w:firstLine="480"/>
        <w:rPr>
          <w:rFonts w:ascii="Times New Roman" w:hAnsi="Times New Roman" w:cs="Times New Roman"/>
          <w:kern w:val="0"/>
          <w:sz w:val="24"/>
          <w:szCs w:val="24"/>
        </w:rPr>
      </w:pPr>
    </w:p>
    <w:bookmarkEnd w:id="136"/>
    <w:bookmarkEnd w:id="137"/>
    <w:bookmarkEnd w:id="138"/>
    <w:p w14:paraId="1A12BD20">
      <w:pPr>
        <w:rPr>
          <w:rFonts w:ascii="Times New Roman" w:hAnsi="Times New Roman" w:cs="Times New Roman"/>
        </w:rPr>
      </w:pPr>
      <w:bookmarkStart w:id="141" w:name="_Toc14756_WPSOffice_Level1"/>
      <w:bookmarkStart w:id="142" w:name="_Toc8287"/>
      <w:r>
        <w:rPr>
          <w:rFonts w:ascii="Times New Roman" w:hAnsi="Times New Roman" w:cs="Times New Roman"/>
        </w:rPr>
        <w:br w:type="page"/>
      </w:r>
    </w:p>
    <w:p w14:paraId="5BEE2E65">
      <w:pPr>
        <w:pStyle w:val="3"/>
        <w:snapToGrid w:val="0"/>
        <w:spacing w:beforeLines="0" w:afterLines="0"/>
        <w:rPr>
          <w:rFonts w:ascii="Times New Roman" w:hAnsi="Times New Roman" w:eastAsia="宋体" w:cs="Times New Roman"/>
        </w:rPr>
      </w:pPr>
      <w:r>
        <w:rPr>
          <w:rFonts w:ascii="Times New Roman" w:hAnsi="Times New Roman" w:eastAsia="宋体" w:cs="Times New Roman"/>
        </w:rPr>
        <w:t>采购需求</w:t>
      </w:r>
      <w:bookmarkEnd w:id="141"/>
      <w:bookmarkEnd w:id="142"/>
    </w:p>
    <w:p w14:paraId="5B76B441">
      <w:pPr>
        <w:spacing w:line="520" w:lineRule="exact"/>
        <w:ind w:firstLine="480" w:firstLineChars="200"/>
        <w:rPr>
          <w:rFonts w:ascii="Times New Roman" w:hAnsi="Times New Roman" w:cs="Times New Roman"/>
          <w:b/>
          <w:bCs/>
          <w:sz w:val="24"/>
        </w:rPr>
      </w:pPr>
      <w:r>
        <w:rPr>
          <w:rFonts w:ascii="Times New Roman" w:hAnsi="Times New Roman" w:cs="Times New Roman"/>
          <w:b/>
          <w:bCs/>
          <w:sz w:val="24"/>
        </w:rPr>
        <w:t>一、项目概况</w:t>
      </w:r>
    </w:p>
    <w:p w14:paraId="73EDFA1A">
      <w:pPr>
        <w:pStyle w:val="38"/>
        <w:spacing w:line="520" w:lineRule="exact"/>
        <w:ind w:firstLine="480" w:firstLineChars="200"/>
        <w:rPr>
          <w:rFonts w:ascii="Times New Roman" w:hAnsi="Times New Roman" w:cs="Times New Roman"/>
          <w:highlight w:val="yellow"/>
        </w:rPr>
      </w:pPr>
      <w:r>
        <w:rPr>
          <w:rFonts w:hint="eastAsia" w:ascii="Times New Roman" w:hAnsi="Times New Roman" w:cs="Times New Roman"/>
        </w:rPr>
        <w:t>为进一步提升安徽交控建设工程集团有限公司综合竞争力，在内部形成战略共识，凝聚发展合力，结合国资委、上级集团等要求，对公司“十五五”时期整体发展形势作出研判，并制定战略规划，明晰发展目标、业务布局、发展路径等内容，从而为公司未来可持续、高质量发展提供战略引领。</w:t>
      </w:r>
    </w:p>
    <w:p w14:paraId="0BA0A525">
      <w:pPr>
        <w:spacing w:line="520" w:lineRule="exact"/>
        <w:ind w:firstLine="480" w:firstLineChars="200"/>
        <w:rPr>
          <w:rFonts w:ascii="Times New Roman" w:hAnsi="Times New Roman" w:cs="Times New Roman"/>
          <w:b/>
          <w:bCs/>
          <w:sz w:val="24"/>
        </w:rPr>
      </w:pPr>
      <w:r>
        <w:rPr>
          <w:rFonts w:ascii="Times New Roman" w:hAnsi="Times New Roman" w:cs="Times New Roman"/>
          <w:b/>
          <w:bCs/>
          <w:sz w:val="24"/>
        </w:rPr>
        <w:t>二、采购范围</w:t>
      </w:r>
    </w:p>
    <w:p w14:paraId="2CEC2CEC">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hint="eastAsia" w:ascii="Times New Roman" w:hAnsi="Times New Roman" w:eastAsia="宋体" w:cs="Times New Roman"/>
          <w:kern w:val="2"/>
          <w:sz w:val="24"/>
          <w:szCs w:val="22"/>
        </w:rPr>
        <w:t>基于</w:t>
      </w:r>
      <w:r>
        <w:rPr>
          <w:rFonts w:ascii="Times New Roman" w:hAnsi="Times New Roman" w:eastAsia="宋体" w:cs="Times New Roman"/>
          <w:kern w:val="2"/>
          <w:sz w:val="24"/>
          <w:szCs w:val="22"/>
        </w:rPr>
        <w:t>“十五五”</w:t>
      </w:r>
      <w:r>
        <w:rPr>
          <w:rFonts w:hint="eastAsia" w:ascii="Times New Roman" w:hAnsi="Times New Roman" w:eastAsia="宋体" w:cs="Times New Roman"/>
          <w:kern w:val="2"/>
          <w:sz w:val="24"/>
          <w:szCs w:val="22"/>
        </w:rPr>
        <w:t>期间内外部发展环境</w:t>
      </w:r>
      <w:r>
        <w:rPr>
          <w:rFonts w:ascii="Times New Roman" w:hAnsi="Times New Roman" w:eastAsia="宋体" w:cs="Times New Roman"/>
          <w:kern w:val="2"/>
          <w:sz w:val="24"/>
          <w:szCs w:val="22"/>
        </w:rPr>
        <w:t>，在上述项目概况的基本要求下，最终输出</w:t>
      </w:r>
      <w:r>
        <w:rPr>
          <w:rFonts w:hint="eastAsia" w:ascii="Times New Roman" w:hAnsi="Times New Roman" w:eastAsia="宋体" w:cs="Times New Roman"/>
          <w:kern w:val="2"/>
          <w:sz w:val="24"/>
          <w:szCs w:val="22"/>
        </w:rPr>
        <w:t>《安徽交控建设工程集团有限公司十五五战略规划报告》等成果</w:t>
      </w:r>
      <w:r>
        <w:rPr>
          <w:rFonts w:ascii="Times New Roman" w:hAnsi="Times New Roman" w:eastAsia="宋体" w:cs="Times New Roman"/>
          <w:kern w:val="2"/>
          <w:sz w:val="24"/>
          <w:szCs w:val="22"/>
        </w:rPr>
        <w:t>。</w:t>
      </w:r>
    </w:p>
    <w:p w14:paraId="3AFE3B28">
      <w:pPr>
        <w:spacing w:line="520" w:lineRule="exact"/>
        <w:ind w:firstLine="480" w:firstLineChars="200"/>
        <w:rPr>
          <w:rFonts w:ascii="Times New Roman" w:hAnsi="Times New Roman" w:cs="Times New Roman"/>
          <w:b/>
          <w:bCs/>
          <w:sz w:val="24"/>
        </w:rPr>
      </w:pPr>
      <w:r>
        <w:rPr>
          <w:rFonts w:ascii="Times New Roman" w:hAnsi="Times New Roman" w:cs="Times New Roman"/>
          <w:b/>
          <w:bCs/>
          <w:sz w:val="24"/>
        </w:rPr>
        <w:t>三、服务期限及进度要求</w:t>
      </w:r>
    </w:p>
    <w:p w14:paraId="463033AA">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ascii="Times New Roman" w:hAnsi="Times New Roman" w:eastAsia="宋体" w:cs="Times New Roman"/>
          <w:kern w:val="2"/>
          <w:sz w:val="24"/>
          <w:szCs w:val="22"/>
        </w:rPr>
        <w:t>服务期限：本合同期限包括咨询服务期和后续服务期。咨询服务期计划自合同签订日起至2025年9月31日止；后续服务期计划自2025年9月</w:t>
      </w:r>
      <w:r>
        <w:rPr>
          <w:rFonts w:hint="eastAsia" w:ascii="Times New Roman" w:hAnsi="Times New Roman" w:eastAsia="宋体" w:cs="Times New Roman"/>
          <w:kern w:val="2"/>
          <w:sz w:val="24"/>
          <w:szCs w:val="22"/>
        </w:rPr>
        <w:t>3</w:t>
      </w:r>
      <w:r>
        <w:rPr>
          <w:rFonts w:ascii="Times New Roman" w:hAnsi="Times New Roman" w:eastAsia="宋体" w:cs="Times New Roman"/>
          <w:kern w:val="2"/>
          <w:sz w:val="24"/>
          <w:szCs w:val="22"/>
        </w:rPr>
        <w:t>1日至2026年6月31日止。</w:t>
      </w:r>
    </w:p>
    <w:p w14:paraId="423ADB32">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ascii="Times New Roman" w:hAnsi="Times New Roman" w:eastAsia="宋体" w:cs="Times New Roman"/>
          <w:kern w:val="2"/>
          <w:sz w:val="24"/>
          <w:szCs w:val="22"/>
        </w:rPr>
        <w:t>进度要求：2025年</w:t>
      </w:r>
      <w:r>
        <w:rPr>
          <w:rFonts w:hint="eastAsia" w:ascii="Times New Roman" w:hAnsi="Times New Roman" w:eastAsia="宋体" w:cs="Times New Roman"/>
          <w:kern w:val="2"/>
          <w:sz w:val="24"/>
          <w:szCs w:val="22"/>
        </w:rPr>
        <w:t>6</w:t>
      </w:r>
      <w:r>
        <w:rPr>
          <w:rFonts w:ascii="Times New Roman" w:hAnsi="Times New Roman" w:eastAsia="宋体" w:cs="Times New Roman"/>
          <w:kern w:val="2"/>
          <w:sz w:val="24"/>
          <w:szCs w:val="22"/>
        </w:rPr>
        <w:t>月底前，开展相关前期工作，形成报告的初稿；2025年</w:t>
      </w:r>
      <w:r>
        <w:rPr>
          <w:rFonts w:hint="eastAsia" w:ascii="Times New Roman" w:hAnsi="Times New Roman" w:eastAsia="宋体" w:cs="Times New Roman"/>
          <w:kern w:val="2"/>
          <w:sz w:val="24"/>
          <w:szCs w:val="22"/>
        </w:rPr>
        <w:t>9</w:t>
      </w:r>
      <w:r>
        <w:rPr>
          <w:rFonts w:ascii="Times New Roman" w:hAnsi="Times New Roman" w:eastAsia="宋体" w:cs="Times New Roman"/>
          <w:kern w:val="2"/>
          <w:sz w:val="24"/>
          <w:szCs w:val="22"/>
        </w:rPr>
        <w:t>月底前，形成</w:t>
      </w:r>
      <w:r>
        <w:rPr>
          <w:rFonts w:hint="eastAsia" w:ascii="Times New Roman" w:hAnsi="Times New Roman" w:eastAsia="宋体" w:cs="Times New Roman"/>
          <w:kern w:val="2"/>
          <w:sz w:val="24"/>
          <w:szCs w:val="22"/>
        </w:rPr>
        <w:t>报告的</w:t>
      </w:r>
      <w:r>
        <w:rPr>
          <w:rFonts w:ascii="Times New Roman" w:hAnsi="Times New Roman" w:eastAsia="宋体" w:cs="Times New Roman"/>
          <w:kern w:val="2"/>
          <w:sz w:val="24"/>
          <w:szCs w:val="22"/>
        </w:rPr>
        <w:t>送审稿；2026年</w:t>
      </w:r>
      <w:r>
        <w:rPr>
          <w:rFonts w:hint="eastAsia" w:ascii="Times New Roman" w:hAnsi="Times New Roman" w:eastAsia="宋体" w:cs="Times New Roman"/>
          <w:kern w:val="2"/>
          <w:sz w:val="24"/>
          <w:szCs w:val="22"/>
        </w:rPr>
        <w:t>6</w:t>
      </w:r>
      <w:r>
        <w:rPr>
          <w:rFonts w:ascii="Times New Roman" w:hAnsi="Times New Roman" w:eastAsia="宋体" w:cs="Times New Roman"/>
          <w:kern w:val="2"/>
          <w:sz w:val="24"/>
          <w:szCs w:val="22"/>
        </w:rPr>
        <w:t>月底前，根据公司内外相关文件和形势变化，进一步修订完善，形成终稿。</w:t>
      </w:r>
    </w:p>
    <w:p w14:paraId="66F7F038">
      <w:pPr>
        <w:spacing w:line="520" w:lineRule="exact"/>
        <w:ind w:firstLine="480" w:firstLineChars="200"/>
        <w:rPr>
          <w:rFonts w:ascii="Times New Roman" w:hAnsi="Times New Roman" w:cs="Times New Roman"/>
          <w:b/>
          <w:bCs/>
          <w:sz w:val="24"/>
        </w:rPr>
      </w:pPr>
      <w:r>
        <w:rPr>
          <w:rFonts w:ascii="Times New Roman" w:hAnsi="Times New Roman" w:cs="Times New Roman"/>
          <w:b/>
          <w:bCs/>
          <w:sz w:val="24"/>
        </w:rPr>
        <w:t>四、人员要求</w:t>
      </w:r>
    </w:p>
    <w:p w14:paraId="50C77321">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ascii="Times New Roman" w:hAnsi="Times New Roman" w:eastAsia="宋体" w:cs="Times New Roman"/>
          <w:kern w:val="2"/>
          <w:sz w:val="24"/>
          <w:szCs w:val="22"/>
        </w:rPr>
        <w:t>1.咨询供应商应提供完整的工作人员使用安排；</w:t>
      </w:r>
    </w:p>
    <w:p w14:paraId="0E988A37">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ascii="Times New Roman" w:hAnsi="Times New Roman" w:eastAsia="宋体" w:cs="Times New Roman"/>
          <w:kern w:val="2"/>
          <w:sz w:val="24"/>
          <w:szCs w:val="22"/>
        </w:rPr>
        <w:t>2.人员数量应不少于有此类项目经验的3人；</w:t>
      </w:r>
    </w:p>
    <w:p w14:paraId="0CFB0F90">
      <w:pPr>
        <w:pStyle w:val="9"/>
        <w:numPr>
          <w:ilvl w:val="255"/>
          <w:numId w:val="0"/>
        </w:numPr>
        <w:spacing w:line="520" w:lineRule="exact"/>
        <w:ind w:firstLine="480" w:firstLineChars="200"/>
        <w:rPr>
          <w:rFonts w:ascii="Times New Roman" w:hAnsi="Times New Roman" w:eastAsia="宋体" w:cs="Times New Roman"/>
          <w:kern w:val="2"/>
          <w:sz w:val="24"/>
          <w:szCs w:val="22"/>
        </w:rPr>
      </w:pPr>
      <w:r>
        <w:rPr>
          <w:rFonts w:ascii="Times New Roman" w:hAnsi="Times New Roman" w:eastAsia="宋体" w:cs="Times New Roman"/>
          <w:kern w:val="2"/>
          <w:sz w:val="24"/>
          <w:szCs w:val="22"/>
        </w:rPr>
        <w:t>3.项目咨询期间，咨询供应商不得更换、调减项目团队成员。</w:t>
      </w:r>
    </w:p>
    <w:p w14:paraId="1690C7E7">
      <w:pPr>
        <w:spacing w:line="520" w:lineRule="exact"/>
        <w:ind w:firstLine="480" w:firstLineChars="200"/>
        <w:rPr>
          <w:rFonts w:ascii="Times New Roman" w:hAnsi="Times New Roman" w:cs="Times New Roman"/>
          <w:sz w:val="24"/>
        </w:rPr>
      </w:pPr>
      <w:r>
        <w:rPr>
          <w:rFonts w:ascii="Times New Roman" w:hAnsi="Times New Roman" w:cs="Times New Roman"/>
          <w:sz w:val="24"/>
        </w:rPr>
        <w:br w:type="page"/>
      </w:r>
    </w:p>
    <w:p w14:paraId="4B51B26C">
      <w:pPr>
        <w:pStyle w:val="3"/>
        <w:spacing w:before="312" w:after="312"/>
        <w:rPr>
          <w:rFonts w:ascii="Times New Roman" w:hAnsi="Times New Roman" w:eastAsia="宋体" w:cs="Times New Roman"/>
        </w:rPr>
      </w:pPr>
      <w:bookmarkStart w:id="143" w:name="_Toc9129"/>
      <w:bookmarkStart w:id="144" w:name="_Toc24739_WPSOffice_Level1"/>
      <w:r>
        <w:rPr>
          <w:rFonts w:ascii="Times New Roman" w:hAnsi="Times New Roman" w:eastAsia="宋体" w:cs="Times New Roman"/>
        </w:rPr>
        <w:t>响应文件格式</w:t>
      </w:r>
      <w:bookmarkEnd w:id="143"/>
      <w:bookmarkEnd w:id="144"/>
    </w:p>
    <w:p w14:paraId="1836BA58">
      <w:pPr>
        <w:rPr>
          <w:rFonts w:ascii="Times New Roman" w:hAnsi="Times New Roman" w:cs="Times New Roman"/>
        </w:rPr>
      </w:pPr>
    </w:p>
    <w:p w14:paraId="06978509">
      <w:pPr>
        <w:snapToGrid w:val="0"/>
        <w:spacing w:line="360" w:lineRule="auto"/>
        <w:jc w:val="center"/>
        <w:rPr>
          <w:rFonts w:ascii="Times New Roman" w:hAnsi="Times New Roman" w:eastAsia="黑体" w:cs="Times New Roman"/>
          <w:sz w:val="44"/>
          <w:szCs w:val="44"/>
        </w:rPr>
      </w:pPr>
    </w:p>
    <w:p w14:paraId="7DD74D2F">
      <w:pPr>
        <w:snapToGrid w:val="0"/>
        <w:spacing w:line="360" w:lineRule="auto"/>
        <w:jc w:val="center"/>
        <w:rPr>
          <w:rFonts w:ascii="Times New Roman" w:hAnsi="Times New Roman" w:eastAsia="黑体" w:cs="Times New Roman"/>
          <w:sz w:val="44"/>
          <w:szCs w:val="44"/>
        </w:rPr>
      </w:pPr>
    </w:p>
    <w:p w14:paraId="47B8F6A4">
      <w:pPr>
        <w:snapToGrid w:val="0"/>
        <w:spacing w:line="360" w:lineRule="auto"/>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安徽交控建设工程集团有限公司十五五规划咨询服务</w:t>
      </w:r>
    </w:p>
    <w:p w14:paraId="1DDAC114">
      <w:pPr>
        <w:spacing w:line="440" w:lineRule="exact"/>
        <w:rPr>
          <w:rFonts w:ascii="Times New Roman" w:hAnsi="Times New Roman" w:eastAsia="黑体" w:cs="Times New Roman"/>
          <w:sz w:val="20"/>
          <w:szCs w:val="20"/>
        </w:rPr>
      </w:pPr>
    </w:p>
    <w:p w14:paraId="6C2DEB63">
      <w:pPr>
        <w:spacing w:line="440" w:lineRule="exact"/>
        <w:rPr>
          <w:rFonts w:ascii="Times New Roman" w:hAnsi="Times New Roman" w:eastAsia="黑体" w:cs="Times New Roman"/>
          <w:sz w:val="40"/>
          <w:szCs w:val="40"/>
        </w:rPr>
      </w:pPr>
    </w:p>
    <w:p w14:paraId="38AC2DFA">
      <w:pPr>
        <w:spacing w:line="440" w:lineRule="exact"/>
        <w:jc w:val="center"/>
        <w:rPr>
          <w:rFonts w:ascii="Times New Roman" w:hAnsi="Times New Roman" w:eastAsia="黑体" w:cs="Times New Roman"/>
          <w:sz w:val="40"/>
          <w:szCs w:val="40"/>
        </w:rPr>
      </w:pPr>
    </w:p>
    <w:p w14:paraId="406C90C9">
      <w:pPr>
        <w:spacing w:line="440" w:lineRule="exact"/>
        <w:jc w:val="center"/>
        <w:rPr>
          <w:rFonts w:ascii="Times New Roman" w:hAnsi="Times New Roman" w:eastAsia="黑体" w:cs="Times New Roman"/>
          <w:sz w:val="40"/>
          <w:szCs w:val="40"/>
        </w:rPr>
      </w:pPr>
    </w:p>
    <w:p w14:paraId="1FFB3501">
      <w:pPr>
        <w:spacing w:line="440" w:lineRule="exact"/>
        <w:jc w:val="center"/>
        <w:rPr>
          <w:rFonts w:ascii="Times New Roman" w:hAnsi="Times New Roman" w:eastAsia="黑体" w:cs="Times New Roman"/>
          <w:sz w:val="40"/>
          <w:szCs w:val="40"/>
        </w:rPr>
      </w:pPr>
    </w:p>
    <w:p w14:paraId="032D33DE">
      <w:pPr>
        <w:jc w:val="center"/>
        <w:rPr>
          <w:rFonts w:ascii="Times New Roman" w:hAnsi="Times New Roman" w:eastAsia="黑体" w:cs="Times New Roman"/>
          <w:sz w:val="50"/>
          <w:szCs w:val="50"/>
        </w:rPr>
      </w:pPr>
      <w:bookmarkStart w:id="145" w:name="_Toc14496_WPSOffice_Level1"/>
      <w:bookmarkStart w:id="146" w:name="_Toc17394_WPSOffice_Level1"/>
      <w:bookmarkStart w:id="147" w:name="_Toc1914_WPSOffice_Level1"/>
      <w:bookmarkStart w:id="148" w:name="_Toc27552_WPSOffice_Level1"/>
      <w:r>
        <w:rPr>
          <w:rFonts w:ascii="Times New Roman" w:hAnsi="Times New Roman" w:eastAsia="黑体" w:cs="Times New Roman"/>
          <w:sz w:val="50"/>
          <w:szCs w:val="50"/>
        </w:rPr>
        <w:t>响应文件</w:t>
      </w:r>
      <w:bookmarkEnd w:id="145"/>
      <w:bookmarkEnd w:id="146"/>
      <w:bookmarkEnd w:id="147"/>
      <w:bookmarkEnd w:id="148"/>
    </w:p>
    <w:p w14:paraId="782B9094">
      <w:pPr>
        <w:spacing w:line="440" w:lineRule="exact"/>
        <w:rPr>
          <w:rFonts w:ascii="Times New Roman" w:hAnsi="Times New Roman" w:eastAsia="黑体" w:cs="Times New Roman"/>
          <w:sz w:val="20"/>
          <w:szCs w:val="20"/>
        </w:rPr>
      </w:pPr>
    </w:p>
    <w:p w14:paraId="3A56822B">
      <w:pPr>
        <w:spacing w:line="440" w:lineRule="exact"/>
        <w:rPr>
          <w:rFonts w:ascii="Times New Roman" w:hAnsi="Times New Roman" w:eastAsia="黑体" w:cs="Times New Roman"/>
          <w:sz w:val="20"/>
          <w:szCs w:val="20"/>
        </w:rPr>
      </w:pPr>
    </w:p>
    <w:p w14:paraId="23CC7487">
      <w:pPr>
        <w:spacing w:line="440" w:lineRule="exact"/>
        <w:rPr>
          <w:rFonts w:ascii="Times New Roman" w:hAnsi="Times New Roman" w:eastAsia="黑体" w:cs="Times New Roman"/>
          <w:sz w:val="20"/>
          <w:szCs w:val="20"/>
        </w:rPr>
      </w:pPr>
    </w:p>
    <w:p w14:paraId="759F2EC4">
      <w:pPr>
        <w:spacing w:line="440" w:lineRule="exact"/>
        <w:rPr>
          <w:rFonts w:ascii="Times New Roman" w:hAnsi="Times New Roman" w:eastAsia="黑体" w:cs="Times New Roman"/>
          <w:sz w:val="20"/>
          <w:szCs w:val="20"/>
        </w:rPr>
      </w:pPr>
    </w:p>
    <w:p w14:paraId="76D1F93B">
      <w:pPr>
        <w:spacing w:line="440" w:lineRule="exact"/>
        <w:rPr>
          <w:rFonts w:ascii="Times New Roman" w:hAnsi="Times New Roman" w:eastAsia="黑体" w:cs="Times New Roman"/>
          <w:sz w:val="20"/>
          <w:szCs w:val="20"/>
        </w:rPr>
      </w:pPr>
    </w:p>
    <w:p w14:paraId="70533927">
      <w:pPr>
        <w:spacing w:line="440" w:lineRule="exact"/>
        <w:rPr>
          <w:rFonts w:ascii="Times New Roman" w:hAnsi="Times New Roman" w:eastAsia="黑体" w:cs="Times New Roman"/>
          <w:sz w:val="20"/>
          <w:szCs w:val="20"/>
        </w:rPr>
      </w:pPr>
    </w:p>
    <w:p w14:paraId="43C47C96">
      <w:pPr>
        <w:spacing w:line="440" w:lineRule="exact"/>
        <w:rPr>
          <w:rFonts w:ascii="Times New Roman" w:hAnsi="Times New Roman" w:eastAsia="黑体" w:cs="Times New Roman"/>
          <w:sz w:val="20"/>
          <w:szCs w:val="20"/>
        </w:rPr>
      </w:pPr>
    </w:p>
    <w:p w14:paraId="63EC643A">
      <w:pPr>
        <w:spacing w:line="440" w:lineRule="exact"/>
        <w:rPr>
          <w:rFonts w:ascii="Times New Roman" w:hAnsi="Times New Roman" w:eastAsia="黑体" w:cs="Times New Roman"/>
          <w:sz w:val="20"/>
          <w:szCs w:val="20"/>
        </w:rPr>
      </w:pPr>
    </w:p>
    <w:p w14:paraId="7ECDE7D3">
      <w:pPr>
        <w:spacing w:line="440" w:lineRule="exact"/>
        <w:rPr>
          <w:rFonts w:ascii="Times New Roman" w:hAnsi="Times New Roman" w:eastAsia="黑体" w:cs="Times New Roman"/>
          <w:sz w:val="20"/>
          <w:szCs w:val="20"/>
        </w:rPr>
      </w:pPr>
    </w:p>
    <w:p w14:paraId="3C4372ED">
      <w:pPr>
        <w:spacing w:line="440" w:lineRule="exact"/>
        <w:rPr>
          <w:rFonts w:ascii="Times New Roman" w:hAnsi="Times New Roman" w:eastAsia="黑体" w:cs="Times New Roman"/>
          <w:sz w:val="20"/>
          <w:szCs w:val="20"/>
        </w:rPr>
      </w:pPr>
    </w:p>
    <w:p w14:paraId="029CCFE2">
      <w:pPr>
        <w:spacing w:line="440" w:lineRule="exact"/>
        <w:jc w:val="center"/>
        <w:rPr>
          <w:rFonts w:ascii="Times New Roman" w:hAnsi="Times New Roman" w:eastAsia="黑体" w:cs="Times New Roman"/>
          <w:sz w:val="28"/>
          <w:szCs w:val="28"/>
        </w:rPr>
      </w:pPr>
      <w:bookmarkStart w:id="149" w:name="_Toc5520_WPSOffice_Level2"/>
      <w:bookmarkStart w:id="150"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 xml:space="preserve"> (全称、盖单位章)</w:t>
      </w:r>
      <w:bookmarkEnd w:id="149"/>
      <w:bookmarkEnd w:id="150"/>
    </w:p>
    <w:p w14:paraId="54DFC626">
      <w:pPr>
        <w:spacing w:line="440" w:lineRule="exact"/>
        <w:ind w:firstLine="2158" w:firstLineChars="771"/>
        <w:rPr>
          <w:rFonts w:ascii="Times New Roman" w:hAnsi="Times New Roman" w:eastAsia="黑体" w:cs="Times New Roman"/>
          <w:sz w:val="28"/>
          <w:szCs w:val="28"/>
        </w:rPr>
      </w:pPr>
    </w:p>
    <w:p w14:paraId="27C190BA">
      <w:pPr>
        <w:spacing w:line="440" w:lineRule="exact"/>
        <w:jc w:val="center"/>
        <w:rPr>
          <w:rFonts w:ascii="Times New Roman" w:hAnsi="Times New Roman" w:eastAsia="黑体" w:cs="Times New Roman"/>
          <w:sz w:val="28"/>
          <w:szCs w:val="28"/>
        </w:rPr>
      </w:pPr>
      <w:bookmarkStart w:id="151" w:name="_Toc31577_WPSOffice_Level2"/>
      <w:bookmarkStart w:id="152" w:name="_Toc20076_WPSOffice_Level2"/>
      <w:r>
        <w:rPr>
          <w:rFonts w:ascii="Times New Roman" w:hAnsi="Times New Roman" w:eastAsia="黑体" w:cs="Times New Roman"/>
          <w:sz w:val="28"/>
          <w:szCs w:val="28"/>
        </w:rPr>
        <w:t>年  月  日</w:t>
      </w:r>
      <w:bookmarkEnd w:id="151"/>
      <w:bookmarkEnd w:id="152"/>
    </w:p>
    <w:p w14:paraId="47D9EFC9">
      <w:pPr>
        <w:spacing w:line="440" w:lineRule="exact"/>
        <w:rPr>
          <w:rFonts w:ascii="Times New Roman" w:hAnsi="Times New Roman" w:eastAsia="黑体" w:cs="Times New Roman"/>
          <w:sz w:val="28"/>
          <w:szCs w:val="28"/>
        </w:rPr>
      </w:pPr>
    </w:p>
    <w:p w14:paraId="0ED0BF0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53" w:name="_Toc21974_WPSOffice_Level2"/>
      <w:bookmarkStart w:id="154" w:name="_Toc22351_WPSOffice_Level2"/>
      <w:r>
        <w:rPr>
          <w:rFonts w:ascii="Times New Roman" w:hAnsi="Times New Roman" w:eastAsia="黑体" w:cs="Times New Roman"/>
          <w:sz w:val="28"/>
          <w:szCs w:val="28"/>
        </w:rPr>
        <w:t>目录</w:t>
      </w:r>
      <w:bookmarkEnd w:id="153"/>
      <w:bookmarkEnd w:id="154"/>
    </w:p>
    <w:p w14:paraId="793DFEB5">
      <w:pPr>
        <w:spacing w:line="440" w:lineRule="exact"/>
        <w:rPr>
          <w:rFonts w:ascii="Times New Roman" w:hAnsi="Times New Roman" w:eastAsia="黑体" w:cs="Times New Roman"/>
          <w:sz w:val="20"/>
          <w:szCs w:val="20"/>
        </w:rPr>
      </w:pPr>
    </w:p>
    <w:p w14:paraId="5A614D4E">
      <w:pPr>
        <w:spacing w:line="440" w:lineRule="exact"/>
        <w:ind w:left="1619" w:leftChars="771"/>
        <w:rPr>
          <w:rFonts w:ascii="Times New Roman" w:hAnsi="Times New Roman" w:eastAsia="黑体" w:cs="Times New Roman"/>
          <w:sz w:val="24"/>
        </w:rPr>
      </w:pPr>
      <w:bookmarkStart w:id="155" w:name="_Toc23368_WPSOffice_Level1"/>
      <w:bookmarkStart w:id="156" w:name="_Toc6353_WPSOffice_Level1"/>
      <w:bookmarkStart w:id="157" w:name="_Toc11424_WPSOffice_Level1"/>
      <w:bookmarkStart w:id="158" w:name="_Toc30529_WPSOffice_Level1"/>
      <w:bookmarkStart w:id="159" w:name="_Toc12670_WPSOffice_Level1"/>
      <w:r>
        <w:rPr>
          <w:rFonts w:ascii="Times New Roman" w:hAnsi="Times New Roman" w:eastAsia="黑体" w:cs="Times New Roman"/>
          <w:sz w:val="24"/>
        </w:rPr>
        <w:t>一、报价函</w:t>
      </w:r>
      <w:bookmarkEnd w:id="155"/>
      <w:bookmarkEnd w:id="156"/>
      <w:bookmarkEnd w:id="157"/>
      <w:bookmarkEnd w:id="158"/>
    </w:p>
    <w:p w14:paraId="61DF845F">
      <w:pPr>
        <w:spacing w:line="440" w:lineRule="exact"/>
        <w:ind w:left="1619" w:leftChars="771"/>
        <w:rPr>
          <w:rFonts w:ascii="Times New Roman" w:hAnsi="Times New Roman" w:eastAsia="黑体" w:cs="Times New Roman"/>
          <w:sz w:val="24"/>
        </w:rPr>
      </w:pPr>
      <w:bookmarkStart w:id="160" w:name="_Toc32729_WPSOffice_Level1"/>
      <w:bookmarkStart w:id="161" w:name="_Toc31927_WPSOffice_Level1"/>
      <w:bookmarkStart w:id="162" w:name="_Toc5317_WPSOffice_Level1"/>
      <w:bookmarkStart w:id="163" w:name="_Toc21229_WPSOffice_Level1"/>
      <w:r>
        <w:rPr>
          <w:rFonts w:ascii="Times New Roman" w:hAnsi="Times New Roman" w:eastAsia="黑体" w:cs="Times New Roman"/>
          <w:sz w:val="24"/>
        </w:rPr>
        <w:t>二、法定代表人身份证明及授权委托书</w:t>
      </w:r>
      <w:bookmarkEnd w:id="160"/>
      <w:bookmarkEnd w:id="161"/>
      <w:bookmarkEnd w:id="162"/>
      <w:bookmarkEnd w:id="163"/>
    </w:p>
    <w:p w14:paraId="56E624F3">
      <w:pPr>
        <w:spacing w:line="440" w:lineRule="exact"/>
        <w:ind w:left="1619" w:leftChars="771"/>
        <w:rPr>
          <w:rFonts w:ascii="Times New Roman" w:hAnsi="Times New Roman" w:eastAsia="黑体" w:cs="Times New Roman"/>
          <w:sz w:val="24"/>
        </w:rPr>
      </w:pPr>
      <w:bookmarkStart w:id="164" w:name="_Toc23744_WPSOffice_Level1"/>
      <w:bookmarkStart w:id="165" w:name="_Toc7453_WPSOffice_Level1"/>
      <w:bookmarkStart w:id="166" w:name="_Toc10608_WPSOffice_Level1"/>
      <w:bookmarkStart w:id="167" w:name="_Toc18964_WPSOffice_Level1"/>
      <w:r>
        <w:rPr>
          <w:rFonts w:ascii="Times New Roman" w:hAnsi="Times New Roman" w:eastAsia="黑体" w:cs="Times New Roman"/>
          <w:sz w:val="24"/>
        </w:rPr>
        <w:t>三、</w:t>
      </w:r>
      <w:bookmarkEnd w:id="164"/>
      <w:bookmarkEnd w:id="165"/>
      <w:bookmarkEnd w:id="166"/>
      <w:bookmarkEnd w:id="167"/>
      <w:r>
        <w:rPr>
          <w:rFonts w:ascii="Times New Roman" w:hAnsi="Times New Roman" w:eastAsia="黑体" w:cs="Times New Roman"/>
          <w:sz w:val="24"/>
        </w:rPr>
        <w:t>已标价的报价清单</w:t>
      </w:r>
    </w:p>
    <w:p w14:paraId="56246275">
      <w:pPr>
        <w:spacing w:line="440" w:lineRule="exact"/>
        <w:ind w:left="1619" w:leftChars="771"/>
        <w:rPr>
          <w:rFonts w:ascii="Times New Roman" w:hAnsi="Times New Roman" w:eastAsia="黑体" w:cs="Times New Roman"/>
          <w:sz w:val="24"/>
        </w:rPr>
      </w:pPr>
      <w:r>
        <w:rPr>
          <w:rFonts w:ascii="Times New Roman" w:hAnsi="Times New Roman" w:eastAsia="黑体" w:cs="Times New Roman"/>
          <w:sz w:val="24"/>
        </w:rPr>
        <w:t>四、供应商基本情况</w:t>
      </w:r>
    </w:p>
    <w:p w14:paraId="4CE1F6B9">
      <w:pPr>
        <w:spacing w:line="440" w:lineRule="exact"/>
        <w:ind w:left="1619" w:leftChars="771"/>
        <w:rPr>
          <w:rFonts w:ascii="Times New Roman" w:hAnsi="Times New Roman" w:eastAsia="黑体" w:cs="Times New Roman"/>
          <w:sz w:val="24"/>
        </w:rPr>
      </w:pPr>
      <w:bookmarkStart w:id="168" w:name="_Toc1578_WPSOffice_Level1"/>
      <w:bookmarkStart w:id="169" w:name="_Toc23751_WPSOffice_Level1"/>
      <w:bookmarkStart w:id="170" w:name="_Toc19601_WPSOffice_Level1"/>
      <w:bookmarkStart w:id="171" w:name="_Toc9006_WPSOffice_Level1"/>
      <w:r>
        <w:rPr>
          <w:rFonts w:ascii="Times New Roman" w:hAnsi="Times New Roman" w:eastAsia="黑体" w:cs="Times New Roman"/>
          <w:sz w:val="24"/>
        </w:rPr>
        <w:t>五、</w:t>
      </w:r>
      <w:bookmarkEnd w:id="168"/>
      <w:bookmarkEnd w:id="169"/>
      <w:bookmarkEnd w:id="170"/>
      <w:bookmarkEnd w:id="171"/>
      <w:r>
        <w:rPr>
          <w:rFonts w:ascii="Times New Roman" w:hAnsi="Times New Roman" w:eastAsia="黑体" w:cs="Times New Roman"/>
          <w:sz w:val="24"/>
        </w:rPr>
        <w:t>近年类似业绩情况</w:t>
      </w:r>
    </w:p>
    <w:p w14:paraId="13C2F758">
      <w:pPr>
        <w:spacing w:line="440" w:lineRule="exact"/>
        <w:ind w:left="1619" w:leftChars="771"/>
        <w:rPr>
          <w:rFonts w:ascii="Times New Roman" w:hAnsi="Times New Roman" w:eastAsia="黑体" w:cs="Times New Roman"/>
          <w:sz w:val="24"/>
        </w:rPr>
      </w:pPr>
      <w:bookmarkStart w:id="172" w:name="_Toc31314_WPSOffice_Level1"/>
      <w:bookmarkStart w:id="173" w:name="_Toc24082_WPSOffice_Level1"/>
      <w:bookmarkStart w:id="174" w:name="_Toc24262_WPSOffice_Level1"/>
      <w:bookmarkStart w:id="175" w:name="_Toc12459_WPSOffice_Level1"/>
      <w:r>
        <w:rPr>
          <w:rFonts w:ascii="Times New Roman" w:hAnsi="Times New Roman" w:eastAsia="黑体" w:cs="Times New Roman"/>
          <w:sz w:val="24"/>
        </w:rPr>
        <w:t>六、</w:t>
      </w:r>
      <w:bookmarkEnd w:id="172"/>
      <w:bookmarkEnd w:id="173"/>
      <w:r>
        <w:rPr>
          <w:rFonts w:ascii="Times New Roman" w:hAnsi="Times New Roman" w:eastAsia="黑体" w:cs="Times New Roman"/>
          <w:sz w:val="24"/>
        </w:rPr>
        <w:t>拟委任的主要人员</w:t>
      </w:r>
    </w:p>
    <w:p w14:paraId="3997A02B">
      <w:pPr>
        <w:spacing w:line="440" w:lineRule="exact"/>
        <w:ind w:left="1619" w:leftChars="771"/>
        <w:rPr>
          <w:rFonts w:ascii="Times New Roman" w:hAnsi="Times New Roman" w:eastAsia="黑体" w:cs="Times New Roman"/>
          <w:sz w:val="24"/>
        </w:rPr>
      </w:pPr>
      <w:r>
        <w:rPr>
          <w:rFonts w:ascii="Times New Roman" w:hAnsi="Times New Roman" w:eastAsia="黑体" w:cs="Times New Roman"/>
          <w:sz w:val="24"/>
        </w:rPr>
        <w:t>七、配置人员汇总表</w:t>
      </w:r>
    </w:p>
    <w:bookmarkEnd w:id="174"/>
    <w:bookmarkEnd w:id="175"/>
    <w:p w14:paraId="08E86A1D">
      <w:pPr>
        <w:spacing w:line="440" w:lineRule="exact"/>
        <w:ind w:left="1619" w:leftChars="771"/>
        <w:rPr>
          <w:rFonts w:ascii="Times New Roman" w:hAnsi="Times New Roman" w:eastAsia="黑体" w:cs="Times New Roman"/>
          <w:sz w:val="24"/>
        </w:rPr>
      </w:pPr>
      <w:bookmarkStart w:id="176" w:name="_Toc30273_WPSOffice_Level1"/>
      <w:bookmarkStart w:id="177" w:name="_Toc27403_WPSOffice_Level1"/>
      <w:bookmarkStart w:id="178" w:name="_Toc32648_WPSOffice_Level1"/>
      <w:bookmarkStart w:id="179" w:name="_Toc25804_WPSOffice_Level1"/>
      <w:r>
        <w:rPr>
          <w:rFonts w:ascii="Times New Roman" w:hAnsi="Times New Roman" w:eastAsia="黑体" w:cs="Times New Roman"/>
          <w:sz w:val="24"/>
        </w:rPr>
        <w:t>八、</w:t>
      </w:r>
      <w:bookmarkEnd w:id="176"/>
      <w:bookmarkEnd w:id="177"/>
      <w:bookmarkEnd w:id="178"/>
      <w:bookmarkEnd w:id="179"/>
      <w:r>
        <w:rPr>
          <w:rFonts w:ascii="Times New Roman" w:hAnsi="Times New Roman" w:eastAsia="黑体" w:cs="Times New Roman"/>
          <w:sz w:val="24"/>
        </w:rPr>
        <w:t>信誉情况</w:t>
      </w:r>
    </w:p>
    <w:p w14:paraId="573BA1DE">
      <w:pPr>
        <w:spacing w:line="440" w:lineRule="exact"/>
        <w:ind w:left="1619" w:leftChars="771"/>
        <w:rPr>
          <w:rFonts w:ascii="Times New Roman" w:hAnsi="Times New Roman" w:eastAsia="黑体" w:cs="Times New Roman"/>
          <w:sz w:val="24"/>
        </w:rPr>
      </w:pPr>
      <w:bookmarkStart w:id="180" w:name="_Toc23147_WPSOffice_Level1"/>
      <w:bookmarkStart w:id="181" w:name="_Toc30234_WPSOffice_Level1"/>
      <w:bookmarkStart w:id="182" w:name="_Toc32152_WPSOffice_Level1"/>
      <w:bookmarkStart w:id="183" w:name="_Toc4051_WPSOffice_Level1"/>
      <w:r>
        <w:rPr>
          <w:rFonts w:ascii="Times New Roman" w:hAnsi="Times New Roman" w:eastAsia="黑体" w:cs="Times New Roman"/>
          <w:sz w:val="24"/>
        </w:rPr>
        <w:t>九、</w:t>
      </w:r>
      <w:bookmarkEnd w:id="180"/>
      <w:bookmarkEnd w:id="181"/>
      <w:bookmarkEnd w:id="182"/>
      <w:bookmarkEnd w:id="183"/>
      <w:r>
        <w:rPr>
          <w:rFonts w:ascii="Times New Roman" w:hAnsi="Times New Roman" w:eastAsia="黑体" w:cs="Times New Roman"/>
          <w:sz w:val="24"/>
        </w:rPr>
        <w:t>服务方案</w:t>
      </w:r>
    </w:p>
    <w:p w14:paraId="25BD987E">
      <w:pPr>
        <w:spacing w:line="440" w:lineRule="exact"/>
        <w:ind w:left="1619" w:leftChars="771"/>
        <w:rPr>
          <w:rFonts w:ascii="Times New Roman" w:hAnsi="Times New Roman" w:eastAsia="黑体" w:cs="Times New Roman"/>
          <w:sz w:val="24"/>
        </w:rPr>
      </w:pPr>
      <w:bookmarkStart w:id="184" w:name="_Toc16988_WPSOffice_Level1"/>
      <w:bookmarkStart w:id="185" w:name="_Toc5885_WPSOffice_Level1"/>
      <w:r>
        <w:rPr>
          <w:rFonts w:ascii="Times New Roman" w:hAnsi="Times New Roman" w:eastAsia="黑体" w:cs="Times New Roman"/>
          <w:sz w:val="24"/>
        </w:rPr>
        <w:t>十、其他材料</w:t>
      </w:r>
      <w:bookmarkEnd w:id="159"/>
      <w:bookmarkEnd w:id="184"/>
      <w:bookmarkEnd w:id="185"/>
    </w:p>
    <w:p w14:paraId="758FE141">
      <w:pPr>
        <w:spacing w:line="440" w:lineRule="exact"/>
        <w:ind w:left="1619" w:leftChars="771"/>
        <w:rPr>
          <w:rFonts w:ascii="Times New Roman" w:hAnsi="Times New Roman" w:eastAsia="黑体" w:cs="Times New Roman"/>
          <w:sz w:val="24"/>
        </w:rPr>
      </w:pPr>
    </w:p>
    <w:p w14:paraId="2BC15F65">
      <w:pPr>
        <w:spacing w:line="440" w:lineRule="exact"/>
        <w:ind w:left="1619" w:leftChars="771"/>
        <w:rPr>
          <w:rFonts w:ascii="Times New Roman" w:hAnsi="Times New Roman" w:eastAsia="黑体" w:cs="Times New Roman"/>
          <w:sz w:val="24"/>
        </w:rPr>
      </w:pPr>
    </w:p>
    <w:p w14:paraId="3475650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86" w:name="_Toc1687_WPSOffice_Level1"/>
      <w:bookmarkStart w:id="187" w:name="_Toc2765_WPSOffice_Level1"/>
      <w:bookmarkStart w:id="188" w:name="_Toc30031_WPSOffice_Level1"/>
      <w:bookmarkStart w:id="189" w:name="_Toc25394_WPSOffice_Level1"/>
      <w:bookmarkStart w:id="190" w:name="_Toc18312_WPSOffice_Level1"/>
      <w:r>
        <w:rPr>
          <w:rFonts w:ascii="Times New Roman" w:hAnsi="Times New Roman" w:eastAsia="黑体" w:cs="Times New Roman"/>
          <w:sz w:val="28"/>
          <w:szCs w:val="28"/>
        </w:rPr>
        <w:t>一、报价函</w:t>
      </w:r>
    </w:p>
    <w:p w14:paraId="16B0C3DD">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(采购人名称)</w:t>
      </w:r>
      <w:r>
        <w:rPr>
          <w:rFonts w:ascii="Times New Roman" w:hAnsi="Times New Roman" w:cs="Times New Roman"/>
          <w:sz w:val="24"/>
        </w:rPr>
        <w:t>：</w:t>
      </w:r>
    </w:p>
    <w:p w14:paraId="1656A95D">
      <w:pPr>
        <w:spacing w:line="44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(项目名称)</w:t>
      </w:r>
      <w:r>
        <w:rPr>
          <w:rFonts w:ascii="Times New Roman" w:hAnsi="Times New Roman" w:cs="Times New Roman"/>
          <w:sz w:val="24"/>
        </w:rPr>
        <w:t>询比文件的全部内容(含补遗书第__号至第__号)，愿意以人民币(大写</w:t>
      </w:r>
      <w:r>
        <w:rPr>
          <w:rFonts w:ascii="Times New Roman" w:hAnsi="Times New Roman" w:eastAsia="黑体" w:cs="Times New Roman"/>
          <w:sz w:val="28"/>
          <w:szCs w:val="28"/>
          <w:u w:val="single"/>
        </w:rPr>
        <w:t xml:space="preserve">          </w:t>
      </w:r>
      <w:r>
        <w:rPr>
          <w:rFonts w:ascii="Times New Roman" w:hAnsi="Times New Roman" w:cs="Times New Roman"/>
          <w:sz w:val="24"/>
        </w:rPr>
        <w:t>)(小写：¥</w:t>
      </w:r>
      <w:r>
        <w:rPr>
          <w:rFonts w:ascii="Times New Roman" w:hAnsi="Times New Roman" w:eastAsia="黑体" w:cs="Times New Roman"/>
          <w:sz w:val="28"/>
          <w:szCs w:val="28"/>
          <w:u w:val="single"/>
        </w:rPr>
        <w:t xml:space="preserve">       </w:t>
      </w:r>
      <w:r>
        <w:rPr>
          <w:rFonts w:ascii="Times New Roman" w:hAnsi="Times New Roman" w:cs="Times New Roman"/>
          <w:sz w:val="24"/>
        </w:rPr>
        <w:t>)的总报价，服务期</w:t>
      </w:r>
      <w:r>
        <w:rPr>
          <w:rFonts w:ascii="Times New Roman" w:hAnsi="Times New Roman" w:eastAsia="黑体" w:cs="Times New Roman"/>
          <w:sz w:val="28"/>
          <w:szCs w:val="28"/>
          <w:u w:val="single"/>
        </w:rPr>
        <w:t xml:space="preserve">    </w:t>
      </w:r>
      <w:r>
        <w:rPr>
          <w:rFonts w:ascii="Times New Roman" w:hAnsi="Times New Roman" w:cs="Times New Roman"/>
          <w:sz w:val="24"/>
        </w:rPr>
        <w:t>，按合同约定实施和完成相关内容，质量目标达到</w:t>
      </w:r>
      <w:r>
        <w:rPr>
          <w:rFonts w:ascii="Times New Roman" w:hAnsi="Times New Roman" w:eastAsia="黑体" w:cs="Times New Roman"/>
          <w:sz w:val="28"/>
          <w:szCs w:val="28"/>
          <w:u w:val="single"/>
        </w:rPr>
        <w:t xml:space="preserve">   </w:t>
      </w:r>
      <w:r>
        <w:rPr>
          <w:rFonts w:ascii="Times New Roman" w:hAnsi="Times New Roman" w:cs="Times New Roman"/>
          <w:sz w:val="24"/>
        </w:rPr>
        <w:t>。</w:t>
      </w:r>
    </w:p>
    <w:p w14:paraId="15AC117B">
      <w:pPr>
        <w:spacing w:line="44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0527541C">
      <w:pPr>
        <w:spacing w:line="440" w:lineRule="exact"/>
        <w:ind w:firstLine="480" w:firstLineChars="200"/>
        <w:rPr>
          <w:rFonts w:ascii="Times New Roman" w:hAnsi="Times New Roman" w:cs="Times New Roman"/>
          <w:sz w:val="24"/>
        </w:rPr>
      </w:pPr>
      <w:r>
        <w:rPr>
          <w:rFonts w:ascii="Times New Roman" w:hAnsi="Times New Roman" w:cs="Times New Roman"/>
          <w:sz w:val="24"/>
        </w:rPr>
        <w:t>3．随同本报价函提交响应保证金一份，金额为人民币(大写</w:t>
      </w:r>
      <w:r>
        <w:rPr>
          <w:rFonts w:ascii="Times New Roman" w:hAnsi="Times New Roman" w:eastAsia="黑体" w:cs="Times New Roman"/>
          <w:sz w:val="28"/>
          <w:szCs w:val="28"/>
          <w:u w:val="single"/>
        </w:rPr>
        <w:t xml:space="preserve">    </w:t>
      </w:r>
      <w:r>
        <w:rPr>
          <w:rFonts w:ascii="Times New Roman" w:hAnsi="Times New Roman" w:cs="Times New Roman"/>
          <w:sz w:val="24"/>
        </w:rPr>
        <w:t>)元(¥</w:t>
      </w:r>
      <w:r>
        <w:rPr>
          <w:rFonts w:ascii="Times New Roman" w:hAnsi="Times New Roman" w:eastAsia="黑体" w:cs="Times New Roman"/>
          <w:sz w:val="28"/>
          <w:szCs w:val="28"/>
          <w:u w:val="single"/>
        </w:rPr>
        <w:t xml:space="preserve">    </w:t>
      </w:r>
      <w:r>
        <w:rPr>
          <w:rFonts w:ascii="Times New Roman" w:hAnsi="Times New Roman" w:cs="Times New Roman"/>
          <w:sz w:val="24"/>
        </w:rPr>
        <w:t xml:space="preserve"> )。</w:t>
      </w:r>
    </w:p>
    <w:p w14:paraId="50D26108">
      <w:pPr>
        <w:spacing w:line="44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1E145DA">
      <w:pPr>
        <w:spacing w:line="44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2A417CC9">
      <w:pPr>
        <w:spacing w:line="44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2D5CF487">
      <w:pPr>
        <w:spacing w:line="44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621D99C9">
      <w:pPr>
        <w:spacing w:line="44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24A19D72">
      <w:pPr>
        <w:spacing w:line="44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6．在合同协议书正式签署生效之前，本报价函连同你方的成交通知书将构成我们双方之间共同遵守的文件，对双方具有约束力。</w:t>
      </w:r>
    </w:p>
    <w:p w14:paraId="6721E7B1">
      <w:pPr>
        <w:spacing w:line="440" w:lineRule="exact"/>
        <w:ind w:firstLine="480" w:firstLineChars="200"/>
        <w:rPr>
          <w:rFonts w:ascii="Times New Roman" w:hAnsi="Times New Roman" w:cs="Times New Roman"/>
          <w:sz w:val="24"/>
        </w:rPr>
      </w:pPr>
      <w:r>
        <w:rPr>
          <w:rFonts w:ascii="Times New Roman" w:hAnsi="Times New Roman" w:cs="Times New Roman"/>
          <w:sz w:val="24"/>
        </w:rPr>
        <w:t>7．我方理解，你方不一定接受任何报价。同时也理解，你方不负担我方的任何报价费用。</w:t>
      </w:r>
    </w:p>
    <w:p w14:paraId="1AC263DE">
      <w:pPr>
        <w:spacing w:line="440" w:lineRule="exact"/>
        <w:ind w:firstLine="480" w:firstLineChars="200"/>
        <w:rPr>
          <w:rFonts w:ascii="Times New Roman" w:hAnsi="Times New Roman" w:cs="Times New Roman"/>
          <w:sz w:val="24"/>
        </w:rPr>
      </w:pPr>
      <w:r>
        <w:rPr>
          <w:rFonts w:ascii="Times New Roman" w:hAnsi="Times New Roman" w:cs="Times New Roman"/>
          <w:sz w:val="24"/>
        </w:rPr>
        <w:t>8.____________。</w:t>
      </w:r>
    </w:p>
    <w:p w14:paraId="2E7E0B13">
      <w:pPr>
        <w:spacing w:line="44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eastAsia="黑体" w:cs="Times New Roman"/>
          <w:sz w:val="28"/>
          <w:szCs w:val="28"/>
          <w:u w:val="single"/>
        </w:rPr>
        <w:t xml:space="preserve">              </w:t>
      </w:r>
      <w:r>
        <w:rPr>
          <w:rFonts w:ascii="Times New Roman" w:hAnsi="Times New Roman" w:cs="Times New Roman"/>
          <w:sz w:val="24"/>
        </w:rPr>
        <w:t>(盖单位印章)</w:t>
      </w:r>
    </w:p>
    <w:p w14:paraId="347BA00F">
      <w:pPr>
        <w:spacing w:line="440" w:lineRule="exact"/>
        <w:ind w:firstLine="3420" w:firstLineChars="1425"/>
        <w:rPr>
          <w:rFonts w:ascii="Times New Roman" w:hAnsi="Times New Roman" w:cs="Times New Roman"/>
          <w:sz w:val="24"/>
        </w:rPr>
      </w:pPr>
      <w:r>
        <w:rPr>
          <w:rFonts w:ascii="Times New Roman" w:hAnsi="Times New Roman" w:cs="Times New Roman"/>
          <w:sz w:val="24"/>
        </w:rPr>
        <w:t>法定代表人或委托代理人：</w:t>
      </w:r>
      <w:r>
        <w:rPr>
          <w:rFonts w:ascii="Times New Roman" w:hAnsi="Times New Roman" w:eastAsia="黑体" w:cs="Times New Roman"/>
          <w:sz w:val="28"/>
          <w:szCs w:val="28"/>
          <w:u w:val="single"/>
        </w:rPr>
        <w:t xml:space="preserve">    </w:t>
      </w:r>
      <w:r>
        <w:rPr>
          <w:rFonts w:ascii="Times New Roman" w:hAnsi="Times New Roman" w:cs="Times New Roman"/>
          <w:sz w:val="24"/>
        </w:rPr>
        <w:t>(签名或盖章)</w:t>
      </w:r>
    </w:p>
    <w:p w14:paraId="05B83638">
      <w:pPr>
        <w:spacing w:line="44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eastAsia="黑体" w:cs="Times New Roman"/>
          <w:sz w:val="28"/>
          <w:szCs w:val="28"/>
          <w:u w:val="single"/>
        </w:rPr>
        <w:t xml:space="preserve">                   </w:t>
      </w:r>
    </w:p>
    <w:p w14:paraId="0704C2DC">
      <w:pPr>
        <w:spacing w:line="44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eastAsia="黑体" w:cs="Times New Roman"/>
          <w:sz w:val="28"/>
          <w:szCs w:val="28"/>
          <w:u w:val="single"/>
        </w:rPr>
        <w:t xml:space="preserve">                   </w:t>
      </w:r>
    </w:p>
    <w:p w14:paraId="5CB43475">
      <w:pPr>
        <w:spacing w:line="44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eastAsia="黑体" w:cs="Times New Roman"/>
          <w:sz w:val="28"/>
          <w:szCs w:val="28"/>
          <w:u w:val="single"/>
        </w:rPr>
        <w:t xml:space="preserve">                   </w:t>
      </w:r>
    </w:p>
    <w:p w14:paraId="084D51BC">
      <w:pPr>
        <w:spacing w:line="440" w:lineRule="exact"/>
        <w:ind w:firstLine="3420" w:firstLineChars="1425"/>
        <w:rPr>
          <w:rFonts w:ascii="Times New Roman" w:hAnsi="Times New Roman" w:cs="Times New Roman"/>
          <w:sz w:val="24"/>
        </w:rPr>
      </w:pPr>
      <w:r>
        <w:rPr>
          <w:rFonts w:ascii="Times New Roman" w:hAnsi="Times New Roman" w:cs="Times New Roman"/>
          <w:sz w:val="24"/>
        </w:rPr>
        <w:t>电子邮箱：</w:t>
      </w:r>
      <w:r>
        <w:rPr>
          <w:rFonts w:ascii="Times New Roman" w:hAnsi="Times New Roman" w:eastAsia="黑体" w:cs="Times New Roman"/>
          <w:sz w:val="28"/>
          <w:szCs w:val="28"/>
          <w:u w:val="single"/>
        </w:rPr>
        <w:t xml:space="preserve">                   </w:t>
      </w:r>
    </w:p>
    <w:p w14:paraId="19455BFC">
      <w:pPr>
        <w:spacing w:line="440" w:lineRule="exact"/>
        <w:ind w:firstLine="5530" w:firstLineChars="1975"/>
        <w:rPr>
          <w:rFonts w:ascii="Times New Roman" w:hAnsi="Times New Roman" w:cs="Times New Roman"/>
          <w:sz w:val="24"/>
        </w:rPr>
      </w:pPr>
      <w:r>
        <w:rPr>
          <w:rFonts w:ascii="Times New Roman" w:hAnsi="Times New Roman" w:eastAsia="黑体" w:cs="Times New Roman"/>
          <w:sz w:val="28"/>
          <w:szCs w:val="28"/>
          <w:u w:val="single"/>
        </w:rPr>
        <w:t xml:space="preserve">  </w:t>
      </w:r>
      <w:r>
        <w:rPr>
          <w:rFonts w:ascii="Times New Roman" w:hAnsi="Times New Roman" w:cs="Times New Roman"/>
          <w:sz w:val="24"/>
        </w:rPr>
        <w:t>年</w:t>
      </w:r>
      <w:r>
        <w:rPr>
          <w:rFonts w:ascii="Times New Roman" w:hAnsi="Times New Roman" w:eastAsia="黑体" w:cs="Times New Roman"/>
          <w:sz w:val="28"/>
          <w:szCs w:val="28"/>
          <w:u w:val="single"/>
        </w:rPr>
        <w:t xml:space="preserve">  </w:t>
      </w:r>
      <w:r>
        <w:rPr>
          <w:rFonts w:ascii="Times New Roman" w:hAnsi="Times New Roman" w:cs="Times New Roman"/>
          <w:sz w:val="24"/>
        </w:rPr>
        <w:t>月</w:t>
      </w:r>
      <w:r>
        <w:rPr>
          <w:rFonts w:ascii="Times New Roman" w:hAnsi="Times New Roman" w:eastAsia="黑体" w:cs="Times New Roman"/>
          <w:sz w:val="28"/>
          <w:szCs w:val="28"/>
          <w:u w:val="single"/>
        </w:rPr>
        <w:t xml:space="preserve">  </w:t>
      </w:r>
      <w:r>
        <w:rPr>
          <w:rFonts w:ascii="Times New Roman" w:hAnsi="Times New Roman" w:cs="Times New Roman"/>
          <w:sz w:val="24"/>
        </w:rPr>
        <w:t>日</w:t>
      </w:r>
    </w:p>
    <w:p w14:paraId="14E69F5A">
      <w:pPr>
        <w:spacing w:line="400" w:lineRule="exact"/>
        <w:ind w:firstLine="4740" w:firstLineChars="1975"/>
        <w:rPr>
          <w:rFonts w:ascii="Times New Roman" w:hAnsi="Times New Roman" w:cs="Times New Roman"/>
          <w:sz w:val="24"/>
        </w:rPr>
      </w:pPr>
    </w:p>
    <w:p w14:paraId="6E7BFA23">
      <w:pPr>
        <w:rPr>
          <w:rFonts w:ascii="Times New Roman" w:hAnsi="Times New Roman" w:eastAsia="黑体" w:cs="Times New Roman"/>
          <w:sz w:val="20"/>
          <w:szCs w:val="20"/>
        </w:rPr>
      </w:pPr>
      <w:r>
        <w:rPr>
          <w:rFonts w:ascii="Times New Roman" w:hAnsi="Times New Roman" w:cs="Times New Roman"/>
          <w:sz w:val="24"/>
        </w:rPr>
        <w:br w:type="page"/>
      </w:r>
    </w:p>
    <w:p w14:paraId="253804A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二、法定代表人身份证明及授权委托书</w:t>
      </w:r>
    </w:p>
    <w:p w14:paraId="71166E53">
      <w:pPr>
        <w:spacing w:line="440" w:lineRule="exact"/>
        <w:rPr>
          <w:rFonts w:ascii="Times New Roman" w:hAnsi="Times New Roman" w:cs="Times New Roman"/>
          <w:sz w:val="20"/>
          <w:szCs w:val="20"/>
        </w:rPr>
      </w:pPr>
    </w:p>
    <w:p w14:paraId="04935E31">
      <w:pPr>
        <w:spacing w:line="440" w:lineRule="exact"/>
        <w:jc w:val="center"/>
        <w:rPr>
          <w:rFonts w:ascii="Times New Roman" w:hAnsi="Times New Roman" w:cs="Times New Roman"/>
          <w:sz w:val="28"/>
          <w:szCs w:val="28"/>
        </w:rPr>
      </w:pPr>
      <w:r>
        <w:rPr>
          <w:rFonts w:ascii="Times New Roman" w:hAnsi="Times New Roman" w:eastAsia="黑体" w:cs="Times New Roman"/>
          <w:bCs/>
          <w:sz w:val="28"/>
          <w:szCs w:val="28"/>
        </w:rPr>
        <w:t>2-1 法定代表人身份证明</w:t>
      </w:r>
    </w:p>
    <w:p w14:paraId="249130FB">
      <w:pPr>
        <w:spacing w:line="440" w:lineRule="exact"/>
        <w:rPr>
          <w:rFonts w:ascii="Times New Roman" w:hAnsi="Times New Roman" w:cs="Times New Roman"/>
          <w:sz w:val="20"/>
          <w:szCs w:val="20"/>
        </w:rPr>
      </w:pPr>
    </w:p>
    <w:p w14:paraId="7110C2FB">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2B15010F">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FD66940">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3F909D0F">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29E61600">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7AE6D7C3">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04F044E9">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109055DF">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附：法定代表人身份证正反面复印件</w:t>
      </w:r>
    </w:p>
    <w:p w14:paraId="0C3AFA79">
      <w:pPr>
        <w:spacing w:line="440" w:lineRule="exact"/>
        <w:ind w:firstLine="480" w:firstLineChars="200"/>
        <w:rPr>
          <w:rFonts w:ascii="Times New Roman" w:hAnsi="Times New Roman" w:cs="Times New Roman"/>
          <w:sz w:val="24"/>
        </w:rPr>
      </w:pPr>
    </w:p>
    <w:p w14:paraId="4DA798BF">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19BB858">
      <w:pPr>
        <w:spacing w:line="440" w:lineRule="exact"/>
        <w:rPr>
          <w:rFonts w:ascii="Times New Roman" w:hAnsi="Times New Roman" w:cs="Times New Roman"/>
          <w:sz w:val="24"/>
        </w:rPr>
      </w:pPr>
    </w:p>
    <w:p w14:paraId="3DFBE375">
      <w:pPr>
        <w:spacing w:line="440" w:lineRule="exact"/>
        <w:rPr>
          <w:rFonts w:ascii="Times New Roman" w:hAnsi="Times New Roman" w:cs="Times New Roman"/>
          <w:sz w:val="24"/>
        </w:rPr>
      </w:pPr>
    </w:p>
    <w:p w14:paraId="0351D108">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(盖单位印章)</w:t>
      </w:r>
    </w:p>
    <w:p w14:paraId="74CCC4FE">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6EAE411B">
      <w:pPr>
        <w:topLinePunct/>
        <w:spacing w:line="440" w:lineRule="exact"/>
        <w:rPr>
          <w:rFonts w:ascii="Times New Roman" w:hAnsi="Times New Roman" w:eastAsia="黑体" w:cs="Times New Roman"/>
          <w:sz w:val="24"/>
        </w:rPr>
      </w:pPr>
    </w:p>
    <w:p w14:paraId="2E048AE4">
      <w:pPr>
        <w:topLinePunct/>
        <w:spacing w:line="440" w:lineRule="exact"/>
        <w:rPr>
          <w:rFonts w:ascii="Times New Roman" w:hAnsi="Times New Roman" w:eastAsia="黑体" w:cs="Times New Roman"/>
          <w:sz w:val="24"/>
        </w:rPr>
      </w:pPr>
    </w:p>
    <w:p w14:paraId="7F511DD2">
      <w:pPr>
        <w:topLinePunct/>
        <w:spacing w:line="440" w:lineRule="exact"/>
        <w:rPr>
          <w:rFonts w:ascii="Times New Roman" w:hAnsi="Times New Roman" w:eastAsia="黑体" w:cs="Times New Roman"/>
          <w:sz w:val="24"/>
        </w:rPr>
      </w:pPr>
    </w:p>
    <w:p w14:paraId="65F20F0D">
      <w:pPr>
        <w:topLinePunct/>
        <w:spacing w:line="440" w:lineRule="exact"/>
        <w:rPr>
          <w:rFonts w:ascii="Times New Roman" w:hAnsi="Times New Roman" w:eastAsia="黑体" w:cs="Times New Roman"/>
          <w:sz w:val="24"/>
        </w:rPr>
      </w:pPr>
    </w:p>
    <w:p w14:paraId="1238590A">
      <w:pPr>
        <w:topLinePunct/>
        <w:spacing w:line="440" w:lineRule="exact"/>
        <w:rPr>
          <w:rFonts w:ascii="Times New Roman" w:hAnsi="Times New Roman" w:eastAsia="黑体" w:cs="Times New Roman"/>
          <w:sz w:val="24"/>
        </w:rPr>
      </w:pPr>
    </w:p>
    <w:p w14:paraId="16BC9D04">
      <w:pPr>
        <w:topLinePunct/>
        <w:spacing w:line="440" w:lineRule="exact"/>
        <w:ind w:left="315" w:hanging="315" w:hangingChars="150"/>
        <w:rPr>
          <w:rFonts w:ascii="Times New Roman" w:hAnsi="Times New Roman" w:eastAsia="黑体" w:cs="Times New Roman"/>
          <w:szCs w:val="21"/>
        </w:rPr>
      </w:pPr>
    </w:p>
    <w:p w14:paraId="5CE067C3">
      <w:pPr>
        <w:topLinePunct/>
        <w:spacing w:line="440" w:lineRule="exact"/>
        <w:ind w:left="315" w:hanging="315" w:hangingChars="150"/>
        <w:rPr>
          <w:rFonts w:ascii="Times New Roman" w:hAnsi="Times New Roman" w:eastAsia="黑体" w:cs="Times New Roman"/>
          <w:bCs/>
          <w:szCs w:val="21"/>
        </w:rPr>
      </w:pPr>
    </w:p>
    <w:p w14:paraId="27F97E5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p>
    <w:p w14:paraId="29712CB8">
      <w:pPr>
        <w:spacing w:line="440" w:lineRule="exact"/>
        <w:rPr>
          <w:rFonts w:ascii="Times New Roman" w:hAnsi="Times New Roman" w:eastAsia="黑体" w:cs="Times New Roman"/>
          <w:sz w:val="24"/>
        </w:rPr>
      </w:pPr>
    </w:p>
    <w:p w14:paraId="75CD6981">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 xml:space="preserve"> (项目名称) 响应文件、签订合同和处理有关事宜，其法律后果由我方承担。</w:t>
      </w:r>
    </w:p>
    <w:p w14:paraId="645571D2">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CFC7E26">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D80511F">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附：法定代表人身份证明、委托代理人的身份证正反面复印件</w:t>
      </w:r>
    </w:p>
    <w:p w14:paraId="7EB4D984">
      <w:pPr>
        <w:spacing w:line="440" w:lineRule="exact"/>
        <w:ind w:firstLine="480" w:firstLineChars="200"/>
        <w:rPr>
          <w:rFonts w:ascii="Times New Roman" w:hAnsi="Times New Roman" w:cs="Times New Roman"/>
          <w:sz w:val="24"/>
        </w:rPr>
      </w:pPr>
    </w:p>
    <w:p w14:paraId="7B099330">
      <w:pPr>
        <w:spacing w:line="440" w:lineRule="exact"/>
        <w:rPr>
          <w:rFonts w:ascii="Times New Roman" w:hAnsi="Times New Roman" w:cs="Times New Roman"/>
          <w:sz w:val="24"/>
        </w:rPr>
      </w:pPr>
    </w:p>
    <w:p w14:paraId="39608A8E">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(盖单位印章)</w:t>
      </w:r>
    </w:p>
    <w:p w14:paraId="47B035A3">
      <w:pPr>
        <w:spacing w:line="440" w:lineRule="exact"/>
        <w:rPr>
          <w:rFonts w:ascii="Times New Roman" w:hAnsi="Times New Roman" w:cs="Times New Roman"/>
          <w:sz w:val="24"/>
        </w:rPr>
      </w:pPr>
    </w:p>
    <w:p w14:paraId="4E069611">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(签名或盖章)</w:t>
      </w:r>
    </w:p>
    <w:p w14:paraId="6DB7DA92">
      <w:pPr>
        <w:spacing w:line="440" w:lineRule="exact"/>
        <w:rPr>
          <w:rFonts w:ascii="Times New Roman" w:hAnsi="Times New Roman" w:cs="Times New Roman"/>
          <w:sz w:val="24"/>
        </w:rPr>
      </w:pPr>
    </w:p>
    <w:p w14:paraId="41490F6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AE169CB">
      <w:pPr>
        <w:spacing w:line="440" w:lineRule="exact"/>
        <w:rPr>
          <w:rFonts w:ascii="Times New Roman" w:hAnsi="Times New Roman" w:cs="Times New Roman"/>
          <w:sz w:val="24"/>
        </w:rPr>
      </w:pPr>
    </w:p>
    <w:p w14:paraId="24A45622">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(姓名)</w:t>
      </w:r>
    </w:p>
    <w:p w14:paraId="4F891178">
      <w:pPr>
        <w:spacing w:line="440" w:lineRule="exact"/>
        <w:rPr>
          <w:rFonts w:ascii="Times New Roman" w:hAnsi="Times New Roman" w:cs="Times New Roman"/>
          <w:sz w:val="24"/>
        </w:rPr>
      </w:pPr>
    </w:p>
    <w:p w14:paraId="58700E7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DE8F92C">
      <w:pPr>
        <w:spacing w:line="440" w:lineRule="exact"/>
        <w:rPr>
          <w:rFonts w:ascii="Times New Roman" w:hAnsi="Times New Roman" w:cs="Times New Roman"/>
          <w:sz w:val="24"/>
        </w:rPr>
      </w:pPr>
    </w:p>
    <w:p w14:paraId="4DAC016C">
      <w:pPr>
        <w:spacing w:line="440" w:lineRule="exact"/>
        <w:rPr>
          <w:rFonts w:ascii="Times New Roman" w:hAnsi="Times New Roman" w:cs="Times New Roman"/>
          <w:sz w:val="24"/>
        </w:rPr>
      </w:pPr>
    </w:p>
    <w:p w14:paraId="5ABF706A">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D4866B9">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5D99CDB4">
      <w:pPr>
        <w:spacing w:line="360" w:lineRule="exact"/>
        <w:ind w:left="360" w:hanging="360" w:hangingChars="200"/>
        <w:rPr>
          <w:rFonts w:ascii="Times New Roman" w:hAnsi="Times New Roman" w:eastAsia="黑体" w:cs="Times New Roman"/>
          <w:sz w:val="18"/>
          <w:szCs w:val="18"/>
        </w:rPr>
      </w:pPr>
    </w:p>
    <w:p w14:paraId="70754E0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5F3F4200">
      <w:pPr>
        <w:spacing w:line="440" w:lineRule="exact"/>
        <w:ind w:firstLine="560"/>
        <w:jc w:val="center"/>
        <w:rPr>
          <w:rFonts w:ascii="Times New Roman" w:hAnsi="Times New Roman" w:eastAsia="黑体" w:cs="Times New Roman"/>
          <w:sz w:val="28"/>
          <w:szCs w:val="28"/>
        </w:rPr>
      </w:pPr>
      <w:bookmarkStart w:id="191" w:name="_Toc32085_WPSOffice_Level1"/>
      <w:bookmarkStart w:id="192" w:name="_Toc24530_WPSOffice_Level1"/>
      <w:bookmarkStart w:id="193" w:name="_Toc15186_WPSOffice_Level1"/>
      <w:bookmarkStart w:id="194" w:name="_Toc24567_WPSOffice_Level1"/>
      <w:bookmarkStart w:id="195" w:name="_Toc17677_WPSOffice_Level1"/>
      <w:bookmarkStart w:id="196" w:name="_Toc12942_WPSOffice_Level1"/>
      <w:bookmarkStart w:id="197" w:name="_Toc28627_WPSOffice_Level1"/>
      <w:r>
        <w:rPr>
          <w:rFonts w:ascii="Times New Roman" w:hAnsi="Times New Roman" w:eastAsia="黑体" w:cs="Times New Roman"/>
          <w:sz w:val="28"/>
          <w:szCs w:val="28"/>
        </w:rPr>
        <w:t>三、已标价的</w:t>
      </w:r>
      <w:bookmarkEnd w:id="191"/>
      <w:bookmarkEnd w:id="192"/>
      <w:bookmarkEnd w:id="193"/>
      <w:bookmarkEnd w:id="194"/>
      <w:r>
        <w:rPr>
          <w:rFonts w:ascii="Times New Roman" w:hAnsi="Times New Roman" w:eastAsia="黑体" w:cs="Times New Roman"/>
          <w:sz w:val="28"/>
          <w:szCs w:val="28"/>
        </w:rPr>
        <w:t>报价清单</w:t>
      </w:r>
      <w:bookmarkEnd w:id="195"/>
      <w:bookmarkEnd w:id="196"/>
      <w:bookmarkEnd w:id="197"/>
    </w:p>
    <w:p w14:paraId="18D3E3BA">
      <w:pPr>
        <w:pStyle w:val="28"/>
        <w:ind w:left="560" w:leftChars="0" w:firstLine="0" w:firstLineChars="0"/>
        <w:rPr>
          <w:rFonts w:ascii="Times New Roman" w:hAnsi="Times New Roman" w:cs="Times New Roma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6728"/>
      </w:tblGrid>
      <w:tr w14:paraId="3937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3D4155D">
            <w:pPr>
              <w:spacing w:line="440" w:lineRule="exact"/>
              <w:rPr>
                <w:rFonts w:ascii="Times New Roman" w:hAnsi="Times New Roman" w:cs="Times New Roman"/>
                <w:sz w:val="24"/>
              </w:rPr>
            </w:pPr>
            <w:r>
              <w:rPr>
                <w:rFonts w:ascii="Times New Roman" w:hAnsi="Times New Roman" w:cs="Times New Roman"/>
                <w:sz w:val="24"/>
              </w:rPr>
              <w:t>供应商名称</w:t>
            </w:r>
          </w:p>
        </w:tc>
        <w:tc>
          <w:tcPr>
            <w:tcW w:w="6728" w:type="dxa"/>
          </w:tcPr>
          <w:p w14:paraId="4A444C81">
            <w:pPr>
              <w:spacing w:line="440" w:lineRule="exact"/>
              <w:rPr>
                <w:rFonts w:ascii="Times New Roman" w:hAnsi="Times New Roman" w:cs="Times New Roman"/>
                <w:sz w:val="24"/>
              </w:rPr>
            </w:pPr>
          </w:p>
        </w:tc>
      </w:tr>
      <w:tr w14:paraId="0483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B121C74">
            <w:pPr>
              <w:spacing w:line="440" w:lineRule="exact"/>
              <w:rPr>
                <w:rFonts w:ascii="Times New Roman" w:hAnsi="Times New Roman" w:cs="Times New Roman"/>
                <w:sz w:val="24"/>
              </w:rPr>
            </w:pPr>
            <w:r>
              <w:rPr>
                <w:rFonts w:ascii="Times New Roman" w:hAnsi="Times New Roman" w:cs="Times New Roman"/>
                <w:sz w:val="24"/>
              </w:rPr>
              <w:t>响应总报价</w:t>
            </w:r>
          </w:p>
        </w:tc>
        <w:tc>
          <w:tcPr>
            <w:tcW w:w="6728" w:type="dxa"/>
          </w:tcPr>
          <w:p w14:paraId="70DA5F36">
            <w:pPr>
              <w:spacing w:line="440" w:lineRule="exact"/>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元（大写：</w:t>
            </w:r>
            <w:r>
              <w:rPr>
                <w:rFonts w:ascii="Times New Roman" w:hAnsi="Times New Roman" w:cs="Times New Roman"/>
                <w:sz w:val="24"/>
                <w:u w:val="single"/>
              </w:rPr>
              <w:t xml:space="preserve">      </w:t>
            </w:r>
            <w:r>
              <w:rPr>
                <w:rFonts w:ascii="Times New Roman" w:hAnsi="Times New Roman" w:cs="Times New Roman"/>
                <w:sz w:val="24"/>
              </w:rPr>
              <w:t>）</w:t>
            </w:r>
          </w:p>
        </w:tc>
      </w:tr>
      <w:tr w14:paraId="0E1D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452B1AD1">
            <w:pPr>
              <w:spacing w:line="440" w:lineRule="exact"/>
              <w:rPr>
                <w:rFonts w:ascii="Times New Roman" w:hAnsi="Times New Roman" w:cs="Times New Roman"/>
                <w:sz w:val="24"/>
              </w:rPr>
            </w:pPr>
            <w:r>
              <w:rPr>
                <w:rFonts w:ascii="Times New Roman" w:hAnsi="Times New Roman" w:cs="Times New Roman"/>
                <w:sz w:val="24"/>
              </w:rPr>
              <w:t>增值税税率</w:t>
            </w:r>
          </w:p>
        </w:tc>
        <w:tc>
          <w:tcPr>
            <w:tcW w:w="6728" w:type="dxa"/>
          </w:tcPr>
          <w:p w14:paraId="21B093A7">
            <w:pPr>
              <w:spacing w:line="440" w:lineRule="exact"/>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w:t>
            </w:r>
          </w:p>
        </w:tc>
      </w:tr>
      <w:tr w14:paraId="3524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0144887">
            <w:pPr>
              <w:spacing w:line="440" w:lineRule="exact"/>
              <w:rPr>
                <w:rFonts w:ascii="Times New Roman" w:hAnsi="Times New Roman" w:cs="Times New Roman"/>
                <w:sz w:val="24"/>
              </w:rPr>
            </w:pPr>
            <w:r>
              <w:rPr>
                <w:rFonts w:ascii="Times New Roman" w:hAnsi="Times New Roman" w:cs="Times New Roman"/>
                <w:sz w:val="24"/>
              </w:rPr>
              <w:t>说明</w:t>
            </w:r>
          </w:p>
        </w:tc>
        <w:tc>
          <w:tcPr>
            <w:tcW w:w="6728" w:type="dxa"/>
          </w:tcPr>
          <w:p w14:paraId="752F250D">
            <w:pPr>
              <w:spacing w:line="440" w:lineRule="exact"/>
              <w:rPr>
                <w:rFonts w:ascii="Times New Roman" w:hAnsi="Times New Roman" w:cs="Times New Roman"/>
                <w:sz w:val="24"/>
              </w:rPr>
            </w:pPr>
            <w:r>
              <w:rPr>
                <w:rFonts w:ascii="Times New Roman" w:hAnsi="Times New Roman" w:cs="Times New Roman"/>
                <w:sz w:val="24"/>
              </w:rPr>
              <w:t>1.供应商可按服务项目、内容、成果提供具体报价清单，服务内容由参选单位根据对本次询比文件的理解自行罗列，服务费用包括供应商完成本项目服务所有工作量、提供全套成果文件及相关配合工作所需的全部费用(包括但不限于完成询比要求所约定的所有咨询服务所产生的人工费、材料费、管理费、差旅费、会务费、利润等)。</w:t>
            </w:r>
          </w:p>
          <w:p w14:paraId="2CAD64E7">
            <w:pPr>
              <w:spacing w:line="440" w:lineRule="exact"/>
              <w:rPr>
                <w:rFonts w:ascii="Times New Roman" w:hAnsi="Times New Roman" w:cs="Times New Roman"/>
                <w:sz w:val="24"/>
              </w:rPr>
            </w:pPr>
            <w:r>
              <w:rPr>
                <w:rFonts w:ascii="Times New Roman" w:hAnsi="Times New Roman" w:cs="Times New Roman"/>
                <w:sz w:val="24"/>
              </w:rPr>
              <w:t>2.以上报 价均为含税价格。</w:t>
            </w:r>
          </w:p>
          <w:p w14:paraId="1304AB17">
            <w:pPr>
              <w:spacing w:line="440" w:lineRule="exact"/>
              <w:rPr>
                <w:rFonts w:ascii="Times New Roman" w:hAnsi="Times New Roman" w:cs="Times New Roman"/>
                <w:sz w:val="24"/>
              </w:rPr>
            </w:pPr>
            <w:r>
              <w:rPr>
                <w:rFonts w:ascii="Times New Roman" w:hAnsi="Times New Roman" w:cs="Times New Roman"/>
                <w:sz w:val="24"/>
              </w:rPr>
              <w:t>3.供应商的报价包括成交后按采购人的意见修改、优化服务成果所需的费用，供应商不另外单独支付。</w:t>
            </w:r>
          </w:p>
        </w:tc>
      </w:tr>
    </w:tbl>
    <w:p w14:paraId="4ED869DD">
      <w:pPr>
        <w:spacing w:line="440" w:lineRule="exact"/>
        <w:rPr>
          <w:rFonts w:ascii="Times New Roman" w:hAnsi="Times New Roman" w:eastAsia="黑体" w:cs="Times New Roman"/>
          <w:sz w:val="24"/>
        </w:rPr>
      </w:pPr>
    </w:p>
    <w:p w14:paraId="5F622DFB">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(盖单位印章)</w:t>
      </w:r>
    </w:p>
    <w:p w14:paraId="548AE933">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70211C65">
      <w:pPr>
        <w:rPr>
          <w:rFonts w:ascii="Times New Roman" w:hAnsi="Times New Roman" w:eastAsia="黑体" w:cs="Times New Roman"/>
          <w:sz w:val="28"/>
          <w:szCs w:val="28"/>
        </w:rPr>
      </w:pPr>
    </w:p>
    <w:p w14:paraId="414B4AD9">
      <w:pPr>
        <w:jc w:val="left"/>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00833FED">
      <w:pPr>
        <w:topLinePunct/>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四、供应商基本情况</w:t>
      </w:r>
    </w:p>
    <w:p w14:paraId="46381973">
      <w:pPr>
        <w:topLinePunct/>
        <w:spacing w:line="440" w:lineRule="exact"/>
        <w:jc w:val="center"/>
        <w:rPr>
          <w:rFonts w:ascii="Times New Roman" w:hAnsi="Times New Roman" w:cs="Times New Roman"/>
          <w:sz w:val="23"/>
          <w:szCs w:val="23"/>
        </w:rPr>
      </w:pPr>
    </w:p>
    <w:tbl>
      <w:tblPr>
        <w:tblStyle w:val="2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570B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1352D03">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00CC866">
            <w:pPr>
              <w:topLinePunct/>
              <w:spacing w:line="440" w:lineRule="exact"/>
              <w:jc w:val="center"/>
              <w:rPr>
                <w:rFonts w:ascii="Times New Roman" w:hAnsi="Times New Roman" w:cs="Times New Roman"/>
                <w:szCs w:val="21"/>
              </w:rPr>
            </w:pPr>
          </w:p>
        </w:tc>
      </w:tr>
      <w:tr w14:paraId="507C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6F5EB050">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1E9EF06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279D604">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27144A8B">
            <w:pPr>
              <w:topLinePunct/>
              <w:spacing w:line="440" w:lineRule="exact"/>
              <w:jc w:val="center"/>
              <w:rPr>
                <w:rFonts w:ascii="Times New Roman" w:hAnsi="Times New Roman" w:cs="Times New Roman"/>
                <w:szCs w:val="21"/>
              </w:rPr>
            </w:pPr>
          </w:p>
        </w:tc>
      </w:tr>
      <w:tr w14:paraId="41F10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5BA04EA">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5C5B5E6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8413D4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9D8BEE9">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4B20BC9F">
            <w:pPr>
              <w:topLinePunct/>
              <w:spacing w:line="440" w:lineRule="exact"/>
              <w:jc w:val="center"/>
              <w:rPr>
                <w:rFonts w:ascii="Times New Roman" w:hAnsi="Times New Roman" w:cs="Times New Roman"/>
                <w:szCs w:val="21"/>
              </w:rPr>
            </w:pPr>
          </w:p>
        </w:tc>
      </w:tr>
      <w:tr w14:paraId="7DC91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5B28E76">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3E101A83">
            <w:pPr>
              <w:topLinePunct/>
              <w:spacing w:line="440" w:lineRule="exact"/>
              <w:jc w:val="center"/>
              <w:rPr>
                <w:rFonts w:ascii="Times New Roman" w:hAnsi="Times New Roman" w:cs="Times New Roman"/>
                <w:szCs w:val="21"/>
              </w:rPr>
            </w:pPr>
            <w:r>
              <w:rPr>
                <w:rFonts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AD5DEA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9CC201C">
            <w:pPr>
              <w:topLinePunct/>
              <w:spacing w:line="440" w:lineRule="exact"/>
              <w:jc w:val="center"/>
              <w:rPr>
                <w:rFonts w:ascii="Times New Roman" w:hAnsi="Times New Roman" w:cs="Times New Roman"/>
                <w:szCs w:val="21"/>
              </w:rPr>
            </w:pPr>
            <w:r>
              <w:rPr>
                <w:rFonts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36F8B1C8">
            <w:pPr>
              <w:topLinePunct/>
              <w:spacing w:line="440" w:lineRule="exact"/>
              <w:jc w:val="center"/>
              <w:rPr>
                <w:rFonts w:ascii="Times New Roman" w:hAnsi="Times New Roman" w:cs="Times New Roman"/>
                <w:szCs w:val="21"/>
              </w:rPr>
            </w:pPr>
          </w:p>
        </w:tc>
      </w:tr>
      <w:tr w14:paraId="36E3E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67CABD0">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D80F6D">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56D4794D">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03E5B5C">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6343B0D6">
            <w:pPr>
              <w:topLinePunct/>
              <w:spacing w:line="440" w:lineRule="exact"/>
              <w:jc w:val="center"/>
              <w:rPr>
                <w:rFonts w:ascii="Times New Roman" w:hAnsi="Times New Roman" w:cs="Times New Roman"/>
                <w:szCs w:val="21"/>
              </w:rPr>
            </w:pPr>
          </w:p>
        </w:tc>
      </w:tr>
      <w:tr w14:paraId="1B41D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605A1E8E">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C531B0E">
            <w:pPr>
              <w:topLinePunct/>
              <w:spacing w:line="440" w:lineRule="exact"/>
              <w:jc w:val="center"/>
              <w:rPr>
                <w:rFonts w:ascii="Times New Roman" w:hAnsi="Times New Roman" w:cs="Times New Roman"/>
                <w:szCs w:val="21"/>
              </w:rPr>
            </w:pPr>
          </w:p>
        </w:tc>
      </w:tr>
      <w:tr w14:paraId="2CD6A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6E439CF">
            <w:pPr>
              <w:topLinePunct/>
              <w:spacing w:line="440" w:lineRule="exact"/>
              <w:jc w:val="center"/>
              <w:rPr>
                <w:rFonts w:ascii="Times New Roman" w:hAnsi="Times New Roman" w:cs="Times New Roman"/>
                <w:szCs w:val="21"/>
              </w:rPr>
            </w:pPr>
            <w:r>
              <w:rPr>
                <w:rFonts w:ascii="Times New Roman" w:hAnsi="Times New Roman" w:cs="Times New Roman"/>
                <w:szCs w:val="21"/>
              </w:rPr>
              <w:t>经营范围</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C8A9DDB">
            <w:pPr>
              <w:topLinePunct/>
              <w:spacing w:line="440" w:lineRule="exact"/>
              <w:jc w:val="center"/>
              <w:rPr>
                <w:rFonts w:ascii="Times New Roman" w:hAnsi="Times New Roman" w:cs="Times New Roman"/>
                <w:szCs w:val="21"/>
              </w:rPr>
            </w:pPr>
          </w:p>
        </w:tc>
      </w:tr>
      <w:tr w14:paraId="0A79B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416C5A67">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4D4FA5B">
            <w:pPr>
              <w:topLinePunct/>
              <w:spacing w:line="440" w:lineRule="exact"/>
              <w:rPr>
                <w:rFonts w:ascii="Times New Roman" w:hAnsi="Times New Roman" w:cs="Times New Roman"/>
                <w:szCs w:val="21"/>
              </w:rPr>
            </w:pPr>
          </w:p>
          <w:p w14:paraId="29956634">
            <w:pPr>
              <w:topLinePunct/>
              <w:spacing w:line="440" w:lineRule="exact"/>
              <w:jc w:val="center"/>
              <w:rPr>
                <w:rFonts w:ascii="Times New Roman" w:hAnsi="Times New Roman" w:cs="Times New Roman"/>
                <w:szCs w:val="21"/>
              </w:rPr>
            </w:pPr>
          </w:p>
          <w:p w14:paraId="637E9727">
            <w:pPr>
              <w:topLinePunct/>
              <w:spacing w:line="440" w:lineRule="exact"/>
              <w:rPr>
                <w:rFonts w:ascii="Times New Roman" w:hAnsi="Times New Roman" w:cs="Times New Roman"/>
                <w:szCs w:val="21"/>
              </w:rPr>
            </w:pPr>
          </w:p>
        </w:tc>
      </w:tr>
      <w:tr w14:paraId="0A57D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798FB8EE">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9B686A3">
            <w:pPr>
              <w:topLinePunct/>
              <w:spacing w:line="440" w:lineRule="exact"/>
              <w:jc w:val="center"/>
              <w:rPr>
                <w:rFonts w:ascii="Times New Roman" w:hAnsi="Times New Roman" w:cs="Times New Roman"/>
                <w:szCs w:val="21"/>
              </w:rPr>
            </w:pPr>
          </w:p>
        </w:tc>
      </w:tr>
    </w:tbl>
    <w:p w14:paraId="6802928E">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45BD33A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在本表后应附企业法人营业执照、资质证书（如有）及资格审查要求的其他证件复印件。</w:t>
      </w:r>
    </w:p>
    <w:p w14:paraId="0673F80C">
      <w:pPr>
        <w:widowControl/>
        <w:autoSpaceDE w:val="0"/>
        <w:autoSpaceDN w:val="0"/>
        <w:spacing w:line="360" w:lineRule="atLeast"/>
        <w:ind w:left="420" w:leftChars="200"/>
        <w:textAlignment w:val="bottom"/>
        <w:rPr>
          <w:rFonts w:ascii="Times New Roman" w:hAnsi="Times New Roman" w:eastAsia="黑体" w:cs="Times New Roman"/>
          <w:szCs w:val="21"/>
        </w:rPr>
      </w:pPr>
    </w:p>
    <w:p w14:paraId="29FF9E6E">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E6DB308">
      <w:pPr>
        <w:pStyle w:val="13"/>
        <w:spacing w:line="240" w:lineRule="atLeast"/>
        <w:ind w:left="560" w:leftChars="0" w:right="-512" w:rightChars="-244" w:hanging="560" w:hangingChars="200"/>
        <w:jc w:val="center"/>
        <w:rPr>
          <w:rFonts w:ascii="Times New Roman" w:hAnsi="Times New Roman" w:cs="Times New Roman"/>
          <w:sz w:val="28"/>
          <w:szCs w:val="28"/>
        </w:rPr>
      </w:pPr>
      <w:r>
        <w:rPr>
          <w:rFonts w:ascii="Times New Roman" w:hAnsi="Times New Roman" w:eastAsia="黑体" w:cs="Times New Roman"/>
          <w:sz w:val="28"/>
          <w:szCs w:val="28"/>
        </w:rPr>
        <w:t>五、近年类似业绩情况</w:t>
      </w: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7D20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617A2846">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2667F4A0">
            <w:pPr>
              <w:topLinePunct/>
              <w:spacing w:line="440" w:lineRule="exact"/>
              <w:rPr>
                <w:rFonts w:ascii="Times New Roman" w:hAnsi="Times New Roman" w:cs="Times New Roman"/>
                <w:szCs w:val="21"/>
              </w:rPr>
            </w:pPr>
          </w:p>
        </w:tc>
      </w:tr>
      <w:tr w14:paraId="2A2B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5F17ADE3">
            <w:pPr>
              <w:topLinePunct/>
              <w:spacing w:line="440" w:lineRule="exact"/>
              <w:jc w:val="center"/>
              <w:rPr>
                <w:rFonts w:ascii="Times New Roman" w:hAnsi="Times New Roman" w:cs="Times New Roman"/>
                <w:szCs w:val="21"/>
              </w:rPr>
            </w:pPr>
            <w:r>
              <w:rPr>
                <w:rFonts w:ascii="Times New Roman" w:hAnsi="Times New Roman" w:cs="Times New Roman"/>
                <w:szCs w:val="21"/>
              </w:rPr>
              <w:t>项目所在地</w:t>
            </w:r>
          </w:p>
        </w:tc>
        <w:tc>
          <w:tcPr>
            <w:tcW w:w="6258" w:type="dxa"/>
          </w:tcPr>
          <w:p w14:paraId="2A76C9E3">
            <w:pPr>
              <w:topLinePunct/>
              <w:spacing w:line="440" w:lineRule="exact"/>
              <w:rPr>
                <w:rFonts w:ascii="Times New Roman" w:hAnsi="Times New Roman" w:cs="Times New Roman"/>
                <w:szCs w:val="21"/>
              </w:rPr>
            </w:pPr>
          </w:p>
        </w:tc>
      </w:tr>
      <w:tr w14:paraId="5B90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6FC7A3FF">
            <w:pPr>
              <w:topLinePunct/>
              <w:spacing w:line="440" w:lineRule="exact"/>
              <w:jc w:val="center"/>
              <w:rPr>
                <w:rFonts w:ascii="Times New Roman" w:hAnsi="Times New Roman" w:cs="Times New Roman"/>
                <w:szCs w:val="21"/>
              </w:rPr>
            </w:pPr>
            <w:r>
              <w:rPr>
                <w:rFonts w:ascii="Times New Roman" w:hAnsi="Times New Roman" w:cs="Times New Roman"/>
                <w:szCs w:val="21"/>
              </w:rPr>
              <w:t>业主名称</w:t>
            </w:r>
          </w:p>
        </w:tc>
        <w:tc>
          <w:tcPr>
            <w:tcW w:w="6258" w:type="dxa"/>
          </w:tcPr>
          <w:p w14:paraId="58EB7269">
            <w:pPr>
              <w:topLinePunct/>
              <w:spacing w:line="440" w:lineRule="exact"/>
              <w:rPr>
                <w:rFonts w:ascii="Times New Roman" w:hAnsi="Times New Roman" w:cs="Times New Roman"/>
                <w:szCs w:val="21"/>
              </w:rPr>
            </w:pPr>
          </w:p>
        </w:tc>
      </w:tr>
      <w:tr w14:paraId="546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63F5C103">
            <w:pPr>
              <w:topLinePunct/>
              <w:spacing w:line="440" w:lineRule="exact"/>
              <w:jc w:val="center"/>
              <w:rPr>
                <w:rFonts w:ascii="Times New Roman" w:hAnsi="Times New Roman" w:cs="Times New Roman"/>
                <w:szCs w:val="21"/>
              </w:rPr>
            </w:pPr>
            <w:r>
              <w:rPr>
                <w:rFonts w:ascii="Times New Roman" w:hAnsi="Times New Roman" w:cs="Times New Roman"/>
                <w:szCs w:val="21"/>
              </w:rPr>
              <w:t>业主地址</w:t>
            </w:r>
          </w:p>
        </w:tc>
        <w:tc>
          <w:tcPr>
            <w:tcW w:w="6258" w:type="dxa"/>
          </w:tcPr>
          <w:p w14:paraId="65FA752B">
            <w:pPr>
              <w:topLinePunct/>
              <w:spacing w:line="440" w:lineRule="exact"/>
              <w:rPr>
                <w:rFonts w:ascii="Times New Roman" w:hAnsi="Times New Roman" w:cs="Times New Roman"/>
                <w:szCs w:val="21"/>
              </w:rPr>
            </w:pPr>
          </w:p>
        </w:tc>
      </w:tr>
      <w:tr w14:paraId="096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137A7A58">
            <w:pPr>
              <w:topLinePunct/>
              <w:spacing w:line="440" w:lineRule="exact"/>
              <w:jc w:val="center"/>
              <w:rPr>
                <w:rFonts w:ascii="Times New Roman" w:hAnsi="Times New Roman" w:cs="Times New Roman"/>
                <w:szCs w:val="21"/>
              </w:rPr>
            </w:pPr>
            <w:r>
              <w:rPr>
                <w:rFonts w:ascii="Times New Roman" w:hAnsi="Times New Roman" w:cs="Times New Roman"/>
                <w:szCs w:val="21"/>
              </w:rPr>
              <w:t>业主性质</w:t>
            </w:r>
          </w:p>
        </w:tc>
        <w:tc>
          <w:tcPr>
            <w:tcW w:w="6258" w:type="dxa"/>
          </w:tcPr>
          <w:p w14:paraId="5CB43BAA">
            <w:pPr>
              <w:topLinePunct/>
              <w:spacing w:line="440" w:lineRule="exact"/>
              <w:rPr>
                <w:rFonts w:ascii="Times New Roman" w:hAnsi="Times New Roman" w:cs="Times New Roman"/>
                <w:szCs w:val="21"/>
              </w:rPr>
            </w:pPr>
            <w:r>
              <w:rPr>
                <w:rFonts w:ascii="Times New Roman" w:hAnsi="Times New Roman" w:cs="Times New Roman"/>
                <w:szCs w:val="21"/>
              </w:rPr>
              <w:t xml:space="preserve"> </w:t>
            </w:r>
          </w:p>
        </w:tc>
      </w:tr>
      <w:tr w14:paraId="0E5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05AA0250">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62757A8">
            <w:pPr>
              <w:topLinePunct/>
              <w:spacing w:line="440" w:lineRule="exact"/>
              <w:rPr>
                <w:rFonts w:ascii="Times New Roman" w:hAnsi="Times New Roman" w:cs="Times New Roman"/>
                <w:szCs w:val="21"/>
              </w:rPr>
            </w:pPr>
          </w:p>
        </w:tc>
      </w:tr>
      <w:tr w14:paraId="624B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4614D8C7">
            <w:pPr>
              <w:topLinePunct/>
              <w:spacing w:line="440" w:lineRule="exact"/>
              <w:jc w:val="center"/>
              <w:rPr>
                <w:rFonts w:ascii="Times New Roman" w:hAnsi="Times New Roman" w:cs="Times New Roman"/>
                <w:szCs w:val="21"/>
              </w:rPr>
            </w:pPr>
            <w:r>
              <w:rPr>
                <w:rFonts w:ascii="Times New Roman" w:hAnsi="Times New Roman" w:cs="Times New Roman"/>
                <w:szCs w:val="21"/>
              </w:rPr>
              <w:t>开工日期</w:t>
            </w:r>
          </w:p>
        </w:tc>
        <w:tc>
          <w:tcPr>
            <w:tcW w:w="6258" w:type="dxa"/>
          </w:tcPr>
          <w:p w14:paraId="28CD2D33">
            <w:pPr>
              <w:topLinePunct/>
              <w:spacing w:line="440" w:lineRule="exact"/>
              <w:rPr>
                <w:rFonts w:ascii="Times New Roman" w:hAnsi="Times New Roman" w:cs="Times New Roman"/>
                <w:szCs w:val="21"/>
              </w:rPr>
            </w:pPr>
          </w:p>
        </w:tc>
      </w:tr>
      <w:tr w14:paraId="609E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11391258">
            <w:pPr>
              <w:topLinePunct/>
              <w:spacing w:line="440" w:lineRule="exact"/>
              <w:jc w:val="center"/>
              <w:rPr>
                <w:rFonts w:ascii="Times New Roman" w:hAnsi="Times New Roman" w:cs="Times New Roman"/>
                <w:szCs w:val="21"/>
              </w:rPr>
            </w:pPr>
            <w:r>
              <w:rPr>
                <w:rFonts w:ascii="Times New Roman" w:hAnsi="Times New Roman" w:cs="Times New Roman"/>
                <w:szCs w:val="21"/>
              </w:rPr>
              <w:t>完成日期</w:t>
            </w:r>
          </w:p>
        </w:tc>
        <w:tc>
          <w:tcPr>
            <w:tcW w:w="6258" w:type="dxa"/>
          </w:tcPr>
          <w:p w14:paraId="558168CC">
            <w:pPr>
              <w:topLinePunct/>
              <w:spacing w:line="440" w:lineRule="exact"/>
              <w:rPr>
                <w:rFonts w:ascii="Times New Roman" w:hAnsi="Times New Roman" w:cs="Times New Roman"/>
                <w:szCs w:val="21"/>
              </w:rPr>
            </w:pPr>
          </w:p>
        </w:tc>
      </w:tr>
      <w:tr w14:paraId="7E53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33410029">
            <w:pPr>
              <w:topLinePunct/>
              <w:spacing w:line="440" w:lineRule="exact"/>
              <w:jc w:val="center"/>
              <w:rPr>
                <w:rFonts w:ascii="Times New Roman" w:hAnsi="Times New Roman" w:cs="Times New Roman"/>
                <w:szCs w:val="21"/>
              </w:rPr>
            </w:pPr>
            <w:r>
              <w:rPr>
                <w:rFonts w:ascii="Times New Roman" w:hAnsi="Times New Roman" w:cs="Times New Roman"/>
                <w:szCs w:val="21"/>
              </w:rPr>
              <w:t>承担的工作</w:t>
            </w:r>
          </w:p>
        </w:tc>
        <w:tc>
          <w:tcPr>
            <w:tcW w:w="6258" w:type="dxa"/>
          </w:tcPr>
          <w:p w14:paraId="5FB00241">
            <w:pPr>
              <w:topLinePunct/>
              <w:spacing w:line="440" w:lineRule="exact"/>
              <w:rPr>
                <w:rFonts w:ascii="Times New Roman" w:hAnsi="Times New Roman" w:cs="Times New Roman"/>
                <w:szCs w:val="21"/>
              </w:rPr>
            </w:pPr>
          </w:p>
        </w:tc>
      </w:tr>
      <w:tr w14:paraId="1B88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5F45CB58">
            <w:pPr>
              <w:topLinePunct/>
              <w:spacing w:line="440" w:lineRule="exact"/>
              <w:jc w:val="center"/>
              <w:rPr>
                <w:rFonts w:ascii="Times New Roman" w:hAnsi="Times New Roman" w:cs="Times New Roman"/>
                <w:szCs w:val="21"/>
              </w:rPr>
            </w:pPr>
            <w:r>
              <w:rPr>
                <w:rFonts w:ascii="Times New Roman" w:hAnsi="Times New Roman" w:cs="Times New Roman"/>
                <w:szCs w:val="21"/>
              </w:rPr>
              <w:t>项目负责人</w:t>
            </w:r>
          </w:p>
        </w:tc>
        <w:tc>
          <w:tcPr>
            <w:tcW w:w="6258" w:type="dxa"/>
          </w:tcPr>
          <w:p w14:paraId="1396CECE">
            <w:pPr>
              <w:topLinePunct/>
              <w:spacing w:line="440" w:lineRule="exact"/>
              <w:rPr>
                <w:rFonts w:ascii="Times New Roman" w:hAnsi="Times New Roman" w:cs="Times New Roman"/>
                <w:szCs w:val="21"/>
              </w:rPr>
            </w:pPr>
          </w:p>
        </w:tc>
      </w:tr>
      <w:tr w14:paraId="44DC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5CEB21A7">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4376EFDD">
            <w:pPr>
              <w:topLinePunct/>
              <w:spacing w:line="440" w:lineRule="exact"/>
              <w:rPr>
                <w:rFonts w:ascii="Times New Roman" w:hAnsi="Times New Roman" w:cs="Times New Roman"/>
                <w:szCs w:val="21"/>
              </w:rPr>
            </w:pPr>
          </w:p>
        </w:tc>
      </w:tr>
      <w:tr w14:paraId="00AC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6712C928">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56BBE0D1">
            <w:pPr>
              <w:topLinePunct/>
              <w:spacing w:line="440" w:lineRule="exact"/>
              <w:rPr>
                <w:rFonts w:ascii="Times New Roman" w:hAnsi="Times New Roman" w:cs="Times New Roman"/>
                <w:szCs w:val="21"/>
              </w:rPr>
            </w:pPr>
          </w:p>
        </w:tc>
      </w:tr>
    </w:tbl>
    <w:p w14:paraId="774C866E">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4DCE2FC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1、每张表格只填写一个项目，并标明序号。</w:t>
      </w:r>
    </w:p>
    <w:p w14:paraId="7A0C00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2、业绩证明材料要求：类似业绩证明材料要求详见采购公告及评审办法。</w:t>
      </w:r>
    </w:p>
    <w:p w14:paraId="39865BBC">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ascii="Times New Roman" w:hAnsi="Times New Roman" w:eastAsia="黑体" w:cs="Times New Roman"/>
          <w:szCs w:val="21"/>
        </w:rPr>
        <w:t>3、如近年来，供应商法人机构发生合法变更或重组或法人名称变更时，应提供相关部门的合法批件或其他相关证明材料来证明其所附业绩的继承性。</w:t>
      </w:r>
    </w:p>
    <w:p w14:paraId="727A10F0">
      <w:pPr>
        <w:pStyle w:val="12"/>
        <w:rPr>
          <w:rFonts w:ascii="Times New Roman" w:hAnsi="Times New Roman" w:cs="Times New Roman"/>
        </w:rPr>
      </w:pPr>
    </w:p>
    <w:p w14:paraId="4FE8B8A1">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2DFFD2A1">
      <w:pPr>
        <w:widowControl/>
        <w:autoSpaceDE w:val="0"/>
        <w:autoSpaceDN w:val="0"/>
        <w:spacing w:line="360" w:lineRule="atLeast"/>
        <w:ind w:left="180"/>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六、拟委任的主要人员</w:t>
      </w:r>
    </w:p>
    <w:p w14:paraId="4A4031AB">
      <w:pPr>
        <w:pStyle w:val="12"/>
        <w:widowControl/>
        <w:autoSpaceDE w:val="0"/>
        <w:autoSpaceDN w:val="0"/>
        <w:spacing w:line="360" w:lineRule="atLeast"/>
        <w:ind w:left="180"/>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拟委任的主要人员资历表</w:t>
      </w:r>
    </w:p>
    <w:tbl>
      <w:tblPr>
        <w:tblStyle w:val="2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6558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1BBE5C64">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姓    名</w:t>
            </w:r>
          </w:p>
        </w:tc>
        <w:tc>
          <w:tcPr>
            <w:tcW w:w="1440" w:type="dxa"/>
            <w:gridSpan w:val="2"/>
            <w:vAlign w:val="center"/>
          </w:tcPr>
          <w:p w14:paraId="70EB380D">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14:paraId="0AD22EC1">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年    龄</w:t>
            </w:r>
          </w:p>
        </w:tc>
        <w:tc>
          <w:tcPr>
            <w:tcW w:w="1322" w:type="dxa"/>
            <w:vAlign w:val="center"/>
          </w:tcPr>
          <w:p w14:paraId="3C586879">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14:paraId="26ACB2F0">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专    业</w:t>
            </w:r>
          </w:p>
        </w:tc>
        <w:tc>
          <w:tcPr>
            <w:tcW w:w="1598" w:type="dxa"/>
            <w:gridSpan w:val="2"/>
            <w:vAlign w:val="center"/>
          </w:tcPr>
          <w:p w14:paraId="4A5977E1">
            <w:pPr>
              <w:widowControl/>
              <w:autoSpaceDE w:val="0"/>
              <w:autoSpaceDN w:val="0"/>
              <w:spacing w:before="40" w:after="40" w:line="280" w:lineRule="atLeast"/>
              <w:textAlignment w:val="bottom"/>
              <w:rPr>
                <w:rFonts w:ascii="Times New Roman" w:hAnsi="Times New Roman" w:cs="Times New Roman"/>
                <w:szCs w:val="21"/>
              </w:rPr>
            </w:pPr>
          </w:p>
        </w:tc>
      </w:tr>
      <w:tr w14:paraId="46A2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1B95F0F7">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称</w:t>
            </w:r>
          </w:p>
        </w:tc>
        <w:tc>
          <w:tcPr>
            <w:tcW w:w="1440" w:type="dxa"/>
            <w:gridSpan w:val="2"/>
            <w:vAlign w:val="center"/>
          </w:tcPr>
          <w:p w14:paraId="6249F238">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14:paraId="49DE3AEA">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公司单位职    务</w:t>
            </w:r>
          </w:p>
        </w:tc>
        <w:tc>
          <w:tcPr>
            <w:tcW w:w="1322" w:type="dxa"/>
            <w:vAlign w:val="center"/>
          </w:tcPr>
          <w:p w14:paraId="6D87046A">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14:paraId="6FC13570">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拟在本项目</w:t>
            </w:r>
          </w:p>
          <w:p w14:paraId="622C0F48">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担任职务</w:t>
            </w:r>
          </w:p>
        </w:tc>
        <w:tc>
          <w:tcPr>
            <w:tcW w:w="1598" w:type="dxa"/>
            <w:gridSpan w:val="2"/>
            <w:vAlign w:val="center"/>
          </w:tcPr>
          <w:p w14:paraId="4F533843">
            <w:pPr>
              <w:widowControl/>
              <w:autoSpaceDE w:val="0"/>
              <w:autoSpaceDN w:val="0"/>
              <w:spacing w:before="40" w:after="40" w:line="280" w:lineRule="atLeast"/>
              <w:textAlignment w:val="bottom"/>
              <w:rPr>
                <w:rFonts w:ascii="Times New Roman" w:hAnsi="Times New Roman" w:cs="Times New Roman"/>
                <w:szCs w:val="21"/>
              </w:rPr>
            </w:pPr>
          </w:p>
        </w:tc>
      </w:tr>
      <w:tr w14:paraId="6D4C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5B6C858B">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经              历</w:t>
            </w:r>
          </w:p>
        </w:tc>
      </w:tr>
      <w:tr w14:paraId="10C5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17C035B8">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__年~__年</w:t>
            </w:r>
          </w:p>
        </w:tc>
        <w:tc>
          <w:tcPr>
            <w:tcW w:w="4053" w:type="dxa"/>
            <w:gridSpan w:val="4"/>
            <w:vAlign w:val="center"/>
          </w:tcPr>
          <w:p w14:paraId="43D98D9D">
            <w:pPr>
              <w:pStyle w:val="49"/>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项目情况</w:t>
            </w:r>
          </w:p>
        </w:tc>
        <w:tc>
          <w:tcPr>
            <w:tcW w:w="1847" w:type="dxa"/>
            <w:gridSpan w:val="2"/>
            <w:vAlign w:val="center"/>
          </w:tcPr>
          <w:p w14:paraId="0C1A9B9A">
            <w:pPr>
              <w:pStyle w:val="49"/>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14:paraId="73D01512">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业主及联系电话</w:t>
            </w:r>
          </w:p>
        </w:tc>
      </w:tr>
      <w:tr w14:paraId="7893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A6471A3">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7A68680E">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126CEC61">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77B5127C">
            <w:pPr>
              <w:widowControl/>
              <w:autoSpaceDE w:val="0"/>
              <w:autoSpaceDN w:val="0"/>
              <w:spacing w:before="40" w:after="40" w:line="280" w:lineRule="atLeast"/>
              <w:textAlignment w:val="bottom"/>
              <w:rPr>
                <w:rFonts w:ascii="Times New Roman" w:hAnsi="Times New Roman" w:cs="Times New Roman"/>
                <w:szCs w:val="21"/>
              </w:rPr>
            </w:pPr>
          </w:p>
        </w:tc>
      </w:tr>
      <w:tr w14:paraId="6617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40B23A18">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106B94BF">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0A3617B1">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58378C89">
            <w:pPr>
              <w:widowControl/>
              <w:autoSpaceDE w:val="0"/>
              <w:autoSpaceDN w:val="0"/>
              <w:spacing w:before="40" w:after="40" w:line="280" w:lineRule="atLeast"/>
              <w:textAlignment w:val="bottom"/>
              <w:rPr>
                <w:rFonts w:ascii="Times New Roman" w:hAnsi="Times New Roman" w:cs="Times New Roman"/>
                <w:szCs w:val="21"/>
              </w:rPr>
            </w:pPr>
          </w:p>
        </w:tc>
      </w:tr>
      <w:tr w14:paraId="6E9A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386C826">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04B92530">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4DD44B93">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64641586">
            <w:pPr>
              <w:widowControl/>
              <w:autoSpaceDE w:val="0"/>
              <w:autoSpaceDN w:val="0"/>
              <w:spacing w:before="40" w:after="40" w:line="280" w:lineRule="atLeast"/>
              <w:textAlignment w:val="bottom"/>
              <w:rPr>
                <w:rFonts w:ascii="Times New Roman" w:hAnsi="Times New Roman" w:cs="Times New Roman"/>
                <w:szCs w:val="21"/>
              </w:rPr>
            </w:pPr>
          </w:p>
        </w:tc>
      </w:tr>
      <w:tr w14:paraId="4203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F2C7D30">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28CB7FF8">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21F9054B">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694CCA90">
            <w:pPr>
              <w:widowControl/>
              <w:autoSpaceDE w:val="0"/>
              <w:autoSpaceDN w:val="0"/>
              <w:spacing w:before="40" w:after="40" w:line="280" w:lineRule="atLeast"/>
              <w:textAlignment w:val="bottom"/>
              <w:rPr>
                <w:rFonts w:ascii="Times New Roman" w:hAnsi="Times New Roman" w:cs="Times New Roman"/>
                <w:szCs w:val="21"/>
              </w:rPr>
            </w:pPr>
          </w:p>
        </w:tc>
      </w:tr>
      <w:tr w14:paraId="1E65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289A0B3A">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38AD8424">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73B32B46">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3B90003C">
            <w:pPr>
              <w:widowControl/>
              <w:autoSpaceDE w:val="0"/>
              <w:autoSpaceDN w:val="0"/>
              <w:spacing w:before="40" w:after="40" w:line="280" w:lineRule="atLeast"/>
              <w:textAlignment w:val="bottom"/>
              <w:rPr>
                <w:rFonts w:ascii="Times New Roman" w:hAnsi="Times New Roman" w:cs="Times New Roman"/>
                <w:szCs w:val="21"/>
              </w:rPr>
            </w:pPr>
          </w:p>
        </w:tc>
      </w:tr>
    </w:tbl>
    <w:p w14:paraId="43BDDD82">
      <w:pPr>
        <w:pStyle w:val="13"/>
        <w:spacing w:line="240" w:lineRule="atLeast"/>
        <w:ind w:left="0" w:leftChars="0"/>
        <w:rPr>
          <w:rFonts w:ascii="Times New Roman" w:hAnsi="Times New Roman" w:cs="Times New Roman"/>
          <w:sz w:val="20"/>
          <w:szCs w:val="20"/>
        </w:rPr>
      </w:pPr>
      <w:r>
        <w:rPr>
          <w:rFonts w:ascii="Times New Roman" w:hAnsi="Times New Roman" w:eastAsia="黑体" w:cs="Times New Roman"/>
          <w:szCs w:val="21"/>
        </w:rPr>
        <w:t>注：</w:t>
      </w:r>
    </w:p>
    <w:p w14:paraId="65E79DE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1、一个人员对应填写一张本资历表。</w:t>
      </w:r>
    </w:p>
    <w:p w14:paraId="01A2041C">
      <w:pPr>
        <w:pStyle w:val="13"/>
        <w:widowControl/>
        <w:autoSpaceDE w:val="0"/>
        <w:autoSpaceDN w:val="0"/>
        <w:spacing w:after="0" w:line="360" w:lineRule="atLeast"/>
        <w:ind w:left="638" w:leftChars="104" w:hanging="420" w:hangingChars="200"/>
        <w:textAlignment w:val="bottom"/>
        <w:rPr>
          <w:rFonts w:ascii="Times New Roman" w:hAnsi="Times New Roman" w:eastAsia="黑体" w:cs="Times New Roman"/>
          <w:szCs w:val="21"/>
        </w:rPr>
      </w:pPr>
      <w:r>
        <w:rPr>
          <w:rFonts w:ascii="Times New Roman" w:hAnsi="Times New Roman" w:eastAsia="黑体" w:cs="Times New Roman"/>
          <w:szCs w:val="21"/>
        </w:rPr>
        <w:t xml:space="preserve">  2、本表人员可附拟委任的主要人员的身份证、学历证书以及其他相关证书（如项目负责人资格证书等）影印件，具体要求详见评审办法。</w:t>
      </w:r>
    </w:p>
    <w:p w14:paraId="3F846171">
      <w:pPr>
        <w:rPr>
          <w:rFonts w:ascii="Times New Roman" w:hAnsi="Times New Roman" w:eastAsia="黑体" w:cs="Times New Roman"/>
          <w:bCs/>
          <w:sz w:val="28"/>
          <w:szCs w:val="20"/>
        </w:rPr>
      </w:pPr>
      <w:bookmarkStart w:id="198" w:name="_Toc18810"/>
      <w:r>
        <w:rPr>
          <w:rFonts w:ascii="Times New Roman" w:hAnsi="Times New Roman" w:eastAsia="黑体" w:cs="Times New Roman"/>
          <w:bCs/>
          <w:sz w:val="28"/>
          <w:szCs w:val="20"/>
        </w:rPr>
        <w:br w:type="page"/>
      </w:r>
    </w:p>
    <w:p w14:paraId="549AF987">
      <w:pPr>
        <w:pStyle w:val="13"/>
        <w:spacing w:after="0" w:line="240" w:lineRule="atLeast"/>
        <w:ind w:left="770" w:leftChars="100" w:hanging="560" w:hangingChars="200"/>
        <w:jc w:val="center"/>
        <w:rPr>
          <w:rFonts w:ascii="Times New Roman" w:hAnsi="Times New Roman" w:eastAsia="黑体" w:cs="Times New Roman"/>
          <w:sz w:val="28"/>
          <w:szCs w:val="21"/>
        </w:rPr>
      </w:pPr>
      <w:r>
        <w:rPr>
          <w:rFonts w:ascii="Times New Roman" w:hAnsi="Times New Roman" w:eastAsia="黑体" w:cs="Times New Roman"/>
          <w:bCs/>
          <w:sz w:val="28"/>
          <w:szCs w:val="20"/>
        </w:rPr>
        <w:t>七、配置</w:t>
      </w:r>
      <w:r>
        <w:rPr>
          <w:rFonts w:ascii="Times New Roman" w:hAnsi="Times New Roman" w:eastAsia="黑体" w:cs="Times New Roman"/>
          <w:sz w:val="28"/>
          <w:szCs w:val="21"/>
        </w:rPr>
        <w:t>人员汇总表</w:t>
      </w:r>
      <w:bookmarkEnd w:id="198"/>
    </w:p>
    <w:tbl>
      <w:tblPr>
        <w:tblStyle w:val="29"/>
        <w:tblW w:w="8109" w:type="dxa"/>
        <w:tblInd w:w="1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22"/>
        <w:gridCol w:w="1012"/>
        <w:gridCol w:w="1750"/>
        <w:gridCol w:w="1475"/>
        <w:gridCol w:w="1238"/>
        <w:gridCol w:w="1512"/>
      </w:tblGrid>
      <w:tr w14:paraId="7296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21" w:hRule="atLeast"/>
        </w:trPr>
        <w:tc>
          <w:tcPr>
            <w:tcW w:w="1122" w:type="dxa"/>
            <w:vAlign w:val="center"/>
          </w:tcPr>
          <w:p w14:paraId="58638E4D">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姓名</w:t>
            </w:r>
          </w:p>
        </w:tc>
        <w:tc>
          <w:tcPr>
            <w:tcW w:w="1012" w:type="dxa"/>
            <w:vAlign w:val="center"/>
          </w:tcPr>
          <w:p w14:paraId="7E570D24">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年龄</w:t>
            </w:r>
          </w:p>
        </w:tc>
        <w:tc>
          <w:tcPr>
            <w:tcW w:w="1750" w:type="dxa"/>
            <w:vAlign w:val="center"/>
          </w:tcPr>
          <w:p w14:paraId="6CA010DE">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拟在本项目中</w:t>
            </w:r>
          </w:p>
          <w:p w14:paraId="53B3F8FA">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担任的职务</w:t>
            </w:r>
          </w:p>
        </w:tc>
        <w:tc>
          <w:tcPr>
            <w:tcW w:w="1475" w:type="dxa"/>
            <w:vAlign w:val="center"/>
          </w:tcPr>
          <w:p w14:paraId="3A63710D">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资质证书</w:t>
            </w:r>
          </w:p>
        </w:tc>
        <w:tc>
          <w:tcPr>
            <w:tcW w:w="1238" w:type="dxa"/>
            <w:vAlign w:val="center"/>
          </w:tcPr>
          <w:p w14:paraId="13F4DE96">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工作年限</w:t>
            </w:r>
          </w:p>
        </w:tc>
        <w:tc>
          <w:tcPr>
            <w:tcW w:w="1512" w:type="dxa"/>
            <w:vAlign w:val="center"/>
          </w:tcPr>
          <w:p w14:paraId="340BD252">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类似项目</w:t>
            </w:r>
          </w:p>
          <w:p w14:paraId="4490659C">
            <w:pPr>
              <w:wordWrap w:val="0"/>
              <w:adjustRightInd w:val="0"/>
              <w:snapToGrid w:val="0"/>
              <w:spacing w:line="40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经验年限</w:t>
            </w:r>
          </w:p>
        </w:tc>
      </w:tr>
      <w:tr w14:paraId="67510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24DB3AFC">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0972A234">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0DC55167">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65D08BD8">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0C91DCDA">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52D24294">
            <w:pPr>
              <w:wordWrap w:val="0"/>
              <w:adjustRightInd w:val="0"/>
              <w:snapToGrid w:val="0"/>
              <w:spacing w:line="400" w:lineRule="exact"/>
              <w:rPr>
                <w:rFonts w:ascii="Times New Roman" w:hAnsi="Times New Roman" w:eastAsia="华文仿宋" w:cs="Times New Roman"/>
                <w:sz w:val="18"/>
                <w:szCs w:val="18"/>
              </w:rPr>
            </w:pPr>
          </w:p>
        </w:tc>
      </w:tr>
      <w:tr w14:paraId="79343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2AB17DBB">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76313B0F">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59B39D44">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5AA52C6B">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0DA5E23C">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2FE4D7B6">
            <w:pPr>
              <w:wordWrap w:val="0"/>
              <w:adjustRightInd w:val="0"/>
              <w:snapToGrid w:val="0"/>
              <w:spacing w:line="400" w:lineRule="exact"/>
              <w:rPr>
                <w:rFonts w:ascii="Times New Roman" w:hAnsi="Times New Roman" w:eastAsia="华文仿宋" w:cs="Times New Roman"/>
                <w:sz w:val="18"/>
                <w:szCs w:val="18"/>
              </w:rPr>
            </w:pPr>
          </w:p>
        </w:tc>
      </w:tr>
      <w:tr w14:paraId="59039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636D7EAF">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7AA1E5B3">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2FF5F3F9">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099D5953">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74786BAA">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4AC74088">
            <w:pPr>
              <w:wordWrap w:val="0"/>
              <w:adjustRightInd w:val="0"/>
              <w:snapToGrid w:val="0"/>
              <w:spacing w:line="400" w:lineRule="exact"/>
              <w:rPr>
                <w:rFonts w:ascii="Times New Roman" w:hAnsi="Times New Roman" w:eastAsia="华文仿宋" w:cs="Times New Roman"/>
                <w:sz w:val="18"/>
                <w:szCs w:val="18"/>
              </w:rPr>
            </w:pPr>
          </w:p>
        </w:tc>
      </w:tr>
      <w:tr w14:paraId="2B632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78E90B89">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1F6C7032">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1E18F785">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3EDC7C7D">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2BA092B7">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4A293F03">
            <w:pPr>
              <w:wordWrap w:val="0"/>
              <w:adjustRightInd w:val="0"/>
              <w:snapToGrid w:val="0"/>
              <w:spacing w:line="400" w:lineRule="exact"/>
              <w:rPr>
                <w:rFonts w:ascii="Times New Roman" w:hAnsi="Times New Roman" w:eastAsia="华文仿宋" w:cs="Times New Roman"/>
                <w:sz w:val="18"/>
                <w:szCs w:val="18"/>
              </w:rPr>
            </w:pPr>
          </w:p>
        </w:tc>
      </w:tr>
      <w:tr w14:paraId="4C7FD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16359A84">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21757E5D">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337D8968">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720D2987">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7DFF1C92">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3EF8090C">
            <w:pPr>
              <w:wordWrap w:val="0"/>
              <w:adjustRightInd w:val="0"/>
              <w:snapToGrid w:val="0"/>
              <w:spacing w:line="400" w:lineRule="exact"/>
              <w:rPr>
                <w:rFonts w:ascii="Times New Roman" w:hAnsi="Times New Roman" w:eastAsia="华文仿宋" w:cs="Times New Roman"/>
                <w:sz w:val="18"/>
                <w:szCs w:val="18"/>
              </w:rPr>
            </w:pPr>
          </w:p>
        </w:tc>
      </w:tr>
      <w:tr w14:paraId="54C93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603B6E8C">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630CCC58">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7D0843DA">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411FF403">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01E0EDA3">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2D0931D3">
            <w:pPr>
              <w:wordWrap w:val="0"/>
              <w:adjustRightInd w:val="0"/>
              <w:snapToGrid w:val="0"/>
              <w:spacing w:line="400" w:lineRule="exact"/>
              <w:rPr>
                <w:rFonts w:ascii="Times New Roman" w:hAnsi="Times New Roman" w:eastAsia="华文仿宋" w:cs="Times New Roman"/>
                <w:sz w:val="18"/>
                <w:szCs w:val="18"/>
              </w:rPr>
            </w:pPr>
          </w:p>
        </w:tc>
      </w:tr>
      <w:tr w14:paraId="2622E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46D82E54">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6E763710">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482B45E4">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3F251704">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0CF0D078">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0D7A412C">
            <w:pPr>
              <w:wordWrap w:val="0"/>
              <w:adjustRightInd w:val="0"/>
              <w:snapToGrid w:val="0"/>
              <w:spacing w:line="400" w:lineRule="exact"/>
              <w:rPr>
                <w:rFonts w:ascii="Times New Roman" w:hAnsi="Times New Roman" w:eastAsia="华文仿宋" w:cs="Times New Roman"/>
                <w:sz w:val="18"/>
                <w:szCs w:val="18"/>
              </w:rPr>
            </w:pPr>
          </w:p>
        </w:tc>
      </w:tr>
      <w:tr w14:paraId="5291A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122" w:type="dxa"/>
            <w:vAlign w:val="center"/>
          </w:tcPr>
          <w:p w14:paraId="2381F0F3">
            <w:pPr>
              <w:wordWrap w:val="0"/>
              <w:adjustRightInd w:val="0"/>
              <w:snapToGrid w:val="0"/>
              <w:spacing w:line="400" w:lineRule="exact"/>
              <w:rPr>
                <w:rFonts w:ascii="Times New Roman" w:hAnsi="Times New Roman" w:eastAsia="华文仿宋" w:cs="Times New Roman"/>
                <w:sz w:val="18"/>
                <w:szCs w:val="18"/>
              </w:rPr>
            </w:pPr>
          </w:p>
        </w:tc>
        <w:tc>
          <w:tcPr>
            <w:tcW w:w="1012" w:type="dxa"/>
            <w:vAlign w:val="center"/>
          </w:tcPr>
          <w:p w14:paraId="4B054CA1">
            <w:pPr>
              <w:wordWrap w:val="0"/>
              <w:adjustRightInd w:val="0"/>
              <w:snapToGrid w:val="0"/>
              <w:spacing w:line="400" w:lineRule="exact"/>
              <w:rPr>
                <w:rFonts w:ascii="Times New Roman" w:hAnsi="Times New Roman" w:eastAsia="华文仿宋" w:cs="Times New Roman"/>
                <w:sz w:val="18"/>
                <w:szCs w:val="18"/>
              </w:rPr>
            </w:pPr>
          </w:p>
        </w:tc>
        <w:tc>
          <w:tcPr>
            <w:tcW w:w="1750" w:type="dxa"/>
            <w:vAlign w:val="center"/>
          </w:tcPr>
          <w:p w14:paraId="255998BA">
            <w:pPr>
              <w:wordWrap w:val="0"/>
              <w:adjustRightInd w:val="0"/>
              <w:snapToGrid w:val="0"/>
              <w:spacing w:line="400" w:lineRule="exact"/>
              <w:rPr>
                <w:rFonts w:ascii="Times New Roman" w:hAnsi="Times New Roman" w:eastAsia="华文仿宋" w:cs="Times New Roman"/>
                <w:sz w:val="18"/>
                <w:szCs w:val="18"/>
              </w:rPr>
            </w:pPr>
          </w:p>
        </w:tc>
        <w:tc>
          <w:tcPr>
            <w:tcW w:w="1475" w:type="dxa"/>
            <w:vAlign w:val="center"/>
          </w:tcPr>
          <w:p w14:paraId="7944E20C">
            <w:pPr>
              <w:wordWrap w:val="0"/>
              <w:adjustRightInd w:val="0"/>
              <w:snapToGrid w:val="0"/>
              <w:spacing w:line="400" w:lineRule="exact"/>
              <w:rPr>
                <w:rFonts w:ascii="Times New Roman" w:hAnsi="Times New Roman" w:eastAsia="华文仿宋" w:cs="Times New Roman"/>
                <w:sz w:val="18"/>
                <w:szCs w:val="18"/>
              </w:rPr>
            </w:pPr>
          </w:p>
        </w:tc>
        <w:tc>
          <w:tcPr>
            <w:tcW w:w="1238" w:type="dxa"/>
            <w:vAlign w:val="center"/>
          </w:tcPr>
          <w:p w14:paraId="62A0D554">
            <w:pPr>
              <w:wordWrap w:val="0"/>
              <w:adjustRightInd w:val="0"/>
              <w:snapToGrid w:val="0"/>
              <w:spacing w:line="400" w:lineRule="exact"/>
              <w:rPr>
                <w:rFonts w:ascii="Times New Roman" w:hAnsi="Times New Roman" w:eastAsia="华文仿宋" w:cs="Times New Roman"/>
                <w:sz w:val="18"/>
                <w:szCs w:val="18"/>
              </w:rPr>
            </w:pPr>
          </w:p>
        </w:tc>
        <w:tc>
          <w:tcPr>
            <w:tcW w:w="1512" w:type="dxa"/>
            <w:vAlign w:val="center"/>
          </w:tcPr>
          <w:p w14:paraId="4F24D1CE">
            <w:pPr>
              <w:wordWrap w:val="0"/>
              <w:adjustRightInd w:val="0"/>
              <w:snapToGrid w:val="0"/>
              <w:spacing w:line="400" w:lineRule="exact"/>
              <w:rPr>
                <w:rFonts w:ascii="Times New Roman" w:hAnsi="Times New Roman" w:eastAsia="华文仿宋" w:cs="Times New Roman"/>
                <w:sz w:val="18"/>
                <w:szCs w:val="18"/>
              </w:rPr>
            </w:pPr>
          </w:p>
        </w:tc>
      </w:tr>
    </w:tbl>
    <w:p w14:paraId="37D897AB">
      <w:pPr>
        <w:pStyle w:val="13"/>
        <w:numPr>
          <w:ilvl w:val="0"/>
          <w:numId w:val="3"/>
        </w:numPr>
        <w:spacing w:after="0" w:line="240" w:lineRule="atLeast"/>
        <w:ind w:left="407" w:leftChars="100" w:hanging="197" w:hangingChars="94"/>
        <w:rPr>
          <w:rFonts w:ascii="Times New Roman" w:hAnsi="Times New Roman" w:cs="Times New Roman"/>
          <w:bCs/>
          <w:kern w:val="0"/>
          <w:sz w:val="20"/>
          <w:szCs w:val="20"/>
        </w:rPr>
      </w:pPr>
      <w:r>
        <w:rPr>
          <w:rFonts w:ascii="Times New Roman" w:hAnsi="Times New Roman" w:eastAsia="黑体" w:cs="Times New Roman"/>
          <w:bCs/>
          <w:kern w:val="0"/>
          <w:szCs w:val="21"/>
        </w:rPr>
        <w:br w:type="page"/>
      </w:r>
    </w:p>
    <w:p w14:paraId="0B3F4B99">
      <w:pPr>
        <w:tabs>
          <w:tab w:val="left" w:pos="3060"/>
        </w:tabs>
        <w:topLinePunct/>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八、信誉情况</w:t>
      </w:r>
    </w:p>
    <w:p w14:paraId="1643E335">
      <w:pPr>
        <w:topLinePunct/>
        <w:spacing w:line="440" w:lineRule="exact"/>
        <w:rPr>
          <w:rFonts w:ascii="Times New Roman" w:hAnsi="Times New Roman" w:cs="Times New Roman"/>
          <w:bCs/>
          <w:sz w:val="23"/>
          <w:szCs w:val="23"/>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76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5702BB0">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7B48EB0E">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683F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4A79998">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4CBC20B4">
            <w:pPr>
              <w:topLinePunct/>
              <w:spacing w:line="440" w:lineRule="exact"/>
              <w:rPr>
                <w:rFonts w:ascii="Times New Roman" w:hAnsi="Times New Roman" w:cs="Times New Roman"/>
                <w:bCs/>
                <w:szCs w:val="21"/>
              </w:rPr>
            </w:pPr>
          </w:p>
        </w:tc>
      </w:tr>
      <w:tr w14:paraId="500C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5512ECF">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767DB81A">
            <w:pPr>
              <w:topLinePunct/>
              <w:spacing w:line="440" w:lineRule="exact"/>
              <w:rPr>
                <w:rFonts w:ascii="Times New Roman" w:hAnsi="Times New Roman" w:cs="Times New Roman"/>
                <w:bCs/>
                <w:szCs w:val="21"/>
              </w:rPr>
            </w:pPr>
          </w:p>
        </w:tc>
      </w:tr>
      <w:tr w14:paraId="74A8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2A688B5">
            <w:pPr>
              <w:topLinePunct/>
              <w:spacing w:line="440" w:lineRule="exact"/>
              <w:rPr>
                <w:rFonts w:ascii="Times New Roman" w:hAnsi="Times New Roman" w:cs="Times New Roman"/>
                <w:sz w:val="24"/>
                <w:szCs w:val="28"/>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9D7536F">
            <w:pPr>
              <w:topLinePunct/>
              <w:spacing w:line="440" w:lineRule="exact"/>
              <w:rPr>
                <w:rFonts w:ascii="Times New Roman" w:hAnsi="Times New Roman" w:cs="Times New Roman"/>
                <w:bCs/>
                <w:szCs w:val="21"/>
              </w:rPr>
            </w:pPr>
          </w:p>
        </w:tc>
      </w:tr>
      <w:tr w14:paraId="3BB0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16937E3">
            <w:pPr>
              <w:topLinePunct/>
              <w:spacing w:line="440" w:lineRule="exact"/>
              <w:rPr>
                <w:rFonts w:ascii="Times New Roman" w:hAnsi="Times New Roman" w:cs="Times New Roman"/>
                <w:sz w:val="24"/>
                <w:szCs w:val="28"/>
              </w:rPr>
            </w:pPr>
            <w:r>
              <w:rPr>
                <w:rFonts w:ascii="Times New Roman" w:hAnsi="Times New Roman" w:cs="Times New Roman"/>
                <w:sz w:val="24"/>
                <w:szCs w:val="28"/>
              </w:rPr>
              <w:t>是否在“中国执行信息公开网”中被列入失信被执行人名单</w:t>
            </w:r>
          </w:p>
        </w:tc>
        <w:tc>
          <w:tcPr>
            <w:tcW w:w="4445" w:type="dxa"/>
          </w:tcPr>
          <w:p w14:paraId="3C91AD3F">
            <w:pPr>
              <w:topLinePunct/>
              <w:spacing w:line="440" w:lineRule="exact"/>
              <w:rPr>
                <w:rFonts w:ascii="Times New Roman" w:hAnsi="Times New Roman" w:cs="Times New Roman"/>
                <w:bCs/>
                <w:szCs w:val="21"/>
              </w:rPr>
            </w:pPr>
          </w:p>
        </w:tc>
      </w:tr>
      <w:tr w14:paraId="113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3D94DE">
            <w:pPr>
              <w:topLinePunct/>
              <w:spacing w:line="440" w:lineRule="exact"/>
              <w:rPr>
                <w:rFonts w:ascii="Times New Roman" w:hAnsi="Times New Roman" w:cs="Times New Roman"/>
                <w:sz w:val="24"/>
                <w:szCs w:val="28"/>
              </w:rPr>
            </w:pPr>
            <w:r>
              <w:rPr>
                <w:rFonts w:ascii="Times New Roman" w:hAnsi="Times New Roman" w:cs="Times New Roman"/>
                <w:sz w:val="24"/>
                <w:szCs w:val="28"/>
              </w:rPr>
              <w:t>是否在近三年内（自响应文件递交截止之日向前追溯3年）供应商或其法定代表人、拟委任的项目负责人有行贿犯罪行为</w:t>
            </w:r>
          </w:p>
        </w:tc>
        <w:tc>
          <w:tcPr>
            <w:tcW w:w="4445" w:type="dxa"/>
          </w:tcPr>
          <w:p w14:paraId="2884FF1D">
            <w:pPr>
              <w:topLinePunct/>
              <w:spacing w:line="440" w:lineRule="exact"/>
              <w:rPr>
                <w:rFonts w:ascii="Times New Roman" w:hAnsi="Times New Roman" w:cs="Times New Roman"/>
                <w:bCs/>
                <w:szCs w:val="21"/>
              </w:rPr>
            </w:pPr>
          </w:p>
        </w:tc>
      </w:tr>
      <w:tr w14:paraId="595F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AB88C1F">
            <w:pPr>
              <w:topLinePunct/>
              <w:spacing w:line="440" w:lineRule="exact"/>
              <w:rPr>
                <w:rFonts w:ascii="Times New Roman" w:hAnsi="Times New Roman" w:cs="Times New Roman"/>
                <w:sz w:val="24"/>
                <w:szCs w:val="28"/>
              </w:rPr>
            </w:pPr>
            <w:r>
              <w:rPr>
                <w:rFonts w:ascii="Times New Roman" w:hAnsi="Times New Roman" w:cs="Times New Roman"/>
                <w:sz w:val="24"/>
                <w:szCs w:val="28"/>
              </w:rPr>
              <w:t>……</w:t>
            </w:r>
          </w:p>
        </w:tc>
        <w:tc>
          <w:tcPr>
            <w:tcW w:w="4445" w:type="dxa"/>
          </w:tcPr>
          <w:p w14:paraId="54E46763">
            <w:pPr>
              <w:topLinePunct/>
              <w:spacing w:line="440" w:lineRule="exact"/>
              <w:rPr>
                <w:rFonts w:ascii="Times New Roman" w:hAnsi="Times New Roman" w:cs="Times New Roman"/>
                <w:bCs/>
                <w:szCs w:val="21"/>
              </w:rPr>
            </w:pPr>
          </w:p>
        </w:tc>
      </w:tr>
    </w:tbl>
    <w:p w14:paraId="33E41C5C">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5120B45C">
      <w:pPr>
        <w:pStyle w:val="12"/>
        <w:jc w:val="right"/>
        <w:rPr>
          <w:rFonts w:ascii="Times New Roman" w:hAnsi="Times New Roman" w:cs="Times New Roman"/>
          <w:sz w:val="24"/>
        </w:rPr>
      </w:pPr>
    </w:p>
    <w:p w14:paraId="6EB41D70">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EDA40BC">
      <w:pPr>
        <w:pStyle w:val="12"/>
        <w:jc w:val="right"/>
        <w:rPr>
          <w:rFonts w:ascii="Times New Roman" w:hAnsi="Times New Roman" w:cs="Times New Roman"/>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5F22743">
      <w:pPr>
        <w:pStyle w:val="12"/>
        <w:rPr>
          <w:rFonts w:ascii="Times New Roman" w:hAnsi="Times New Roman" w:cs="Times New Roman"/>
        </w:rPr>
      </w:pPr>
    </w:p>
    <w:p w14:paraId="15D933AC">
      <w:pPr>
        <w:pStyle w:val="12"/>
        <w:spacing w:line="440" w:lineRule="exact"/>
        <w:rPr>
          <w:rFonts w:ascii="Times New Roman" w:hAnsi="Times New Roman" w:cs="Times New Roman"/>
          <w:sz w:val="24"/>
        </w:rPr>
      </w:pPr>
    </w:p>
    <w:p w14:paraId="48A00A67">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3EBBDEBF">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九、服务方案</w:t>
      </w:r>
    </w:p>
    <w:p w14:paraId="485D0A3F">
      <w:pPr>
        <w:spacing w:line="440" w:lineRule="exact"/>
        <w:rPr>
          <w:rFonts w:ascii="Times New Roman" w:hAnsi="Times New Roman" w:eastAsia="黑体" w:cs="Times New Roman"/>
          <w:sz w:val="20"/>
          <w:szCs w:val="20"/>
        </w:rPr>
      </w:pPr>
    </w:p>
    <w:p w14:paraId="345EE9F4">
      <w:pPr>
        <w:pStyle w:val="28"/>
        <w:ind w:left="0" w:leftChars="0" w:firstLine="0" w:firstLineChars="0"/>
        <w:rPr>
          <w:rFonts w:ascii="Times New Roman" w:hAnsi="Times New Roman" w:cs="Times New Roman"/>
        </w:rPr>
      </w:pPr>
    </w:p>
    <w:p w14:paraId="38421207">
      <w:pPr>
        <w:pStyle w:val="28"/>
        <w:ind w:left="0" w:leftChars="0" w:firstLine="0" w:firstLineChars="0"/>
        <w:rPr>
          <w:rFonts w:ascii="Times New Roman" w:hAnsi="Times New Roman" w:cs="Times New Roman"/>
        </w:rPr>
      </w:pPr>
    </w:p>
    <w:p w14:paraId="59BA6EF5">
      <w:pPr>
        <w:spacing w:line="440" w:lineRule="exact"/>
        <w:ind w:firstLine="480" w:firstLineChars="200"/>
        <w:rPr>
          <w:rFonts w:ascii="Times New Roman" w:hAnsi="Times New Roman" w:cs="Times New Roman"/>
          <w:sz w:val="24"/>
        </w:rPr>
      </w:pPr>
      <w:r>
        <w:rPr>
          <w:rFonts w:ascii="Times New Roman" w:hAnsi="Times New Roman" w:cs="Times New Roman"/>
          <w:sz w:val="24"/>
        </w:rPr>
        <w:br w:type="page"/>
      </w:r>
    </w:p>
    <w:p w14:paraId="603F93B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十、其它材料</w:t>
      </w:r>
    </w:p>
    <w:p w14:paraId="021347E7">
      <w:pPr>
        <w:pStyle w:val="43"/>
        <w:rPr>
          <w:rFonts w:hint="default" w:ascii="Times New Roman" w:hAnsi="Times New Roman"/>
          <w:color w:val="auto"/>
          <w:szCs w:val="28"/>
        </w:rPr>
      </w:pPr>
    </w:p>
    <w:bookmarkEnd w:id="186"/>
    <w:bookmarkEnd w:id="187"/>
    <w:bookmarkEnd w:id="188"/>
    <w:bookmarkEnd w:id="189"/>
    <w:bookmarkEnd w:id="190"/>
    <w:p w14:paraId="38BA09AA">
      <w:pPr>
        <w:autoSpaceDE w:val="0"/>
        <w:autoSpaceDN w:val="0"/>
        <w:rPr>
          <w:rFonts w:ascii="Times New Roman" w:hAnsi="Times New Roman" w:eastAsia="Fang Song" w:cs="Times New Roman"/>
          <w:b/>
          <w:bCs/>
          <w:sz w:val="24"/>
          <w:szCs w:val="28"/>
        </w:rPr>
      </w:pPr>
      <w:r>
        <w:rPr>
          <w:rFonts w:ascii="Times New Roman" w:hAnsi="Times New Roman" w:eastAsia="Fang Song" w:cs="Times New Roman"/>
          <w:b/>
          <w:bCs/>
          <w:sz w:val="24"/>
          <w:szCs w:val="28"/>
        </w:rPr>
        <w:t>（一）响应保证金的银行凭证（电汇回单）复印件等</w:t>
      </w:r>
    </w:p>
    <w:p w14:paraId="541180B2">
      <w:pPr>
        <w:spacing w:line="400" w:lineRule="atLeast"/>
        <w:jc w:val="left"/>
        <w:rPr>
          <w:rFonts w:ascii="Times New Roman" w:hAnsi="Times New Roman" w:eastAsia="黑体" w:cs="Times New Roman"/>
          <w:strike/>
          <w:szCs w:val="21"/>
        </w:rPr>
      </w:pPr>
    </w:p>
    <w:p w14:paraId="3E831783">
      <w:pPr>
        <w:spacing w:after="120"/>
        <w:ind w:left="420" w:leftChars="200" w:firstLine="420" w:firstLineChars="200"/>
        <w:rPr>
          <w:rFonts w:ascii="Times New Roman" w:hAnsi="Times New Roman" w:eastAsia="黑体" w:cs="Times New Roman"/>
          <w:b/>
          <w:bCs/>
          <w:strike/>
          <w:szCs w:val="21"/>
        </w:rPr>
      </w:pPr>
    </w:p>
    <w:p w14:paraId="4629D72E">
      <w:pPr>
        <w:autoSpaceDE w:val="0"/>
        <w:autoSpaceDN w:val="0"/>
        <w:rPr>
          <w:rFonts w:ascii="Times New Roman" w:hAnsi="Times New Roman" w:eastAsia="Fang Song" w:cs="Times New Roman"/>
          <w:b/>
          <w:bCs/>
          <w:sz w:val="24"/>
          <w:szCs w:val="28"/>
        </w:rPr>
      </w:pPr>
      <w:r>
        <w:rPr>
          <w:rFonts w:ascii="Times New Roman" w:hAnsi="Times New Roman" w:eastAsia="Fang Song" w:cs="Times New Roman"/>
          <w:b/>
          <w:bCs/>
          <w:sz w:val="24"/>
          <w:szCs w:val="28"/>
        </w:rPr>
        <w:t>（二）其他材料</w:t>
      </w:r>
    </w:p>
    <w:p w14:paraId="4E30CA57">
      <w:pPr>
        <w:pStyle w:val="43"/>
        <w:rPr>
          <w:rFonts w:hint="default" w:ascii="Times New Roman" w:hAnsi="Times New Roman"/>
          <w:color w:val="auto"/>
          <w:szCs w:val="28"/>
        </w:rPr>
      </w:pPr>
    </w:p>
    <w:sectPr>
      <w:footerReference r:id="rId7" w:type="default"/>
      <w:footnotePr>
        <w:numFmt w:val="decimalEnclosedCircleChinese"/>
      </w:footnote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376AF-AE72-4D86-B217-0B80315261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155E5FBE-65DF-422E-A8D4-44674A5B13F2}"/>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auto"/>
    <w:pitch w:val="default"/>
    <w:sig w:usb0="00000000" w:usb1="00000000" w:usb2="00000000" w:usb3="00000000" w:csb0="00040000" w:csb1="00000000"/>
    <w:embedRegular r:id="rId3" w:fontKey="{8665260A-CA02-4079-A459-665B8E7A44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4" w:fontKey="{A2610146-5DE7-49D4-B346-B0813683387B}"/>
  </w:font>
  <w:font w:name="Sim Hei">
    <w:altName w:val="宋体"/>
    <w:panose1 w:val="00000000000000000000"/>
    <w:charset w:val="86"/>
    <w:family w:val="auto"/>
    <w:pitch w:val="default"/>
    <w:sig w:usb0="00000000" w:usb1="00000000" w:usb2="00000010" w:usb3="00000000" w:csb0="00040000" w:csb1="00000000"/>
    <w:embedRegular r:id="rId5" w:fontKey="{5B9D862F-AB3B-47E8-A816-F84586120108}"/>
  </w:font>
  <w:font w:name="方正黑体_GBK">
    <w:panose1 w:val="03000509000000000000"/>
    <w:charset w:val="86"/>
    <w:family w:val="auto"/>
    <w:pitch w:val="default"/>
    <w:sig w:usb0="00000001" w:usb1="080E0000" w:usb2="00000000" w:usb3="00000000" w:csb0="00040000" w:csb1="00000000"/>
    <w:embedRegular r:id="rId6" w:fontKey="{67DE2D10-D3C0-47D5-A265-DB6F81CCDE8A}"/>
  </w:font>
  <w:font w:name="华文仿宋">
    <w:altName w:val="仿宋"/>
    <w:panose1 w:val="02010600040101010101"/>
    <w:charset w:val="86"/>
    <w:family w:val="auto"/>
    <w:pitch w:val="default"/>
    <w:sig w:usb0="00000000" w:usb1="00000000" w:usb2="00000000" w:usb3="00000000" w:csb0="0004009F" w:csb1="DFD70000"/>
    <w:embedRegular r:id="rId7" w:fontKey="{9559AEC6-02EE-46C2-82A1-04900746E26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B053">
    <w:pPr>
      <w:pStyle w:val="1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20EB52">
                          <w:pPr>
                            <w:pStyle w:val="19"/>
                            <w:ind w:firstLine="360"/>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Gc1hM3QEAAMIDAAAOAAAAAAAA&#10;AAEAIAAAAB8BAABkcnMvZTJvRG9jLnhtbFBLBQYAAAAABgAGAFkBAABuBQAAAAA=&#10;">
              <v:fill on="f" focussize="0,0"/>
              <v:stroke on="f"/>
              <v:imagedata o:title=""/>
              <o:lock v:ext="edit" aspectratio="f"/>
              <v:textbox inset="0mm,0mm,0mm,0mm" style="mso-fit-shape-to-text:t;">
                <w:txbxContent>
                  <w:p w14:paraId="4E20EB52">
                    <w:pPr>
                      <w:pStyle w:val="19"/>
                      <w:ind w:firstLine="360"/>
                    </w:pPr>
                    <w:r>
                      <w:fldChar w:fldCharType="begin"/>
                    </w:r>
                    <w:r>
                      <w:instrText xml:space="preserve"> PAGE  \* MERGEFORMAT </w:instrText>
                    </w:r>
                    <w:r>
                      <w:fldChar w:fldCharType="separate"/>
                    </w:r>
                    <w:r>
                      <w:t>5</w:t>
                    </w:r>
                    <w:r>
                      <w:fldChar w:fldCharType="end"/>
                    </w:r>
                  </w:p>
                </w:txbxContent>
              </v:textbox>
            </v:rect>
          </w:pict>
        </mc:Fallback>
      </mc:AlternateContent>
    </w:r>
  </w:p>
  <w:p w14:paraId="0A6F38DF">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CFBB">
    <w:pPr>
      <w:pStyle w:val="19"/>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141F2D5">
                          <w:pPr>
                            <w:pStyle w:val="19"/>
                            <w:ind w:firstLine="36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0141F2D5">
                    <w:pPr>
                      <w:pStyle w:val="19"/>
                      <w:ind w:firstLine="36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p>
                </w:txbxContent>
              </v:textbox>
            </v:rect>
          </w:pict>
        </mc:Fallback>
      </mc:AlternateContent>
    </w:r>
  </w:p>
  <w:p w14:paraId="4F0A2F65">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7A91">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962C38">
                          <w:pPr>
                            <w:pStyle w:val="1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B962C38">
                    <w:pPr>
                      <w:pStyle w:val="1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AB4D">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40BADF2">
                          <w:pPr>
                            <w:jc w:val="center"/>
                          </w:pPr>
                          <w:r>
                            <w:rPr>
                              <w:rFonts w:ascii="Times New Roman" w:hAnsi="Times New Roman" w:cs="Times New Roman"/>
                            </w:rPr>
                            <w:fldChar w:fldCharType="begin"/>
                          </w:r>
                          <w:r>
                            <w:rPr>
                              <w:rStyle w:val="33"/>
                              <w:rFonts w:ascii="Times New Roman" w:hAnsi="Times New Roman" w:cs="Times New Roman"/>
                            </w:rPr>
                            <w:instrText xml:space="preserve"> PAGE </w:instrText>
                          </w:r>
                          <w:r>
                            <w:rPr>
                              <w:rFonts w:ascii="Times New Roman" w:hAnsi="Times New Roman" w:cs="Times New Roman"/>
                            </w:rPr>
                            <w:fldChar w:fldCharType="separate"/>
                          </w:r>
                          <w:r>
                            <w:rPr>
                              <w:rStyle w:val="33"/>
                              <w:rFonts w:ascii="Times New Roman" w:hAnsi="Times New Roman" w:cs="Times New Roman"/>
                            </w:rPr>
                            <w:t>46</w:t>
                          </w:r>
                          <w:r>
                            <w:rPr>
                              <w:rFonts w:ascii="Times New Roman" w:hAnsi="Times New Roman" w:cs="Times New Roman"/>
                            </w:rPr>
                            <w:fldChar w:fldCharType="end"/>
                          </w:r>
                        </w:p>
                        <w:p w14:paraId="5F1D0B95"/>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ZRsvdAQAAwgMAAA4AAABkcnMvZTJvRG9jLnhtbK1TzY7TMBC+I/EO&#10;lu80aS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fceaEpYFfvn+7/Ph1+fmV&#10;vUz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amUbL3QEAAMIDAAAOAAAAAAAA&#10;AAEAIAAAAB8BAABkcnMvZTJvRG9jLnhtbFBLBQYAAAAABgAGAFkBAABuBQAAAAA=&#10;">
              <v:fill on="f" focussize="0,0"/>
              <v:stroke on="f"/>
              <v:imagedata o:title=""/>
              <o:lock v:ext="edit" aspectratio="f"/>
              <v:textbox inset="0mm,0mm,0mm,0mm" style="mso-fit-shape-to-text:t;">
                <w:txbxContent>
                  <w:p w14:paraId="540BADF2">
                    <w:pPr>
                      <w:jc w:val="center"/>
                    </w:pPr>
                    <w:r>
                      <w:rPr>
                        <w:rFonts w:ascii="Times New Roman" w:hAnsi="Times New Roman" w:cs="Times New Roman"/>
                      </w:rPr>
                      <w:fldChar w:fldCharType="begin"/>
                    </w:r>
                    <w:r>
                      <w:rPr>
                        <w:rStyle w:val="33"/>
                        <w:rFonts w:ascii="Times New Roman" w:hAnsi="Times New Roman" w:cs="Times New Roman"/>
                      </w:rPr>
                      <w:instrText xml:space="preserve"> PAGE </w:instrText>
                    </w:r>
                    <w:r>
                      <w:rPr>
                        <w:rFonts w:ascii="Times New Roman" w:hAnsi="Times New Roman" w:cs="Times New Roman"/>
                      </w:rPr>
                      <w:fldChar w:fldCharType="separate"/>
                    </w:r>
                    <w:r>
                      <w:rPr>
                        <w:rStyle w:val="33"/>
                        <w:rFonts w:ascii="Times New Roman" w:hAnsi="Times New Roman" w:cs="Times New Roman"/>
                      </w:rPr>
                      <w:t>46</w:t>
                    </w:r>
                    <w:r>
                      <w:rPr>
                        <w:rFonts w:ascii="Times New Roman" w:hAnsi="Times New Roman" w:cs="Times New Roman"/>
                      </w:rPr>
                      <w:fldChar w:fldCharType="end"/>
                    </w:r>
                  </w:p>
                  <w:p w14:paraId="5F1D0B95"/>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2204">
    <w:pPr>
      <w:pStyle w:val="20"/>
      <w:jc w:val="left"/>
      <w:rPr>
        <w:b/>
        <w:u w:val="single"/>
      </w:rPr>
    </w:pPr>
    <w:r>
      <w:rPr>
        <w:rFonts w:hint="eastAsia"/>
        <w:b/>
        <w:u w:val="single"/>
      </w:rPr>
      <w:t>安徽交控建设工程集团有限公司十五五规划咨询服务                                     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decimalEnclosedCircle"/>
      <w:lvlText w:val="%2"/>
      <w:lvlJc w:val="left"/>
      <w:pPr>
        <w:ind w:left="762" w:hanging="360"/>
      </w:pPr>
      <w:rPr>
        <w:rFonts w:hint="default"/>
        <w:b w:val="0"/>
        <w:color w:val="auto"/>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5"/>
      <w:suff w:val="nothing"/>
      <w:lvlText w:val="%1．"/>
      <w:lvlJc w:val="left"/>
      <w:pPr>
        <w:ind w:left="17" w:firstLine="400"/>
      </w:pPr>
      <w:rPr>
        <w:rFonts w:hint="default"/>
      </w:rPr>
    </w:lvl>
  </w:abstractNum>
  <w:abstractNum w:abstractNumId="2">
    <w:nsid w:val="6124A81E"/>
    <w:multiLevelType w:val="singleLevel"/>
    <w:tmpl w:val="6124A81E"/>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M2I4MjlkY2NkYzdjMmNlNTc1YzI2NjBiY2I4N2IifQ=="/>
  </w:docVars>
  <w:rsids>
    <w:rsidRoot w:val="00CF008E"/>
    <w:rsid w:val="00040DA3"/>
    <w:rsid w:val="00070FDC"/>
    <w:rsid w:val="00085B02"/>
    <w:rsid w:val="00096685"/>
    <w:rsid w:val="000A5624"/>
    <w:rsid w:val="000A59B8"/>
    <w:rsid w:val="000A635A"/>
    <w:rsid w:val="000F2563"/>
    <w:rsid w:val="0010094C"/>
    <w:rsid w:val="00111E01"/>
    <w:rsid w:val="00115250"/>
    <w:rsid w:val="00126DE8"/>
    <w:rsid w:val="00131FCE"/>
    <w:rsid w:val="00133C52"/>
    <w:rsid w:val="001465F1"/>
    <w:rsid w:val="0015146F"/>
    <w:rsid w:val="00157BC1"/>
    <w:rsid w:val="00163B9B"/>
    <w:rsid w:val="001659E6"/>
    <w:rsid w:val="00165DAD"/>
    <w:rsid w:val="001B3559"/>
    <w:rsid w:val="001B5EDF"/>
    <w:rsid w:val="001D7D02"/>
    <w:rsid w:val="001E534D"/>
    <w:rsid w:val="001E6E5D"/>
    <w:rsid w:val="001F2C75"/>
    <w:rsid w:val="0020296B"/>
    <w:rsid w:val="002047B6"/>
    <w:rsid w:val="00205374"/>
    <w:rsid w:val="0023410B"/>
    <w:rsid w:val="00240484"/>
    <w:rsid w:val="00241CF8"/>
    <w:rsid w:val="00250F23"/>
    <w:rsid w:val="00254305"/>
    <w:rsid w:val="00262E1F"/>
    <w:rsid w:val="00272759"/>
    <w:rsid w:val="00277541"/>
    <w:rsid w:val="00286930"/>
    <w:rsid w:val="002A43EC"/>
    <w:rsid w:val="002A7631"/>
    <w:rsid w:val="002B253E"/>
    <w:rsid w:val="002B7CEB"/>
    <w:rsid w:val="002D32B5"/>
    <w:rsid w:val="002D468F"/>
    <w:rsid w:val="002E0AED"/>
    <w:rsid w:val="00302ED0"/>
    <w:rsid w:val="00304AF8"/>
    <w:rsid w:val="00312463"/>
    <w:rsid w:val="003221FD"/>
    <w:rsid w:val="00343C6E"/>
    <w:rsid w:val="00344433"/>
    <w:rsid w:val="003554C3"/>
    <w:rsid w:val="003641C0"/>
    <w:rsid w:val="00366AC8"/>
    <w:rsid w:val="00385A4D"/>
    <w:rsid w:val="003A5D32"/>
    <w:rsid w:val="003A6B87"/>
    <w:rsid w:val="003B5D12"/>
    <w:rsid w:val="003C6A6E"/>
    <w:rsid w:val="003D4353"/>
    <w:rsid w:val="003E6CBF"/>
    <w:rsid w:val="003F1227"/>
    <w:rsid w:val="0040282C"/>
    <w:rsid w:val="004047EB"/>
    <w:rsid w:val="00405ED3"/>
    <w:rsid w:val="00423FDC"/>
    <w:rsid w:val="00437A09"/>
    <w:rsid w:val="0044352E"/>
    <w:rsid w:val="00466F51"/>
    <w:rsid w:val="0046749D"/>
    <w:rsid w:val="00472079"/>
    <w:rsid w:val="00484D8C"/>
    <w:rsid w:val="00492B5A"/>
    <w:rsid w:val="004932B8"/>
    <w:rsid w:val="004A34EB"/>
    <w:rsid w:val="004C5CA6"/>
    <w:rsid w:val="004D56AD"/>
    <w:rsid w:val="004E2996"/>
    <w:rsid w:val="004F344B"/>
    <w:rsid w:val="004F393A"/>
    <w:rsid w:val="00501FCD"/>
    <w:rsid w:val="00512041"/>
    <w:rsid w:val="00517369"/>
    <w:rsid w:val="00523FE1"/>
    <w:rsid w:val="0054731E"/>
    <w:rsid w:val="00584887"/>
    <w:rsid w:val="005921B0"/>
    <w:rsid w:val="0059451E"/>
    <w:rsid w:val="005A0F5C"/>
    <w:rsid w:val="005A6A4E"/>
    <w:rsid w:val="005B15FB"/>
    <w:rsid w:val="005B1C62"/>
    <w:rsid w:val="005C3A3E"/>
    <w:rsid w:val="005C752B"/>
    <w:rsid w:val="005D3137"/>
    <w:rsid w:val="005D7C56"/>
    <w:rsid w:val="005E533B"/>
    <w:rsid w:val="005F2484"/>
    <w:rsid w:val="005F33CD"/>
    <w:rsid w:val="006071C3"/>
    <w:rsid w:val="00611A54"/>
    <w:rsid w:val="006263E3"/>
    <w:rsid w:val="00660A04"/>
    <w:rsid w:val="00670B52"/>
    <w:rsid w:val="0067195D"/>
    <w:rsid w:val="00674871"/>
    <w:rsid w:val="00684252"/>
    <w:rsid w:val="00686B33"/>
    <w:rsid w:val="00696C51"/>
    <w:rsid w:val="006A35F8"/>
    <w:rsid w:val="006A6628"/>
    <w:rsid w:val="006A7D4C"/>
    <w:rsid w:val="006C4891"/>
    <w:rsid w:val="006C73CA"/>
    <w:rsid w:val="006D2400"/>
    <w:rsid w:val="006E2A52"/>
    <w:rsid w:val="006E4F15"/>
    <w:rsid w:val="006E7049"/>
    <w:rsid w:val="006F6644"/>
    <w:rsid w:val="006F728C"/>
    <w:rsid w:val="007018AA"/>
    <w:rsid w:val="007063AC"/>
    <w:rsid w:val="00711928"/>
    <w:rsid w:val="00727DF9"/>
    <w:rsid w:val="00730FEA"/>
    <w:rsid w:val="00733978"/>
    <w:rsid w:val="00734C9C"/>
    <w:rsid w:val="00734E39"/>
    <w:rsid w:val="00752471"/>
    <w:rsid w:val="00767220"/>
    <w:rsid w:val="00774C23"/>
    <w:rsid w:val="00774E6B"/>
    <w:rsid w:val="00786EE9"/>
    <w:rsid w:val="007B4EEB"/>
    <w:rsid w:val="007B7C57"/>
    <w:rsid w:val="007D35BE"/>
    <w:rsid w:val="007E2EAE"/>
    <w:rsid w:val="007E7771"/>
    <w:rsid w:val="007F0E50"/>
    <w:rsid w:val="007F403E"/>
    <w:rsid w:val="00800FDA"/>
    <w:rsid w:val="00815FA5"/>
    <w:rsid w:val="00817CF9"/>
    <w:rsid w:val="00825B6F"/>
    <w:rsid w:val="00843375"/>
    <w:rsid w:val="00853729"/>
    <w:rsid w:val="00870758"/>
    <w:rsid w:val="00871A0E"/>
    <w:rsid w:val="00880095"/>
    <w:rsid w:val="0088316E"/>
    <w:rsid w:val="00887E18"/>
    <w:rsid w:val="008955F6"/>
    <w:rsid w:val="008B1D66"/>
    <w:rsid w:val="008C0BCC"/>
    <w:rsid w:val="008D1B15"/>
    <w:rsid w:val="008D4315"/>
    <w:rsid w:val="008E3DF7"/>
    <w:rsid w:val="009044A0"/>
    <w:rsid w:val="00914522"/>
    <w:rsid w:val="0092053D"/>
    <w:rsid w:val="00923C9A"/>
    <w:rsid w:val="00932F1B"/>
    <w:rsid w:val="0094150E"/>
    <w:rsid w:val="0094503D"/>
    <w:rsid w:val="00950616"/>
    <w:rsid w:val="009624F4"/>
    <w:rsid w:val="0097048F"/>
    <w:rsid w:val="00981016"/>
    <w:rsid w:val="00990984"/>
    <w:rsid w:val="009A5F0D"/>
    <w:rsid w:val="009C262C"/>
    <w:rsid w:val="009C57FD"/>
    <w:rsid w:val="009D3C0D"/>
    <w:rsid w:val="009D4AEA"/>
    <w:rsid w:val="009E2922"/>
    <w:rsid w:val="009E354F"/>
    <w:rsid w:val="009E6DCC"/>
    <w:rsid w:val="009F41A7"/>
    <w:rsid w:val="009F48AE"/>
    <w:rsid w:val="00A24611"/>
    <w:rsid w:val="00A86D54"/>
    <w:rsid w:val="00A90382"/>
    <w:rsid w:val="00A974A0"/>
    <w:rsid w:val="00AA19FF"/>
    <w:rsid w:val="00AA22A5"/>
    <w:rsid w:val="00AA28FC"/>
    <w:rsid w:val="00AB5B68"/>
    <w:rsid w:val="00AD09E0"/>
    <w:rsid w:val="00AD11A1"/>
    <w:rsid w:val="00AD5BA4"/>
    <w:rsid w:val="00AE1115"/>
    <w:rsid w:val="00AF0DA2"/>
    <w:rsid w:val="00AF5060"/>
    <w:rsid w:val="00B00566"/>
    <w:rsid w:val="00B0351E"/>
    <w:rsid w:val="00B03B25"/>
    <w:rsid w:val="00B04C6E"/>
    <w:rsid w:val="00B16B27"/>
    <w:rsid w:val="00B24483"/>
    <w:rsid w:val="00B56F3C"/>
    <w:rsid w:val="00B57BB9"/>
    <w:rsid w:val="00B64B72"/>
    <w:rsid w:val="00B82E6D"/>
    <w:rsid w:val="00BC2D44"/>
    <w:rsid w:val="00BC53F9"/>
    <w:rsid w:val="00BC6C7F"/>
    <w:rsid w:val="00BE314E"/>
    <w:rsid w:val="00BF416B"/>
    <w:rsid w:val="00BF5D3A"/>
    <w:rsid w:val="00C020F1"/>
    <w:rsid w:val="00C02A00"/>
    <w:rsid w:val="00C054D2"/>
    <w:rsid w:val="00C16E3B"/>
    <w:rsid w:val="00C41C20"/>
    <w:rsid w:val="00C465ED"/>
    <w:rsid w:val="00C50656"/>
    <w:rsid w:val="00C50FA6"/>
    <w:rsid w:val="00C65E96"/>
    <w:rsid w:val="00C77EB3"/>
    <w:rsid w:val="00C831E0"/>
    <w:rsid w:val="00CE2292"/>
    <w:rsid w:val="00CF008E"/>
    <w:rsid w:val="00CF4953"/>
    <w:rsid w:val="00CF66F7"/>
    <w:rsid w:val="00D00A5D"/>
    <w:rsid w:val="00D108DC"/>
    <w:rsid w:val="00D10C31"/>
    <w:rsid w:val="00D4103C"/>
    <w:rsid w:val="00D45EF2"/>
    <w:rsid w:val="00D546FC"/>
    <w:rsid w:val="00D64982"/>
    <w:rsid w:val="00D65D1B"/>
    <w:rsid w:val="00D7260A"/>
    <w:rsid w:val="00D7265B"/>
    <w:rsid w:val="00D803D7"/>
    <w:rsid w:val="00D83A81"/>
    <w:rsid w:val="00D90B74"/>
    <w:rsid w:val="00D9400B"/>
    <w:rsid w:val="00DC381D"/>
    <w:rsid w:val="00DD64D1"/>
    <w:rsid w:val="00E02487"/>
    <w:rsid w:val="00E05D6A"/>
    <w:rsid w:val="00E05E9A"/>
    <w:rsid w:val="00E30C3E"/>
    <w:rsid w:val="00E356DB"/>
    <w:rsid w:val="00E36732"/>
    <w:rsid w:val="00E420EC"/>
    <w:rsid w:val="00E56136"/>
    <w:rsid w:val="00E7116A"/>
    <w:rsid w:val="00E7384F"/>
    <w:rsid w:val="00EA6154"/>
    <w:rsid w:val="00EA6579"/>
    <w:rsid w:val="00EA6F5F"/>
    <w:rsid w:val="00EB6BEB"/>
    <w:rsid w:val="00ED0240"/>
    <w:rsid w:val="00ED3996"/>
    <w:rsid w:val="00F02D68"/>
    <w:rsid w:val="00F07E0D"/>
    <w:rsid w:val="00F12304"/>
    <w:rsid w:val="00F143D1"/>
    <w:rsid w:val="00F344A6"/>
    <w:rsid w:val="00F43DE7"/>
    <w:rsid w:val="00F529AF"/>
    <w:rsid w:val="00F56DFC"/>
    <w:rsid w:val="00F57FBC"/>
    <w:rsid w:val="00F612E4"/>
    <w:rsid w:val="00F636B8"/>
    <w:rsid w:val="00F71B0B"/>
    <w:rsid w:val="00F74FF3"/>
    <w:rsid w:val="00F76C4C"/>
    <w:rsid w:val="00F92C0B"/>
    <w:rsid w:val="00F95F4D"/>
    <w:rsid w:val="00FA1044"/>
    <w:rsid w:val="00FB38AF"/>
    <w:rsid w:val="00FD2626"/>
    <w:rsid w:val="00FE2E30"/>
    <w:rsid w:val="00FF2713"/>
    <w:rsid w:val="00FF3CB6"/>
    <w:rsid w:val="01082DCE"/>
    <w:rsid w:val="01196377"/>
    <w:rsid w:val="011A27E6"/>
    <w:rsid w:val="011B4B0A"/>
    <w:rsid w:val="011D6ED0"/>
    <w:rsid w:val="013C7065"/>
    <w:rsid w:val="014D641B"/>
    <w:rsid w:val="01581FF7"/>
    <w:rsid w:val="01604B65"/>
    <w:rsid w:val="01631629"/>
    <w:rsid w:val="016A3995"/>
    <w:rsid w:val="01767A67"/>
    <w:rsid w:val="018B2605"/>
    <w:rsid w:val="019312E0"/>
    <w:rsid w:val="0195715E"/>
    <w:rsid w:val="019D2FC7"/>
    <w:rsid w:val="019E058F"/>
    <w:rsid w:val="01B82FCB"/>
    <w:rsid w:val="01BC5540"/>
    <w:rsid w:val="01BF7ACE"/>
    <w:rsid w:val="01E22FC9"/>
    <w:rsid w:val="01ED4448"/>
    <w:rsid w:val="02047B14"/>
    <w:rsid w:val="021A334D"/>
    <w:rsid w:val="02241CA7"/>
    <w:rsid w:val="022C0382"/>
    <w:rsid w:val="022D7E5C"/>
    <w:rsid w:val="02454DC6"/>
    <w:rsid w:val="02460711"/>
    <w:rsid w:val="024B086A"/>
    <w:rsid w:val="024C3FDE"/>
    <w:rsid w:val="025C1016"/>
    <w:rsid w:val="025C2FF3"/>
    <w:rsid w:val="0260580C"/>
    <w:rsid w:val="02630AF6"/>
    <w:rsid w:val="026F50F7"/>
    <w:rsid w:val="0292228F"/>
    <w:rsid w:val="029D3473"/>
    <w:rsid w:val="02A843B9"/>
    <w:rsid w:val="02AF018D"/>
    <w:rsid w:val="02B17534"/>
    <w:rsid w:val="02C148EA"/>
    <w:rsid w:val="02F11F86"/>
    <w:rsid w:val="031402A0"/>
    <w:rsid w:val="03530EF0"/>
    <w:rsid w:val="03666726"/>
    <w:rsid w:val="036A6013"/>
    <w:rsid w:val="036B0042"/>
    <w:rsid w:val="03822CFE"/>
    <w:rsid w:val="03921536"/>
    <w:rsid w:val="03957CCA"/>
    <w:rsid w:val="03BA168E"/>
    <w:rsid w:val="03BD57CE"/>
    <w:rsid w:val="03DE6BBF"/>
    <w:rsid w:val="03EA0F31"/>
    <w:rsid w:val="03EC548F"/>
    <w:rsid w:val="03FB6B06"/>
    <w:rsid w:val="03FD0897"/>
    <w:rsid w:val="04233E93"/>
    <w:rsid w:val="04295DA0"/>
    <w:rsid w:val="04352FAD"/>
    <w:rsid w:val="043833BC"/>
    <w:rsid w:val="04406715"/>
    <w:rsid w:val="04533F12"/>
    <w:rsid w:val="04656FC2"/>
    <w:rsid w:val="046B7205"/>
    <w:rsid w:val="047B3AB4"/>
    <w:rsid w:val="047C0CFA"/>
    <w:rsid w:val="047C234D"/>
    <w:rsid w:val="048328A9"/>
    <w:rsid w:val="04A52713"/>
    <w:rsid w:val="04A61CAB"/>
    <w:rsid w:val="04B66E9B"/>
    <w:rsid w:val="04BA6D48"/>
    <w:rsid w:val="04DF02F5"/>
    <w:rsid w:val="04EA65EC"/>
    <w:rsid w:val="04F54297"/>
    <w:rsid w:val="04F76AAC"/>
    <w:rsid w:val="04F95D73"/>
    <w:rsid w:val="04FB7261"/>
    <w:rsid w:val="050022AA"/>
    <w:rsid w:val="05162632"/>
    <w:rsid w:val="05474D67"/>
    <w:rsid w:val="057351EA"/>
    <w:rsid w:val="059761EF"/>
    <w:rsid w:val="059F2433"/>
    <w:rsid w:val="05A12F8F"/>
    <w:rsid w:val="05B16949"/>
    <w:rsid w:val="05B5308F"/>
    <w:rsid w:val="05C614B1"/>
    <w:rsid w:val="05EC3DBF"/>
    <w:rsid w:val="05F90297"/>
    <w:rsid w:val="060C39DD"/>
    <w:rsid w:val="061006D5"/>
    <w:rsid w:val="06227012"/>
    <w:rsid w:val="06291D77"/>
    <w:rsid w:val="062929E2"/>
    <w:rsid w:val="0633208D"/>
    <w:rsid w:val="064B1FD0"/>
    <w:rsid w:val="06510831"/>
    <w:rsid w:val="0655574A"/>
    <w:rsid w:val="066756C3"/>
    <w:rsid w:val="066E7995"/>
    <w:rsid w:val="0671119D"/>
    <w:rsid w:val="06851CEA"/>
    <w:rsid w:val="068C07A0"/>
    <w:rsid w:val="069C2279"/>
    <w:rsid w:val="06AB431A"/>
    <w:rsid w:val="06C75E0F"/>
    <w:rsid w:val="06CD2659"/>
    <w:rsid w:val="06D9617D"/>
    <w:rsid w:val="06E209B7"/>
    <w:rsid w:val="06EE5449"/>
    <w:rsid w:val="07177C01"/>
    <w:rsid w:val="071D3AEF"/>
    <w:rsid w:val="071F775B"/>
    <w:rsid w:val="0725414F"/>
    <w:rsid w:val="072E5257"/>
    <w:rsid w:val="073E4D0F"/>
    <w:rsid w:val="07514453"/>
    <w:rsid w:val="07832BA1"/>
    <w:rsid w:val="078B22FB"/>
    <w:rsid w:val="07914D92"/>
    <w:rsid w:val="07C93DD2"/>
    <w:rsid w:val="07F10BD9"/>
    <w:rsid w:val="07F33261"/>
    <w:rsid w:val="07F93AF1"/>
    <w:rsid w:val="07FB3039"/>
    <w:rsid w:val="07FC2047"/>
    <w:rsid w:val="080A4F8B"/>
    <w:rsid w:val="081D312D"/>
    <w:rsid w:val="08290DFC"/>
    <w:rsid w:val="082D031A"/>
    <w:rsid w:val="083227D0"/>
    <w:rsid w:val="083E61F6"/>
    <w:rsid w:val="08441F41"/>
    <w:rsid w:val="08506633"/>
    <w:rsid w:val="0871359F"/>
    <w:rsid w:val="08762289"/>
    <w:rsid w:val="088909C5"/>
    <w:rsid w:val="08A45B58"/>
    <w:rsid w:val="08A75E9F"/>
    <w:rsid w:val="08B51EFD"/>
    <w:rsid w:val="08C520FD"/>
    <w:rsid w:val="08C644EB"/>
    <w:rsid w:val="08CB31B1"/>
    <w:rsid w:val="08DE0702"/>
    <w:rsid w:val="08E36B16"/>
    <w:rsid w:val="08EB2A28"/>
    <w:rsid w:val="09033D88"/>
    <w:rsid w:val="091033C7"/>
    <w:rsid w:val="092454AE"/>
    <w:rsid w:val="0931335A"/>
    <w:rsid w:val="094350D2"/>
    <w:rsid w:val="09520EC1"/>
    <w:rsid w:val="09522E65"/>
    <w:rsid w:val="096126C2"/>
    <w:rsid w:val="09702747"/>
    <w:rsid w:val="09904735"/>
    <w:rsid w:val="09A1577F"/>
    <w:rsid w:val="09B1743D"/>
    <w:rsid w:val="09BF3C5F"/>
    <w:rsid w:val="09EC3543"/>
    <w:rsid w:val="0A017749"/>
    <w:rsid w:val="0A31325F"/>
    <w:rsid w:val="0A433EA3"/>
    <w:rsid w:val="0A4C0A53"/>
    <w:rsid w:val="0A530F50"/>
    <w:rsid w:val="0A562E5C"/>
    <w:rsid w:val="0A595E3B"/>
    <w:rsid w:val="0A6D4428"/>
    <w:rsid w:val="0A70103F"/>
    <w:rsid w:val="0A7F0E46"/>
    <w:rsid w:val="0A830A8F"/>
    <w:rsid w:val="0AD876A7"/>
    <w:rsid w:val="0ADB488F"/>
    <w:rsid w:val="0ADF4740"/>
    <w:rsid w:val="0AF404CA"/>
    <w:rsid w:val="0B187D40"/>
    <w:rsid w:val="0B237F0C"/>
    <w:rsid w:val="0B25655D"/>
    <w:rsid w:val="0B3B41A4"/>
    <w:rsid w:val="0B466158"/>
    <w:rsid w:val="0B765704"/>
    <w:rsid w:val="0B7D0BA2"/>
    <w:rsid w:val="0B831417"/>
    <w:rsid w:val="0B976282"/>
    <w:rsid w:val="0BAA0921"/>
    <w:rsid w:val="0BAB4B61"/>
    <w:rsid w:val="0BBE3C8E"/>
    <w:rsid w:val="0BD75140"/>
    <w:rsid w:val="0BD821CA"/>
    <w:rsid w:val="0BE00F68"/>
    <w:rsid w:val="0C0A4650"/>
    <w:rsid w:val="0C122E87"/>
    <w:rsid w:val="0C142061"/>
    <w:rsid w:val="0C1C580F"/>
    <w:rsid w:val="0C25115F"/>
    <w:rsid w:val="0C30164C"/>
    <w:rsid w:val="0C4909C1"/>
    <w:rsid w:val="0C54553C"/>
    <w:rsid w:val="0C6153DA"/>
    <w:rsid w:val="0C680BDD"/>
    <w:rsid w:val="0C715D36"/>
    <w:rsid w:val="0C72723E"/>
    <w:rsid w:val="0C8830F0"/>
    <w:rsid w:val="0C915D6B"/>
    <w:rsid w:val="0C9F0011"/>
    <w:rsid w:val="0CA8035A"/>
    <w:rsid w:val="0CAD361F"/>
    <w:rsid w:val="0CAD70A0"/>
    <w:rsid w:val="0CAF268A"/>
    <w:rsid w:val="0CCA7A68"/>
    <w:rsid w:val="0CE45ABA"/>
    <w:rsid w:val="0CE55D2A"/>
    <w:rsid w:val="0CEA1161"/>
    <w:rsid w:val="0D0E1A16"/>
    <w:rsid w:val="0D10611A"/>
    <w:rsid w:val="0D204464"/>
    <w:rsid w:val="0D245D5D"/>
    <w:rsid w:val="0D2A5D78"/>
    <w:rsid w:val="0D300F7C"/>
    <w:rsid w:val="0D643C93"/>
    <w:rsid w:val="0D6D5D30"/>
    <w:rsid w:val="0D840310"/>
    <w:rsid w:val="0D935001"/>
    <w:rsid w:val="0DA75F7E"/>
    <w:rsid w:val="0DCE19B4"/>
    <w:rsid w:val="0E14052A"/>
    <w:rsid w:val="0E1B588D"/>
    <w:rsid w:val="0E265F28"/>
    <w:rsid w:val="0E2873E9"/>
    <w:rsid w:val="0E341F8B"/>
    <w:rsid w:val="0E744B2D"/>
    <w:rsid w:val="0E8D05E0"/>
    <w:rsid w:val="0E9B3C63"/>
    <w:rsid w:val="0EB4636E"/>
    <w:rsid w:val="0EB75DCA"/>
    <w:rsid w:val="0EC81177"/>
    <w:rsid w:val="0ED12EB4"/>
    <w:rsid w:val="0ED16605"/>
    <w:rsid w:val="0ED97B37"/>
    <w:rsid w:val="0EE3071C"/>
    <w:rsid w:val="0EED2DF2"/>
    <w:rsid w:val="0EF83DB8"/>
    <w:rsid w:val="0F401FA4"/>
    <w:rsid w:val="0F4F57E8"/>
    <w:rsid w:val="0F6C3B60"/>
    <w:rsid w:val="0F6F6315"/>
    <w:rsid w:val="0F7150A0"/>
    <w:rsid w:val="0F7459D8"/>
    <w:rsid w:val="0F78156E"/>
    <w:rsid w:val="0F7A125F"/>
    <w:rsid w:val="0FB81B5B"/>
    <w:rsid w:val="0FD00E8A"/>
    <w:rsid w:val="0FE25086"/>
    <w:rsid w:val="0FE65A61"/>
    <w:rsid w:val="10090199"/>
    <w:rsid w:val="10234F21"/>
    <w:rsid w:val="10337DDD"/>
    <w:rsid w:val="103656D1"/>
    <w:rsid w:val="103C7917"/>
    <w:rsid w:val="10491764"/>
    <w:rsid w:val="10564A8B"/>
    <w:rsid w:val="1058602D"/>
    <w:rsid w:val="10795C93"/>
    <w:rsid w:val="108950AD"/>
    <w:rsid w:val="108B3AFA"/>
    <w:rsid w:val="10B15280"/>
    <w:rsid w:val="10CF164C"/>
    <w:rsid w:val="10D304BE"/>
    <w:rsid w:val="10D50461"/>
    <w:rsid w:val="10E24CD8"/>
    <w:rsid w:val="10F15163"/>
    <w:rsid w:val="10F26CDC"/>
    <w:rsid w:val="11163C77"/>
    <w:rsid w:val="1139732F"/>
    <w:rsid w:val="114A7510"/>
    <w:rsid w:val="114C67B8"/>
    <w:rsid w:val="115A53BC"/>
    <w:rsid w:val="11696085"/>
    <w:rsid w:val="117A2D8F"/>
    <w:rsid w:val="118E75B9"/>
    <w:rsid w:val="1194155A"/>
    <w:rsid w:val="119C1623"/>
    <w:rsid w:val="11AB3509"/>
    <w:rsid w:val="11B5299E"/>
    <w:rsid w:val="11E52624"/>
    <w:rsid w:val="11E8124D"/>
    <w:rsid w:val="11F9333E"/>
    <w:rsid w:val="11FE31AD"/>
    <w:rsid w:val="121466AA"/>
    <w:rsid w:val="122B6577"/>
    <w:rsid w:val="12343761"/>
    <w:rsid w:val="123756D1"/>
    <w:rsid w:val="123B7167"/>
    <w:rsid w:val="124E5F2C"/>
    <w:rsid w:val="12521942"/>
    <w:rsid w:val="12597E87"/>
    <w:rsid w:val="125B3739"/>
    <w:rsid w:val="126943EE"/>
    <w:rsid w:val="12865675"/>
    <w:rsid w:val="129A697A"/>
    <w:rsid w:val="12C000D1"/>
    <w:rsid w:val="12C6189A"/>
    <w:rsid w:val="12CE785B"/>
    <w:rsid w:val="12D16BCB"/>
    <w:rsid w:val="12DC2AAB"/>
    <w:rsid w:val="12E74E3F"/>
    <w:rsid w:val="12ED7F8F"/>
    <w:rsid w:val="12F04674"/>
    <w:rsid w:val="12FE1AE7"/>
    <w:rsid w:val="13190BA4"/>
    <w:rsid w:val="13293F8A"/>
    <w:rsid w:val="132A5815"/>
    <w:rsid w:val="13356A71"/>
    <w:rsid w:val="134854F2"/>
    <w:rsid w:val="13594F2D"/>
    <w:rsid w:val="1362048E"/>
    <w:rsid w:val="136F6575"/>
    <w:rsid w:val="13714DE1"/>
    <w:rsid w:val="13A70B15"/>
    <w:rsid w:val="13AD2810"/>
    <w:rsid w:val="13B72E13"/>
    <w:rsid w:val="13BA32C6"/>
    <w:rsid w:val="13DE4A24"/>
    <w:rsid w:val="13E5054D"/>
    <w:rsid w:val="14003B68"/>
    <w:rsid w:val="14077165"/>
    <w:rsid w:val="140A4876"/>
    <w:rsid w:val="14231FAC"/>
    <w:rsid w:val="14264818"/>
    <w:rsid w:val="145378D4"/>
    <w:rsid w:val="1463315F"/>
    <w:rsid w:val="14664519"/>
    <w:rsid w:val="146F09C5"/>
    <w:rsid w:val="147441B4"/>
    <w:rsid w:val="14745B8C"/>
    <w:rsid w:val="14832530"/>
    <w:rsid w:val="14936D19"/>
    <w:rsid w:val="14F33B67"/>
    <w:rsid w:val="151A11AA"/>
    <w:rsid w:val="151E62FD"/>
    <w:rsid w:val="151F03B5"/>
    <w:rsid w:val="153A65BE"/>
    <w:rsid w:val="15422B45"/>
    <w:rsid w:val="15537C7E"/>
    <w:rsid w:val="156629A4"/>
    <w:rsid w:val="156A38D6"/>
    <w:rsid w:val="1584295D"/>
    <w:rsid w:val="158612AC"/>
    <w:rsid w:val="158735B1"/>
    <w:rsid w:val="15895244"/>
    <w:rsid w:val="159E013D"/>
    <w:rsid w:val="15B95B85"/>
    <w:rsid w:val="15BA0961"/>
    <w:rsid w:val="15BC6BCB"/>
    <w:rsid w:val="15D117BB"/>
    <w:rsid w:val="15D32868"/>
    <w:rsid w:val="15E1072D"/>
    <w:rsid w:val="15EE1192"/>
    <w:rsid w:val="15FD0081"/>
    <w:rsid w:val="161713B9"/>
    <w:rsid w:val="162117F2"/>
    <w:rsid w:val="163D38BD"/>
    <w:rsid w:val="163E5013"/>
    <w:rsid w:val="164432FC"/>
    <w:rsid w:val="166867F9"/>
    <w:rsid w:val="16746A12"/>
    <w:rsid w:val="16763172"/>
    <w:rsid w:val="167E2633"/>
    <w:rsid w:val="168431DE"/>
    <w:rsid w:val="168C763B"/>
    <w:rsid w:val="1690501F"/>
    <w:rsid w:val="16B22F9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451930"/>
    <w:rsid w:val="1761165F"/>
    <w:rsid w:val="176B4C2E"/>
    <w:rsid w:val="17912DBB"/>
    <w:rsid w:val="179E2BB2"/>
    <w:rsid w:val="17A31E57"/>
    <w:rsid w:val="17A41A09"/>
    <w:rsid w:val="17BE7705"/>
    <w:rsid w:val="17DE1931"/>
    <w:rsid w:val="17E43CA4"/>
    <w:rsid w:val="1803234F"/>
    <w:rsid w:val="18147C0E"/>
    <w:rsid w:val="181F7B0D"/>
    <w:rsid w:val="182A7068"/>
    <w:rsid w:val="184D7361"/>
    <w:rsid w:val="18534811"/>
    <w:rsid w:val="185E0D06"/>
    <w:rsid w:val="18611ADF"/>
    <w:rsid w:val="18633525"/>
    <w:rsid w:val="18660D83"/>
    <w:rsid w:val="188F0361"/>
    <w:rsid w:val="18A34D8C"/>
    <w:rsid w:val="18AD0BE1"/>
    <w:rsid w:val="18B619A6"/>
    <w:rsid w:val="18BB43F9"/>
    <w:rsid w:val="18BD2A66"/>
    <w:rsid w:val="18C13AC1"/>
    <w:rsid w:val="18D119EE"/>
    <w:rsid w:val="190524A1"/>
    <w:rsid w:val="19111C94"/>
    <w:rsid w:val="193809C2"/>
    <w:rsid w:val="194361A3"/>
    <w:rsid w:val="194E641E"/>
    <w:rsid w:val="19651738"/>
    <w:rsid w:val="198365E2"/>
    <w:rsid w:val="19873338"/>
    <w:rsid w:val="19976995"/>
    <w:rsid w:val="19B044DF"/>
    <w:rsid w:val="19E23BF1"/>
    <w:rsid w:val="19FA5475"/>
    <w:rsid w:val="19FC6A1D"/>
    <w:rsid w:val="1A0D279E"/>
    <w:rsid w:val="1A110767"/>
    <w:rsid w:val="1A1964F4"/>
    <w:rsid w:val="1A576AE8"/>
    <w:rsid w:val="1A613F40"/>
    <w:rsid w:val="1A6450AE"/>
    <w:rsid w:val="1A6F3D1D"/>
    <w:rsid w:val="1A742AE7"/>
    <w:rsid w:val="1A807414"/>
    <w:rsid w:val="1A851E5E"/>
    <w:rsid w:val="1A976D8E"/>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3D6612"/>
    <w:rsid w:val="1B5A266B"/>
    <w:rsid w:val="1B6F3157"/>
    <w:rsid w:val="1B745152"/>
    <w:rsid w:val="1B763A15"/>
    <w:rsid w:val="1B941FF2"/>
    <w:rsid w:val="1BB91E00"/>
    <w:rsid w:val="1BC0329E"/>
    <w:rsid w:val="1BC863D0"/>
    <w:rsid w:val="1BEF1A51"/>
    <w:rsid w:val="1C01157A"/>
    <w:rsid w:val="1C1F3175"/>
    <w:rsid w:val="1C337FF5"/>
    <w:rsid w:val="1C3B4532"/>
    <w:rsid w:val="1C3C4D04"/>
    <w:rsid w:val="1C3F63C6"/>
    <w:rsid w:val="1C495A9B"/>
    <w:rsid w:val="1C4A4F18"/>
    <w:rsid w:val="1C4C62F2"/>
    <w:rsid w:val="1C6063BC"/>
    <w:rsid w:val="1C677760"/>
    <w:rsid w:val="1C8342C9"/>
    <w:rsid w:val="1C835541"/>
    <w:rsid w:val="1C9125AF"/>
    <w:rsid w:val="1CA63F16"/>
    <w:rsid w:val="1CB63D17"/>
    <w:rsid w:val="1CBE15B8"/>
    <w:rsid w:val="1CC70AAE"/>
    <w:rsid w:val="1CF93C71"/>
    <w:rsid w:val="1CF97B60"/>
    <w:rsid w:val="1D030883"/>
    <w:rsid w:val="1D143544"/>
    <w:rsid w:val="1D1D75F2"/>
    <w:rsid w:val="1D5039A9"/>
    <w:rsid w:val="1D670B14"/>
    <w:rsid w:val="1D826732"/>
    <w:rsid w:val="1D924EB5"/>
    <w:rsid w:val="1D9F65B1"/>
    <w:rsid w:val="1DA002EB"/>
    <w:rsid w:val="1DC75D8B"/>
    <w:rsid w:val="1DD7785D"/>
    <w:rsid w:val="1DD97567"/>
    <w:rsid w:val="1DE0242C"/>
    <w:rsid w:val="1DE02E8C"/>
    <w:rsid w:val="1DE5415D"/>
    <w:rsid w:val="1DFB418B"/>
    <w:rsid w:val="1E061D8D"/>
    <w:rsid w:val="1E145E55"/>
    <w:rsid w:val="1E1510B3"/>
    <w:rsid w:val="1E1B06D7"/>
    <w:rsid w:val="1E1D003B"/>
    <w:rsid w:val="1E2A636A"/>
    <w:rsid w:val="1E2B5895"/>
    <w:rsid w:val="1E3F71AC"/>
    <w:rsid w:val="1E407FC7"/>
    <w:rsid w:val="1E484768"/>
    <w:rsid w:val="1E4946FB"/>
    <w:rsid w:val="1E4A65BA"/>
    <w:rsid w:val="1E502FE7"/>
    <w:rsid w:val="1E506677"/>
    <w:rsid w:val="1E5A2DA3"/>
    <w:rsid w:val="1E611165"/>
    <w:rsid w:val="1E6C6427"/>
    <w:rsid w:val="1E7646AA"/>
    <w:rsid w:val="1E965D04"/>
    <w:rsid w:val="1EA26379"/>
    <w:rsid w:val="1EC13239"/>
    <w:rsid w:val="1ED3045A"/>
    <w:rsid w:val="1ED352F2"/>
    <w:rsid w:val="1ED920BE"/>
    <w:rsid w:val="1EF7470E"/>
    <w:rsid w:val="1F05265B"/>
    <w:rsid w:val="1F073AFB"/>
    <w:rsid w:val="1F09370C"/>
    <w:rsid w:val="1F0E2E4B"/>
    <w:rsid w:val="1F1068A9"/>
    <w:rsid w:val="1F11207D"/>
    <w:rsid w:val="1F3309E4"/>
    <w:rsid w:val="1F3C6344"/>
    <w:rsid w:val="1F5435CA"/>
    <w:rsid w:val="1F546D45"/>
    <w:rsid w:val="1F6A639E"/>
    <w:rsid w:val="1F8132C8"/>
    <w:rsid w:val="1FA02744"/>
    <w:rsid w:val="1FAC011C"/>
    <w:rsid w:val="1FC24714"/>
    <w:rsid w:val="1FCC3990"/>
    <w:rsid w:val="1FFB58CE"/>
    <w:rsid w:val="200B5A7A"/>
    <w:rsid w:val="200C298F"/>
    <w:rsid w:val="201C54FE"/>
    <w:rsid w:val="202A4D90"/>
    <w:rsid w:val="20435529"/>
    <w:rsid w:val="20517E69"/>
    <w:rsid w:val="20530F08"/>
    <w:rsid w:val="2066350B"/>
    <w:rsid w:val="208701DC"/>
    <w:rsid w:val="208A4B48"/>
    <w:rsid w:val="20942936"/>
    <w:rsid w:val="20AD1511"/>
    <w:rsid w:val="20AE71CD"/>
    <w:rsid w:val="20C75587"/>
    <w:rsid w:val="20DD7EA1"/>
    <w:rsid w:val="20EC6F0D"/>
    <w:rsid w:val="20EF3849"/>
    <w:rsid w:val="20FF4223"/>
    <w:rsid w:val="21114D59"/>
    <w:rsid w:val="212707FC"/>
    <w:rsid w:val="216D053B"/>
    <w:rsid w:val="216D73A5"/>
    <w:rsid w:val="2181475C"/>
    <w:rsid w:val="218D6398"/>
    <w:rsid w:val="21C03B6C"/>
    <w:rsid w:val="21C614F6"/>
    <w:rsid w:val="21D57E5D"/>
    <w:rsid w:val="220B38D3"/>
    <w:rsid w:val="220F27AB"/>
    <w:rsid w:val="223029AE"/>
    <w:rsid w:val="224251EB"/>
    <w:rsid w:val="224B1241"/>
    <w:rsid w:val="22565E31"/>
    <w:rsid w:val="226C24D9"/>
    <w:rsid w:val="227540C8"/>
    <w:rsid w:val="22C438D9"/>
    <w:rsid w:val="22C90127"/>
    <w:rsid w:val="22D008F7"/>
    <w:rsid w:val="22D42D6B"/>
    <w:rsid w:val="22DF5D82"/>
    <w:rsid w:val="22E9418C"/>
    <w:rsid w:val="22FD581D"/>
    <w:rsid w:val="230031CC"/>
    <w:rsid w:val="231A6446"/>
    <w:rsid w:val="23200D04"/>
    <w:rsid w:val="23252F62"/>
    <w:rsid w:val="2329015A"/>
    <w:rsid w:val="233D41F6"/>
    <w:rsid w:val="233E1D9D"/>
    <w:rsid w:val="234E1CC9"/>
    <w:rsid w:val="235A23F9"/>
    <w:rsid w:val="23690BF3"/>
    <w:rsid w:val="238A746E"/>
    <w:rsid w:val="23A70DB3"/>
    <w:rsid w:val="23B33E8E"/>
    <w:rsid w:val="23D003FB"/>
    <w:rsid w:val="23E06FF0"/>
    <w:rsid w:val="23F26B67"/>
    <w:rsid w:val="24321DFA"/>
    <w:rsid w:val="24530C8F"/>
    <w:rsid w:val="2456307E"/>
    <w:rsid w:val="24636547"/>
    <w:rsid w:val="24717D47"/>
    <w:rsid w:val="249C788A"/>
    <w:rsid w:val="24B01F1D"/>
    <w:rsid w:val="24B82B32"/>
    <w:rsid w:val="24BB6D5B"/>
    <w:rsid w:val="24DC6375"/>
    <w:rsid w:val="24DE5462"/>
    <w:rsid w:val="24F755BB"/>
    <w:rsid w:val="24FA5375"/>
    <w:rsid w:val="25167458"/>
    <w:rsid w:val="251E581D"/>
    <w:rsid w:val="252A3362"/>
    <w:rsid w:val="252A368C"/>
    <w:rsid w:val="253317B8"/>
    <w:rsid w:val="2537641D"/>
    <w:rsid w:val="253C3EF7"/>
    <w:rsid w:val="2558795E"/>
    <w:rsid w:val="255E089E"/>
    <w:rsid w:val="257F5882"/>
    <w:rsid w:val="25987884"/>
    <w:rsid w:val="25BF330D"/>
    <w:rsid w:val="25C27A7C"/>
    <w:rsid w:val="25C76039"/>
    <w:rsid w:val="25E31DB1"/>
    <w:rsid w:val="25F341F9"/>
    <w:rsid w:val="25FD4EFD"/>
    <w:rsid w:val="2603678D"/>
    <w:rsid w:val="26050C41"/>
    <w:rsid w:val="26152115"/>
    <w:rsid w:val="261A0D6A"/>
    <w:rsid w:val="26235823"/>
    <w:rsid w:val="263F4733"/>
    <w:rsid w:val="264826D8"/>
    <w:rsid w:val="26486C62"/>
    <w:rsid w:val="26581526"/>
    <w:rsid w:val="26845C6C"/>
    <w:rsid w:val="26873841"/>
    <w:rsid w:val="269408C3"/>
    <w:rsid w:val="26A244E0"/>
    <w:rsid w:val="26AC7203"/>
    <w:rsid w:val="26AF5A72"/>
    <w:rsid w:val="26B3018D"/>
    <w:rsid w:val="26BE55EA"/>
    <w:rsid w:val="26C35476"/>
    <w:rsid w:val="26C762DB"/>
    <w:rsid w:val="26DC20E5"/>
    <w:rsid w:val="26F97745"/>
    <w:rsid w:val="270E3585"/>
    <w:rsid w:val="274B353E"/>
    <w:rsid w:val="27524FD4"/>
    <w:rsid w:val="275319F4"/>
    <w:rsid w:val="27613BAA"/>
    <w:rsid w:val="276A2C20"/>
    <w:rsid w:val="276E6872"/>
    <w:rsid w:val="278E3101"/>
    <w:rsid w:val="27941CFF"/>
    <w:rsid w:val="27BC1DF8"/>
    <w:rsid w:val="28076074"/>
    <w:rsid w:val="280D4614"/>
    <w:rsid w:val="281846D4"/>
    <w:rsid w:val="282F78FD"/>
    <w:rsid w:val="28436F61"/>
    <w:rsid w:val="286A2391"/>
    <w:rsid w:val="28724132"/>
    <w:rsid w:val="287B59F6"/>
    <w:rsid w:val="28847D06"/>
    <w:rsid w:val="288F48FB"/>
    <w:rsid w:val="28916A05"/>
    <w:rsid w:val="28924EE2"/>
    <w:rsid w:val="28974169"/>
    <w:rsid w:val="28AC0ECF"/>
    <w:rsid w:val="28AE2264"/>
    <w:rsid w:val="28BE57FD"/>
    <w:rsid w:val="28C01F1D"/>
    <w:rsid w:val="28C14CAA"/>
    <w:rsid w:val="28D163D5"/>
    <w:rsid w:val="28D35487"/>
    <w:rsid w:val="28DF46FC"/>
    <w:rsid w:val="28EB33ED"/>
    <w:rsid w:val="29001D45"/>
    <w:rsid w:val="290D0C20"/>
    <w:rsid w:val="29154A5F"/>
    <w:rsid w:val="29162105"/>
    <w:rsid w:val="291D6CFF"/>
    <w:rsid w:val="291E564E"/>
    <w:rsid w:val="29454998"/>
    <w:rsid w:val="29585E62"/>
    <w:rsid w:val="29741CFA"/>
    <w:rsid w:val="297C2E49"/>
    <w:rsid w:val="29941624"/>
    <w:rsid w:val="299554BA"/>
    <w:rsid w:val="29956056"/>
    <w:rsid w:val="29AA3C23"/>
    <w:rsid w:val="29BF59D6"/>
    <w:rsid w:val="29C53546"/>
    <w:rsid w:val="29C941A2"/>
    <w:rsid w:val="29EB49C9"/>
    <w:rsid w:val="29EF3FB8"/>
    <w:rsid w:val="29F12286"/>
    <w:rsid w:val="29FB2966"/>
    <w:rsid w:val="2A092F82"/>
    <w:rsid w:val="2A1D7695"/>
    <w:rsid w:val="2A2B2E5B"/>
    <w:rsid w:val="2A37472F"/>
    <w:rsid w:val="2A3A63BF"/>
    <w:rsid w:val="2A3D51DB"/>
    <w:rsid w:val="2A411009"/>
    <w:rsid w:val="2A48150B"/>
    <w:rsid w:val="2A4C0A1A"/>
    <w:rsid w:val="2A4C6A3D"/>
    <w:rsid w:val="2A633D38"/>
    <w:rsid w:val="2A655AFF"/>
    <w:rsid w:val="2A715DEA"/>
    <w:rsid w:val="2A97631D"/>
    <w:rsid w:val="2AB4054B"/>
    <w:rsid w:val="2AB843C9"/>
    <w:rsid w:val="2AC82E3D"/>
    <w:rsid w:val="2AD307BD"/>
    <w:rsid w:val="2AEA4C38"/>
    <w:rsid w:val="2AFE46B0"/>
    <w:rsid w:val="2B073FBC"/>
    <w:rsid w:val="2B0C18DB"/>
    <w:rsid w:val="2B22095A"/>
    <w:rsid w:val="2B392180"/>
    <w:rsid w:val="2B3C1D66"/>
    <w:rsid w:val="2B3E28EB"/>
    <w:rsid w:val="2B3E6C5B"/>
    <w:rsid w:val="2B430D79"/>
    <w:rsid w:val="2B6E1F63"/>
    <w:rsid w:val="2B7B1C5D"/>
    <w:rsid w:val="2B9215B2"/>
    <w:rsid w:val="2BA42C24"/>
    <w:rsid w:val="2BA87CB0"/>
    <w:rsid w:val="2BB623FD"/>
    <w:rsid w:val="2BC566C7"/>
    <w:rsid w:val="2BC81736"/>
    <w:rsid w:val="2BE3479D"/>
    <w:rsid w:val="2BEF0733"/>
    <w:rsid w:val="2BFB3F34"/>
    <w:rsid w:val="2C0E0D00"/>
    <w:rsid w:val="2C19133D"/>
    <w:rsid w:val="2C1A1B3D"/>
    <w:rsid w:val="2C221397"/>
    <w:rsid w:val="2C262215"/>
    <w:rsid w:val="2C444745"/>
    <w:rsid w:val="2C81653D"/>
    <w:rsid w:val="2CB9247E"/>
    <w:rsid w:val="2CF42A2C"/>
    <w:rsid w:val="2D1547AA"/>
    <w:rsid w:val="2D1C0C8B"/>
    <w:rsid w:val="2D500625"/>
    <w:rsid w:val="2D511CF8"/>
    <w:rsid w:val="2D8E5DB3"/>
    <w:rsid w:val="2D9C231F"/>
    <w:rsid w:val="2D9F3C27"/>
    <w:rsid w:val="2DAB019F"/>
    <w:rsid w:val="2DB15F1B"/>
    <w:rsid w:val="2DE44B7D"/>
    <w:rsid w:val="2DE85A59"/>
    <w:rsid w:val="2DF50E32"/>
    <w:rsid w:val="2E00515D"/>
    <w:rsid w:val="2E153C96"/>
    <w:rsid w:val="2E1D043E"/>
    <w:rsid w:val="2E2C3CC9"/>
    <w:rsid w:val="2E2D39B2"/>
    <w:rsid w:val="2E3944DD"/>
    <w:rsid w:val="2E524DAC"/>
    <w:rsid w:val="2E553313"/>
    <w:rsid w:val="2E6C4C6B"/>
    <w:rsid w:val="2E760F81"/>
    <w:rsid w:val="2E7A64DB"/>
    <w:rsid w:val="2E7F0E45"/>
    <w:rsid w:val="2E816717"/>
    <w:rsid w:val="2EB774D0"/>
    <w:rsid w:val="2ED610D3"/>
    <w:rsid w:val="2ED62883"/>
    <w:rsid w:val="2EE04406"/>
    <w:rsid w:val="2EE461BC"/>
    <w:rsid w:val="2EE642AD"/>
    <w:rsid w:val="2EF9389F"/>
    <w:rsid w:val="2F05447E"/>
    <w:rsid w:val="2F3F6D21"/>
    <w:rsid w:val="2F427B64"/>
    <w:rsid w:val="2F4721A1"/>
    <w:rsid w:val="2F4F7689"/>
    <w:rsid w:val="2F7A7771"/>
    <w:rsid w:val="2F8B12A7"/>
    <w:rsid w:val="2F8E7570"/>
    <w:rsid w:val="2FA70B41"/>
    <w:rsid w:val="2FAE780E"/>
    <w:rsid w:val="2FEA61C6"/>
    <w:rsid w:val="2FF46A33"/>
    <w:rsid w:val="30164ACC"/>
    <w:rsid w:val="301746AE"/>
    <w:rsid w:val="301A510E"/>
    <w:rsid w:val="302C563C"/>
    <w:rsid w:val="30372F27"/>
    <w:rsid w:val="30446691"/>
    <w:rsid w:val="30536DA5"/>
    <w:rsid w:val="30555F0B"/>
    <w:rsid w:val="305B18F9"/>
    <w:rsid w:val="306675DB"/>
    <w:rsid w:val="306F4A5C"/>
    <w:rsid w:val="30704F1E"/>
    <w:rsid w:val="307F2BA9"/>
    <w:rsid w:val="30A12956"/>
    <w:rsid w:val="30AD21DC"/>
    <w:rsid w:val="30B74EB9"/>
    <w:rsid w:val="31130579"/>
    <w:rsid w:val="31150AF7"/>
    <w:rsid w:val="312977F5"/>
    <w:rsid w:val="3140510D"/>
    <w:rsid w:val="31490B16"/>
    <w:rsid w:val="31500AF0"/>
    <w:rsid w:val="31606BA9"/>
    <w:rsid w:val="317B5137"/>
    <w:rsid w:val="31864EB8"/>
    <w:rsid w:val="31B173FD"/>
    <w:rsid w:val="31B535AF"/>
    <w:rsid w:val="31EA44FA"/>
    <w:rsid w:val="31F304A6"/>
    <w:rsid w:val="32091243"/>
    <w:rsid w:val="32294765"/>
    <w:rsid w:val="32340DB8"/>
    <w:rsid w:val="327E7CD9"/>
    <w:rsid w:val="32B56E69"/>
    <w:rsid w:val="32F445A5"/>
    <w:rsid w:val="32FC5FC6"/>
    <w:rsid w:val="330F4401"/>
    <w:rsid w:val="331E1E02"/>
    <w:rsid w:val="33353215"/>
    <w:rsid w:val="33435036"/>
    <w:rsid w:val="33472431"/>
    <w:rsid w:val="335D7B29"/>
    <w:rsid w:val="33664FA1"/>
    <w:rsid w:val="336B0B61"/>
    <w:rsid w:val="338C3ABE"/>
    <w:rsid w:val="33A867A1"/>
    <w:rsid w:val="33BE0CB2"/>
    <w:rsid w:val="33C02706"/>
    <w:rsid w:val="33D21CA6"/>
    <w:rsid w:val="33D71E4A"/>
    <w:rsid w:val="33F133C2"/>
    <w:rsid w:val="33F943AC"/>
    <w:rsid w:val="34134822"/>
    <w:rsid w:val="341548E7"/>
    <w:rsid w:val="34251F8E"/>
    <w:rsid w:val="345A7961"/>
    <w:rsid w:val="347A05C3"/>
    <w:rsid w:val="347E5080"/>
    <w:rsid w:val="348D4D75"/>
    <w:rsid w:val="348E47AF"/>
    <w:rsid w:val="34902CE5"/>
    <w:rsid w:val="34965FFC"/>
    <w:rsid w:val="349E0792"/>
    <w:rsid w:val="34B475AD"/>
    <w:rsid w:val="34C1398D"/>
    <w:rsid w:val="34D33C1F"/>
    <w:rsid w:val="34DB71D0"/>
    <w:rsid w:val="34E077DE"/>
    <w:rsid w:val="34EB3FFA"/>
    <w:rsid w:val="351911D3"/>
    <w:rsid w:val="351C58FB"/>
    <w:rsid w:val="353A0493"/>
    <w:rsid w:val="35493147"/>
    <w:rsid w:val="35503AF2"/>
    <w:rsid w:val="35572F42"/>
    <w:rsid w:val="35597C68"/>
    <w:rsid w:val="35680A2A"/>
    <w:rsid w:val="35682CA4"/>
    <w:rsid w:val="356E5C0E"/>
    <w:rsid w:val="357375C4"/>
    <w:rsid w:val="357A743D"/>
    <w:rsid w:val="3583008C"/>
    <w:rsid w:val="35832558"/>
    <w:rsid w:val="358B52B4"/>
    <w:rsid w:val="358C5898"/>
    <w:rsid w:val="35990A65"/>
    <w:rsid w:val="359D6299"/>
    <w:rsid w:val="35A6171B"/>
    <w:rsid w:val="35A82F5F"/>
    <w:rsid w:val="35B603F5"/>
    <w:rsid w:val="35CC2089"/>
    <w:rsid w:val="35EF1F65"/>
    <w:rsid w:val="35EF4E9F"/>
    <w:rsid w:val="36011B96"/>
    <w:rsid w:val="360D3064"/>
    <w:rsid w:val="3652616D"/>
    <w:rsid w:val="366046B9"/>
    <w:rsid w:val="366135C0"/>
    <w:rsid w:val="366A5627"/>
    <w:rsid w:val="36710AA2"/>
    <w:rsid w:val="36AC26B2"/>
    <w:rsid w:val="36C81B5B"/>
    <w:rsid w:val="36C913B4"/>
    <w:rsid w:val="36CA4796"/>
    <w:rsid w:val="36D305E5"/>
    <w:rsid w:val="36EA7FF2"/>
    <w:rsid w:val="37017235"/>
    <w:rsid w:val="37384DFD"/>
    <w:rsid w:val="373D169F"/>
    <w:rsid w:val="374E143A"/>
    <w:rsid w:val="375145A6"/>
    <w:rsid w:val="37522485"/>
    <w:rsid w:val="37613C52"/>
    <w:rsid w:val="37673A15"/>
    <w:rsid w:val="376F2885"/>
    <w:rsid w:val="377835C6"/>
    <w:rsid w:val="37DD1744"/>
    <w:rsid w:val="37EF202C"/>
    <w:rsid w:val="37F25243"/>
    <w:rsid w:val="37F863E1"/>
    <w:rsid w:val="380255AF"/>
    <w:rsid w:val="38333626"/>
    <w:rsid w:val="384E441A"/>
    <w:rsid w:val="38506C2F"/>
    <w:rsid w:val="38803B23"/>
    <w:rsid w:val="38877CF7"/>
    <w:rsid w:val="38961914"/>
    <w:rsid w:val="38AF3010"/>
    <w:rsid w:val="38D822E9"/>
    <w:rsid w:val="38DD6A3B"/>
    <w:rsid w:val="38E03474"/>
    <w:rsid w:val="38E2286A"/>
    <w:rsid w:val="38E32D4B"/>
    <w:rsid w:val="38E94228"/>
    <w:rsid w:val="38F60FC8"/>
    <w:rsid w:val="39051B96"/>
    <w:rsid w:val="39090EB2"/>
    <w:rsid w:val="390A09B4"/>
    <w:rsid w:val="390B2C76"/>
    <w:rsid w:val="391644FB"/>
    <w:rsid w:val="39257351"/>
    <w:rsid w:val="392F0F3D"/>
    <w:rsid w:val="39322F95"/>
    <w:rsid w:val="39430A5E"/>
    <w:rsid w:val="394B4EDC"/>
    <w:rsid w:val="395C3AA9"/>
    <w:rsid w:val="39602F23"/>
    <w:rsid w:val="396B1563"/>
    <w:rsid w:val="396B58C4"/>
    <w:rsid w:val="3978390F"/>
    <w:rsid w:val="397B0BB4"/>
    <w:rsid w:val="399B3376"/>
    <w:rsid w:val="39A64195"/>
    <w:rsid w:val="39AE72B7"/>
    <w:rsid w:val="39AF1465"/>
    <w:rsid w:val="39C04E20"/>
    <w:rsid w:val="39CA3463"/>
    <w:rsid w:val="39CF6662"/>
    <w:rsid w:val="39E80849"/>
    <w:rsid w:val="39F2252B"/>
    <w:rsid w:val="3A0E5A41"/>
    <w:rsid w:val="3A2175BE"/>
    <w:rsid w:val="3A2436D1"/>
    <w:rsid w:val="3A2A7F00"/>
    <w:rsid w:val="3A593D19"/>
    <w:rsid w:val="3A6A27D7"/>
    <w:rsid w:val="3A7C7AC5"/>
    <w:rsid w:val="3ABC09E4"/>
    <w:rsid w:val="3AC407C9"/>
    <w:rsid w:val="3AD724F9"/>
    <w:rsid w:val="3ADD1A06"/>
    <w:rsid w:val="3AE20815"/>
    <w:rsid w:val="3AF06CC1"/>
    <w:rsid w:val="3B0E3E73"/>
    <w:rsid w:val="3B183E18"/>
    <w:rsid w:val="3B215631"/>
    <w:rsid w:val="3B2D6711"/>
    <w:rsid w:val="3B3D6FE2"/>
    <w:rsid w:val="3B4262F3"/>
    <w:rsid w:val="3B4A6727"/>
    <w:rsid w:val="3B51309B"/>
    <w:rsid w:val="3B883403"/>
    <w:rsid w:val="3B954F85"/>
    <w:rsid w:val="3B9C0E95"/>
    <w:rsid w:val="3BA96A60"/>
    <w:rsid w:val="3BBD0AD4"/>
    <w:rsid w:val="3BFE5D03"/>
    <w:rsid w:val="3C0248C3"/>
    <w:rsid w:val="3C072215"/>
    <w:rsid w:val="3C167592"/>
    <w:rsid w:val="3C170EB9"/>
    <w:rsid w:val="3C250799"/>
    <w:rsid w:val="3C276162"/>
    <w:rsid w:val="3C2B1BD6"/>
    <w:rsid w:val="3C2C17DF"/>
    <w:rsid w:val="3C396A58"/>
    <w:rsid w:val="3C577B7C"/>
    <w:rsid w:val="3C663D83"/>
    <w:rsid w:val="3C714A0F"/>
    <w:rsid w:val="3C762FBC"/>
    <w:rsid w:val="3C9108DC"/>
    <w:rsid w:val="3CA427D7"/>
    <w:rsid w:val="3CA431D4"/>
    <w:rsid w:val="3CA86B29"/>
    <w:rsid w:val="3CAC710F"/>
    <w:rsid w:val="3CBD03A6"/>
    <w:rsid w:val="3CBE05CE"/>
    <w:rsid w:val="3CDC27C9"/>
    <w:rsid w:val="3CE068D8"/>
    <w:rsid w:val="3CF21AEE"/>
    <w:rsid w:val="3D0A22D5"/>
    <w:rsid w:val="3D0B5F2D"/>
    <w:rsid w:val="3D114B5C"/>
    <w:rsid w:val="3D193B16"/>
    <w:rsid w:val="3D3F2810"/>
    <w:rsid w:val="3D484D37"/>
    <w:rsid w:val="3D495DF7"/>
    <w:rsid w:val="3D851633"/>
    <w:rsid w:val="3D875BB8"/>
    <w:rsid w:val="3D8E5117"/>
    <w:rsid w:val="3DBF1661"/>
    <w:rsid w:val="3E051FCE"/>
    <w:rsid w:val="3E1756B6"/>
    <w:rsid w:val="3E1920C0"/>
    <w:rsid w:val="3E2048C2"/>
    <w:rsid w:val="3E28471D"/>
    <w:rsid w:val="3E2B3728"/>
    <w:rsid w:val="3E42659A"/>
    <w:rsid w:val="3E4C632F"/>
    <w:rsid w:val="3E5E3BF8"/>
    <w:rsid w:val="3E5F70CE"/>
    <w:rsid w:val="3E610DA9"/>
    <w:rsid w:val="3E645172"/>
    <w:rsid w:val="3E701062"/>
    <w:rsid w:val="3E77442B"/>
    <w:rsid w:val="3EAC39B4"/>
    <w:rsid w:val="3EB07A9E"/>
    <w:rsid w:val="3EC11BF7"/>
    <w:rsid w:val="3EF169DA"/>
    <w:rsid w:val="3EF93089"/>
    <w:rsid w:val="3F0E4239"/>
    <w:rsid w:val="3F127531"/>
    <w:rsid w:val="3F2B4E96"/>
    <w:rsid w:val="3F3A7BF4"/>
    <w:rsid w:val="3F507482"/>
    <w:rsid w:val="3F5661ED"/>
    <w:rsid w:val="3F5C181E"/>
    <w:rsid w:val="3F6263C0"/>
    <w:rsid w:val="3F700303"/>
    <w:rsid w:val="3F755AF4"/>
    <w:rsid w:val="3F7A035D"/>
    <w:rsid w:val="3F7A4AAC"/>
    <w:rsid w:val="3F7F2AED"/>
    <w:rsid w:val="3F8568C6"/>
    <w:rsid w:val="3F895D56"/>
    <w:rsid w:val="3FAB5645"/>
    <w:rsid w:val="3FAF7F99"/>
    <w:rsid w:val="3FBE325D"/>
    <w:rsid w:val="3FC24EFB"/>
    <w:rsid w:val="3FC42D5D"/>
    <w:rsid w:val="3FC470DF"/>
    <w:rsid w:val="3FDD44BD"/>
    <w:rsid w:val="3FEA65C7"/>
    <w:rsid w:val="3FEE70B9"/>
    <w:rsid w:val="40071754"/>
    <w:rsid w:val="4016105A"/>
    <w:rsid w:val="40507088"/>
    <w:rsid w:val="40511B29"/>
    <w:rsid w:val="40525CFA"/>
    <w:rsid w:val="405666DE"/>
    <w:rsid w:val="405A164D"/>
    <w:rsid w:val="405A2653"/>
    <w:rsid w:val="40622EEA"/>
    <w:rsid w:val="407D09B4"/>
    <w:rsid w:val="40892F96"/>
    <w:rsid w:val="408E1F25"/>
    <w:rsid w:val="409D774F"/>
    <w:rsid w:val="40A22DA0"/>
    <w:rsid w:val="40A354E5"/>
    <w:rsid w:val="40B03322"/>
    <w:rsid w:val="40C444B5"/>
    <w:rsid w:val="4109777D"/>
    <w:rsid w:val="411F6223"/>
    <w:rsid w:val="41390C96"/>
    <w:rsid w:val="413B683F"/>
    <w:rsid w:val="41466C95"/>
    <w:rsid w:val="414B6987"/>
    <w:rsid w:val="4158647C"/>
    <w:rsid w:val="416B0B98"/>
    <w:rsid w:val="4175321B"/>
    <w:rsid w:val="418F78FA"/>
    <w:rsid w:val="4195768D"/>
    <w:rsid w:val="41A605D0"/>
    <w:rsid w:val="41CA3305"/>
    <w:rsid w:val="41CC6A6E"/>
    <w:rsid w:val="41D46746"/>
    <w:rsid w:val="41E50241"/>
    <w:rsid w:val="41ED6B4B"/>
    <w:rsid w:val="42065175"/>
    <w:rsid w:val="42203DE5"/>
    <w:rsid w:val="422C1AAB"/>
    <w:rsid w:val="423339AE"/>
    <w:rsid w:val="42400071"/>
    <w:rsid w:val="42623E1B"/>
    <w:rsid w:val="4268464F"/>
    <w:rsid w:val="42702AE2"/>
    <w:rsid w:val="427A3AB6"/>
    <w:rsid w:val="427B2568"/>
    <w:rsid w:val="427B6090"/>
    <w:rsid w:val="42834CBC"/>
    <w:rsid w:val="428A5209"/>
    <w:rsid w:val="42A32E9D"/>
    <w:rsid w:val="42A37451"/>
    <w:rsid w:val="42AA632B"/>
    <w:rsid w:val="42AE7F37"/>
    <w:rsid w:val="42B0448A"/>
    <w:rsid w:val="42B9327D"/>
    <w:rsid w:val="42CC28E0"/>
    <w:rsid w:val="42D149E4"/>
    <w:rsid w:val="42D50323"/>
    <w:rsid w:val="43037BB1"/>
    <w:rsid w:val="4308583C"/>
    <w:rsid w:val="433E40E3"/>
    <w:rsid w:val="434C25F0"/>
    <w:rsid w:val="434D4AE8"/>
    <w:rsid w:val="43512BF1"/>
    <w:rsid w:val="435448CE"/>
    <w:rsid w:val="43572820"/>
    <w:rsid w:val="43633FF9"/>
    <w:rsid w:val="436B0A40"/>
    <w:rsid w:val="43715519"/>
    <w:rsid w:val="437B5074"/>
    <w:rsid w:val="437E400B"/>
    <w:rsid w:val="43993698"/>
    <w:rsid w:val="43B31196"/>
    <w:rsid w:val="43BB720C"/>
    <w:rsid w:val="43BC335F"/>
    <w:rsid w:val="43C92B32"/>
    <w:rsid w:val="43EB7ACC"/>
    <w:rsid w:val="43FC1AB4"/>
    <w:rsid w:val="442A1993"/>
    <w:rsid w:val="442C42E7"/>
    <w:rsid w:val="442F4C28"/>
    <w:rsid w:val="44402F95"/>
    <w:rsid w:val="44497F08"/>
    <w:rsid w:val="445D6BF8"/>
    <w:rsid w:val="445E049E"/>
    <w:rsid w:val="447D407D"/>
    <w:rsid w:val="448A0E5D"/>
    <w:rsid w:val="449D45F7"/>
    <w:rsid w:val="44A435AA"/>
    <w:rsid w:val="44A872EC"/>
    <w:rsid w:val="44A91136"/>
    <w:rsid w:val="44C07EB7"/>
    <w:rsid w:val="44C41CD0"/>
    <w:rsid w:val="44EB55BF"/>
    <w:rsid w:val="4516216D"/>
    <w:rsid w:val="451F0B3D"/>
    <w:rsid w:val="452A57C8"/>
    <w:rsid w:val="452D2698"/>
    <w:rsid w:val="453B2E34"/>
    <w:rsid w:val="454E3658"/>
    <w:rsid w:val="45836B41"/>
    <w:rsid w:val="45A87057"/>
    <w:rsid w:val="45BA3A93"/>
    <w:rsid w:val="45D32B9D"/>
    <w:rsid w:val="45D51F09"/>
    <w:rsid w:val="45E335B5"/>
    <w:rsid w:val="46072FDC"/>
    <w:rsid w:val="460B44C8"/>
    <w:rsid w:val="46136A51"/>
    <w:rsid w:val="46144FA7"/>
    <w:rsid w:val="461F3C01"/>
    <w:rsid w:val="46222FA9"/>
    <w:rsid w:val="462D4AD7"/>
    <w:rsid w:val="463E6D3E"/>
    <w:rsid w:val="46566AA9"/>
    <w:rsid w:val="46661558"/>
    <w:rsid w:val="466A3548"/>
    <w:rsid w:val="466C4AED"/>
    <w:rsid w:val="46967F5B"/>
    <w:rsid w:val="46975526"/>
    <w:rsid w:val="46B05B1F"/>
    <w:rsid w:val="46B35E11"/>
    <w:rsid w:val="46BA27BC"/>
    <w:rsid w:val="46BC6770"/>
    <w:rsid w:val="46CF7E90"/>
    <w:rsid w:val="46D13DB8"/>
    <w:rsid w:val="47240834"/>
    <w:rsid w:val="47402E2D"/>
    <w:rsid w:val="47546CCD"/>
    <w:rsid w:val="475567CD"/>
    <w:rsid w:val="475B3DA3"/>
    <w:rsid w:val="478039D4"/>
    <w:rsid w:val="479E642E"/>
    <w:rsid w:val="47A20A59"/>
    <w:rsid w:val="47B5458F"/>
    <w:rsid w:val="47B975D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936FC5"/>
    <w:rsid w:val="489414DE"/>
    <w:rsid w:val="48A61185"/>
    <w:rsid w:val="48A94A29"/>
    <w:rsid w:val="48C34DDE"/>
    <w:rsid w:val="48D17B15"/>
    <w:rsid w:val="48F814A8"/>
    <w:rsid w:val="491171A1"/>
    <w:rsid w:val="4927647B"/>
    <w:rsid w:val="492C5797"/>
    <w:rsid w:val="495013A9"/>
    <w:rsid w:val="495F48E7"/>
    <w:rsid w:val="49804F41"/>
    <w:rsid w:val="49852AB4"/>
    <w:rsid w:val="499C2D6D"/>
    <w:rsid w:val="49BF7880"/>
    <w:rsid w:val="49C82B49"/>
    <w:rsid w:val="49C91D55"/>
    <w:rsid w:val="49D56C49"/>
    <w:rsid w:val="49D855C7"/>
    <w:rsid w:val="49EC4258"/>
    <w:rsid w:val="49F80512"/>
    <w:rsid w:val="4A0343FD"/>
    <w:rsid w:val="4A0F0E08"/>
    <w:rsid w:val="4A21436D"/>
    <w:rsid w:val="4A263F01"/>
    <w:rsid w:val="4A4658CB"/>
    <w:rsid w:val="4A4C1CC9"/>
    <w:rsid w:val="4A7F1D52"/>
    <w:rsid w:val="4A854E3F"/>
    <w:rsid w:val="4AAB146E"/>
    <w:rsid w:val="4AED724C"/>
    <w:rsid w:val="4AF850BA"/>
    <w:rsid w:val="4AFB4F34"/>
    <w:rsid w:val="4B0B3AEE"/>
    <w:rsid w:val="4B130467"/>
    <w:rsid w:val="4B1338CC"/>
    <w:rsid w:val="4B172B12"/>
    <w:rsid w:val="4B262EBA"/>
    <w:rsid w:val="4B3F1EC7"/>
    <w:rsid w:val="4B531F8D"/>
    <w:rsid w:val="4B662E8B"/>
    <w:rsid w:val="4B82772E"/>
    <w:rsid w:val="4B8D450C"/>
    <w:rsid w:val="4B943B21"/>
    <w:rsid w:val="4BAB096B"/>
    <w:rsid w:val="4BAF7E06"/>
    <w:rsid w:val="4BBB3716"/>
    <w:rsid w:val="4BC23E1F"/>
    <w:rsid w:val="4BCA1C35"/>
    <w:rsid w:val="4BCD39B7"/>
    <w:rsid w:val="4BD46636"/>
    <w:rsid w:val="4BEE45CB"/>
    <w:rsid w:val="4C082496"/>
    <w:rsid w:val="4C08678F"/>
    <w:rsid w:val="4C1B5AC4"/>
    <w:rsid w:val="4C2E3A2C"/>
    <w:rsid w:val="4C396B73"/>
    <w:rsid w:val="4C426781"/>
    <w:rsid w:val="4C4C5496"/>
    <w:rsid w:val="4C6A1CEF"/>
    <w:rsid w:val="4C6C3432"/>
    <w:rsid w:val="4C854697"/>
    <w:rsid w:val="4C8C21FB"/>
    <w:rsid w:val="4C907331"/>
    <w:rsid w:val="4C9D08B4"/>
    <w:rsid w:val="4CA66198"/>
    <w:rsid w:val="4CAA102F"/>
    <w:rsid w:val="4CB14655"/>
    <w:rsid w:val="4CB33E17"/>
    <w:rsid w:val="4CC80B92"/>
    <w:rsid w:val="4CC92C3A"/>
    <w:rsid w:val="4CE01489"/>
    <w:rsid w:val="4CEB74B6"/>
    <w:rsid w:val="4CF50A59"/>
    <w:rsid w:val="4CF8202F"/>
    <w:rsid w:val="4CFD4AAA"/>
    <w:rsid w:val="4D182801"/>
    <w:rsid w:val="4D1836FB"/>
    <w:rsid w:val="4D533AAF"/>
    <w:rsid w:val="4D79073E"/>
    <w:rsid w:val="4D7B0185"/>
    <w:rsid w:val="4D9D1E9B"/>
    <w:rsid w:val="4D9D560B"/>
    <w:rsid w:val="4D9E34B9"/>
    <w:rsid w:val="4DAC7F99"/>
    <w:rsid w:val="4DBF6851"/>
    <w:rsid w:val="4DC90683"/>
    <w:rsid w:val="4DC94ACF"/>
    <w:rsid w:val="4DE047C5"/>
    <w:rsid w:val="4DE54991"/>
    <w:rsid w:val="4DF05258"/>
    <w:rsid w:val="4E252D2A"/>
    <w:rsid w:val="4E2B4904"/>
    <w:rsid w:val="4E2F56A2"/>
    <w:rsid w:val="4E3F795C"/>
    <w:rsid w:val="4E40707C"/>
    <w:rsid w:val="4E42373A"/>
    <w:rsid w:val="4E507D99"/>
    <w:rsid w:val="4E866E0A"/>
    <w:rsid w:val="4E8D2056"/>
    <w:rsid w:val="4EBB286E"/>
    <w:rsid w:val="4ECF5C98"/>
    <w:rsid w:val="4ED21F42"/>
    <w:rsid w:val="4EE07940"/>
    <w:rsid w:val="4EF647A8"/>
    <w:rsid w:val="4F0040A4"/>
    <w:rsid w:val="4F093E78"/>
    <w:rsid w:val="4F1D2082"/>
    <w:rsid w:val="4F1E444B"/>
    <w:rsid w:val="4F280A7B"/>
    <w:rsid w:val="4F2B223C"/>
    <w:rsid w:val="4F2C416E"/>
    <w:rsid w:val="4F3B0396"/>
    <w:rsid w:val="4F4D0E89"/>
    <w:rsid w:val="4F5464CE"/>
    <w:rsid w:val="4F55307E"/>
    <w:rsid w:val="4F6F5219"/>
    <w:rsid w:val="4F8E4B27"/>
    <w:rsid w:val="4F907AA4"/>
    <w:rsid w:val="4FA60918"/>
    <w:rsid w:val="4FB476B5"/>
    <w:rsid w:val="4FBC4BF4"/>
    <w:rsid w:val="4FBF5C03"/>
    <w:rsid w:val="4FD65B1E"/>
    <w:rsid w:val="4FDF015D"/>
    <w:rsid w:val="50051405"/>
    <w:rsid w:val="500832F8"/>
    <w:rsid w:val="501136F0"/>
    <w:rsid w:val="502256AD"/>
    <w:rsid w:val="504215FA"/>
    <w:rsid w:val="50451DB7"/>
    <w:rsid w:val="504B791D"/>
    <w:rsid w:val="5051105B"/>
    <w:rsid w:val="506E5C81"/>
    <w:rsid w:val="508F60CA"/>
    <w:rsid w:val="50981162"/>
    <w:rsid w:val="50BC7B28"/>
    <w:rsid w:val="50C06385"/>
    <w:rsid w:val="50CE6418"/>
    <w:rsid w:val="50D40BCA"/>
    <w:rsid w:val="50D70E9D"/>
    <w:rsid w:val="50F35D93"/>
    <w:rsid w:val="50FA44CD"/>
    <w:rsid w:val="510036F5"/>
    <w:rsid w:val="5105303B"/>
    <w:rsid w:val="51114085"/>
    <w:rsid w:val="511216F1"/>
    <w:rsid w:val="512A1CE3"/>
    <w:rsid w:val="513B5867"/>
    <w:rsid w:val="514516F1"/>
    <w:rsid w:val="514D2E84"/>
    <w:rsid w:val="51545650"/>
    <w:rsid w:val="516E7D73"/>
    <w:rsid w:val="5180209A"/>
    <w:rsid w:val="51870AAC"/>
    <w:rsid w:val="51897721"/>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3336AAE"/>
    <w:rsid w:val="533A136C"/>
    <w:rsid w:val="53480B19"/>
    <w:rsid w:val="5355264E"/>
    <w:rsid w:val="535F2BBA"/>
    <w:rsid w:val="537C67BA"/>
    <w:rsid w:val="53A62161"/>
    <w:rsid w:val="53AF337A"/>
    <w:rsid w:val="53B26284"/>
    <w:rsid w:val="53B759F4"/>
    <w:rsid w:val="53B82303"/>
    <w:rsid w:val="53D225A4"/>
    <w:rsid w:val="53DF4479"/>
    <w:rsid w:val="53FB0190"/>
    <w:rsid w:val="54157C9B"/>
    <w:rsid w:val="54186AD3"/>
    <w:rsid w:val="54371F77"/>
    <w:rsid w:val="543B112A"/>
    <w:rsid w:val="544A4D29"/>
    <w:rsid w:val="54547B86"/>
    <w:rsid w:val="545E0121"/>
    <w:rsid w:val="546A3396"/>
    <w:rsid w:val="54760B52"/>
    <w:rsid w:val="5481317B"/>
    <w:rsid w:val="5494027A"/>
    <w:rsid w:val="54A159E1"/>
    <w:rsid w:val="54A21918"/>
    <w:rsid w:val="54AA76FF"/>
    <w:rsid w:val="54B92F65"/>
    <w:rsid w:val="54BA746C"/>
    <w:rsid w:val="54DA00AC"/>
    <w:rsid w:val="54DE5937"/>
    <w:rsid w:val="54E05AE9"/>
    <w:rsid w:val="54E82ECC"/>
    <w:rsid w:val="54FB3C17"/>
    <w:rsid w:val="55220DA5"/>
    <w:rsid w:val="55272CCA"/>
    <w:rsid w:val="552B579B"/>
    <w:rsid w:val="553C1274"/>
    <w:rsid w:val="553E76D4"/>
    <w:rsid w:val="55487F01"/>
    <w:rsid w:val="555948DC"/>
    <w:rsid w:val="555C6E60"/>
    <w:rsid w:val="556B7BE3"/>
    <w:rsid w:val="556E398A"/>
    <w:rsid w:val="558114B8"/>
    <w:rsid w:val="55813D78"/>
    <w:rsid w:val="558624E1"/>
    <w:rsid w:val="559006F0"/>
    <w:rsid w:val="55910F8E"/>
    <w:rsid w:val="55AB500F"/>
    <w:rsid w:val="55B256C0"/>
    <w:rsid w:val="55C73811"/>
    <w:rsid w:val="55DF79E5"/>
    <w:rsid w:val="5611384C"/>
    <w:rsid w:val="561B28DD"/>
    <w:rsid w:val="561D05FE"/>
    <w:rsid w:val="5635520A"/>
    <w:rsid w:val="5646709B"/>
    <w:rsid w:val="564846E1"/>
    <w:rsid w:val="566056C5"/>
    <w:rsid w:val="56641FF0"/>
    <w:rsid w:val="566C0CDE"/>
    <w:rsid w:val="56705FB3"/>
    <w:rsid w:val="567809C3"/>
    <w:rsid w:val="567F34E2"/>
    <w:rsid w:val="56840D14"/>
    <w:rsid w:val="568868CC"/>
    <w:rsid w:val="56933527"/>
    <w:rsid w:val="569644F9"/>
    <w:rsid w:val="56994311"/>
    <w:rsid w:val="569C4AD4"/>
    <w:rsid w:val="56A90562"/>
    <w:rsid w:val="56AD325A"/>
    <w:rsid w:val="56AD47B1"/>
    <w:rsid w:val="56B913AD"/>
    <w:rsid w:val="56DA0859"/>
    <w:rsid w:val="56DC35DD"/>
    <w:rsid w:val="56DC7A2E"/>
    <w:rsid w:val="56E17318"/>
    <w:rsid w:val="56E524FD"/>
    <w:rsid w:val="56FD590E"/>
    <w:rsid w:val="56FE257B"/>
    <w:rsid w:val="57036880"/>
    <w:rsid w:val="57070AD0"/>
    <w:rsid w:val="57305E26"/>
    <w:rsid w:val="57314C5A"/>
    <w:rsid w:val="574A5794"/>
    <w:rsid w:val="575A261C"/>
    <w:rsid w:val="575B631B"/>
    <w:rsid w:val="57A6426A"/>
    <w:rsid w:val="57A6656F"/>
    <w:rsid w:val="57D909D8"/>
    <w:rsid w:val="57E01724"/>
    <w:rsid w:val="57F307C1"/>
    <w:rsid w:val="57FA2BAA"/>
    <w:rsid w:val="57FA43F1"/>
    <w:rsid w:val="580162E5"/>
    <w:rsid w:val="58041F34"/>
    <w:rsid w:val="58140076"/>
    <w:rsid w:val="5815497A"/>
    <w:rsid w:val="581C6799"/>
    <w:rsid w:val="58275033"/>
    <w:rsid w:val="58327181"/>
    <w:rsid w:val="585D149C"/>
    <w:rsid w:val="586621B6"/>
    <w:rsid w:val="58704048"/>
    <w:rsid w:val="5889335C"/>
    <w:rsid w:val="589C683B"/>
    <w:rsid w:val="58B9588A"/>
    <w:rsid w:val="58BF6D7E"/>
    <w:rsid w:val="58C14572"/>
    <w:rsid w:val="58C73AD7"/>
    <w:rsid w:val="58CD7612"/>
    <w:rsid w:val="58DA2920"/>
    <w:rsid w:val="58F020A3"/>
    <w:rsid w:val="58FB332B"/>
    <w:rsid w:val="592C7D58"/>
    <w:rsid w:val="5932494B"/>
    <w:rsid w:val="59417078"/>
    <w:rsid w:val="59540A82"/>
    <w:rsid w:val="59594578"/>
    <w:rsid w:val="595D3F1E"/>
    <w:rsid w:val="59631729"/>
    <w:rsid w:val="598A7A09"/>
    <w:rsid w:val="59A65848"/>
    <w:rsid w:val="59B33075"/>
    <w:rsid w:val="59B63D96"/>
    <w:rsid w:val="59BA54BF"/>
    <w:rsid w:val="59C13ED2"/>
    <w:rsid w:val="59D464C0"/>
    <w:rsid w:val="59D979CB"/>
    <w:rsid w:val="59E31A85"/>
    <w:rsid w:val="59E6253A"/>
    <w:rsid w:val="59E7033F"/>
    <w:rsid w:val="5A0354F7"/>
    <w:rsid w:val="5A1E5359"/>
    <w:rsid w:val="5A291824"/>
    <w:rsid w:val="5A344ECC"/>
    <w:rsid w:val="5A390B46"/>
    <w:rsid w:val="5A492723"/>
    <w:rsid w:val="5A5D74BC"/>
    <w:rsid w:val="5A7C5C8F"/>
    <w:rsid w:val="5A821E11"/>
    <w:rsid w:val="5A90403D"/>
    <w:rsid w:val="5A9D71ED"/>
    <w:rsid w:val="5AA2571A"/>
    <w:rsid w:val="5AB04EDE"/>
    <w:rsid w:val="5AC64C86"/>
    <w:rsid w:val="5ACF4A76"/>
    <w:rsid w:val="5AD51064"/>
    <w:rsid w:val="5ADE295C"/>
    <w:rsid w:val="5AEC407C"/>
    <w:rsid w:val="5AF8170C"/>
    <w:rsid w:val="5B05555C"/>
    <w:rsid w:val="5B1649CC"/>
    <w:rsid w:val="5B173F22"/>
    <w:rsid w:val="5B244DD8"/>
    <w:rsid w:val="5B2717CA"/>
    <w:rsid w:val="5B295890"/>
    <w:rsid w:val="5B2E4556"/>
    <w:rsid w:val="5B3879B9"/>
    <w:rsid w:val="5B436EF0"/>
    <w:rsid w:val="5B4D2B80"/>
    <w:rsid w:val="5B550806"/>
    <w:rsid w:val="5B5B5DE2"/>
    <w:rsid w:val="5B893F6C"/>
    <w:rsid w:val="5B9D4333"/>
    <w:rsid w:val="5B9F1B41"/>
    <w:rsid w:val="5BA37F28"/>
    <w:rsid w:val="5BAE24A8"/>
    <w:rsid w:val="5BB117B1"/>
    <w:rsid w:val="5BC51BF0"/>
    <w:rsid w:val="5BCF26D8"/>
    <w:rsid w:val="5C0B7CEE"/>
    <w:rsid w:val="5C44015E"/>
    <w:rsid w:val="5C4D41F0"/>
    <w:rsid w:val="5C554BC5"/>
    <w:rsid w:val="5C7D3D43"/>
    <w:rsid w:val="5C882C4F"/>
    <w:rsid w:val="5C8962BA"/>
    <w:rsid w:val="5CA1100D"/>
    <w:rsid w:val="5CA70B0A"/>
    <w:rsid w:val="5CBD523A"/>
    <w:rsid w:val="5CCD31A9"/>
    <w:rsid w:val="5CD2475E"/>
    <w:rsid w:val="5CF86CAE"/>
    <w:rsid w:val="5CFB4CC5"/>
    <w:rsid w:val="5D0B3776"/>
    <w:rsid w:val="5D443020"/>
    <w:rsid w:val="5D47572E"/>
    <w:rsid w:val="5D485FD5"/>
    <w:rsid w:val="5D487E79"/>
    <w:rsid w:val="5D516A2D"/>
    <w:rsid w:val="5D65410C"/>
    <w:rsid w:val="5D69549F"/>
    <w:rsid w:val="5D6C5E39"/>
    <w:rsid w:val="5D71281A"/>
    <w:rsid w:val="5D7D662C"/>
    <w:rsid w:val="5D8251D7"/>
    <w:rsid w:val="5D954FBB"/>
    <w:rsid w:val="5D9C58DF"/>
    <w:rsid w:val="5DA40524"/>
    <w:rsid w:val="5DE847B7"/>
    <w:rsid w:val="5E0779FA"/>
    <w:rsid w:val="5E1D5BB1"/>
    <w:rsid w:val="5E1D5F77"/>
    <w:rsid w:val="5E234035"/>
    <w:rsid w:val="5E2911D4"/>
    <w:rsid w:val="5E4F7B9F"/>
    <w:rsid w:val="5E5D1A5A"/>
    <w:rsid w:val="5E681E82"/>
    <w:rsid w:val="5E751A3D"/>
    <w:rsid w:val="5E7762CF"/>
    <w:rsid w:val="5E8460C1"/>
    <w:rsid w:val="5E8F5931"/>
    <w:rsid w:val="5EBF574D"/>
    <w:rsid w:val="5EC45616"/>
    <w:rsid w:val="5EC9135A"/>
    <w:rsid w:val="5ED14E5B"/>
    <w:rsid w:val="5EF04B7B"/>
    <w:rsid w:val="5EFF3DE0"/>
    <w:rsid w:val="5F007B24"/>
    <w:rsid w:val="5F106EAF"/>
    <w:rsid w:val="5F283CA5"/>
    <w:rsid w:val="5F305F32"/>
    <w:rsid w:val="5F425A26"/>
    <w:rsid w:val="5F4E3CB5"/>
    <w:rsid w:val="5F5F1359"/>
    <w:rsid w:val="5F77646A"/>
    <w:rsid w:val="5F7D1E64"/>
    <w:rsid w:val="5F9374D0"/>
    <w:rsid w:val="5FDA48B5"/>
    <w:rsid w:val="5FE25384"/>
    <w:rsid w:val="5FE875BC"/>
    <w:rsid w:val="60671E65"/>
    <w:rsid w:val="607562A7"/>
    <w:rsid w:val="608664A5"/>
    <w:rsid w:val="608C7B28"/>
    <w:rsid w:val="608F41F2"/>
    <w:rsid w:val="609D79A4"/>
    <w:rsid w:val="609E6925"/>
    <w:rsid w:val="60BA77CD"/>
    <w:rsid w:val="60C63F24"/>
    <w:rsid w:val="60CA2B58"/>
    <w:rsid w:val="60F80C2F"/>
    <w:rsid w:val="613468C2"/>
    <w:rsid w:val="613A48D5"/>
    <w:rsid w:val="6148597A"/>
    <w:rsid w:val="61487E7F"/>
    <w:rsid w:val="614C09D8"/>
    <w:rsid w:val="614C4BCD"/>
    <w:rsid w:val="614F6149"/>
    <w:rsid w:val="61572E4F"/>
    <w:rsid w:val="616128EC"/>
    <w:rsid w:val="61622F82"/>
    <w:rsid w:val="616720C6"/>
    <w:rsid w:val="61725619"/>
    <w:rsid w:val="617E294F"/>
    <w:rsid w:val="618649E8"/>
    <w:rsid w:val="61885A46"/>
    <w:rsid w:val="619104F5"/>
    <w:rsid w:val="61AB7C65"/>
    <w:rsid w:val="61C3512C"/>
    <w:rsid w:val="61D14043"/>
    <w:rsid w:val="61DB7979"/>
    <w:rsid w:val="62073433"/>
    <w:rsid w:val="620B3059"/>
    <w:rsid w:val="620D753C"/>
    <w:rsid w:val="62181D46"/>
    <w:rsid w:val="622D6B06"/>
    <w:rsid w:val="62393632"/>
    <w:rsid w:val="62641930"/>
    <w:rsid w:val="626B7791"/>
    <w:rsid w:val="62721747"/>
    <w:rsid w:val="6277079A"/>
    <w:rsid w:val="627F39D6"/>
    <w:rsid w:val="628762A4"/>
    <w:rsid w:val="628C2933"/>
    <w:rsid w:val="628C4312"/>
    <w:rsid w:val="629D5670"/>
    <w:rsid w:val="62AB1D8D"/>
    <w:rsid w:val="62AE0E01"/>
    <w:rsid w:val="62C42917"/>
    <w:rsid w:val="62D9309F"/>
    <w:rsid w:val="62DE5A92"/>
    <w:rsid w:val="62E73481"/>
    <w:rsid w:val="62ED42C9"/>
    <w:rsid w:val="62F0419C"/>
    <w:rsid w:val="62FA55D0"/>
    <w:rsid w:val="630D7CD1"/>
    <w:rsid w:val="631A7E52"/>
    <w:rsid w:val="63234C0F"/>
    <w:rsid w:val="634B4DB7"/>
    <w:rsid w:val="634C01CF"/>
    <w:rsid w:val="635665B8"/>
    <w:rsid w:val="63693B8C"/>
    <w:rsid w:val="637A72AA"/>
    <w:rsid w:val="63A83A82"/>
    <w:rsid w:val="63CB3622"/>
    <w:rsid w:val="63D600F2"/>
    <w:rsid w:val="63E31E9D"/>
    <w:rsid w:val="640434E5"/>
    <w:rsid w:val="64185C22"/>
    <w:rsid w:val="643B275E"/>
    <w:rsid w:val="64411A38"/>
    <w:rsid w:val="64587275"/>
    <w:rsid w:val="646A5BED"/>
    <w:rsid w:val="64C4485F"/>
    <w:rsid w:val="64D21BE7"/>
    <w:rsid w:val="64DA076B"/>
    <w:rsid w:val="64E36924"/>
    <w:rsid w:val="64E9112D"/>
    <w:rsid w:val="65014155"/>
    <w:rsid w:val="65142B38"/>
    <w:rsid w:val="6520621E"/>
    <w:rsid w:val="653D1756"/>
    <w:rsid w:val="653D68E6"/>
    <w:rsid w:val="65630AA9"/>
    <w:rsid w:val="656A3683"/>
    <w:rsid w:val="656A7144"/>
    <w:rsid w:val="657B048C"/>
    <w:rsid w:val="657F70B1"/>
    <w:rsid w:val="65865107"/>
    <w:rsid w:val="659242EE"/>
    <w:rsid w:val="65B0069A"/>
    <w:rsid w:val="65B61ED7"/>
    <w:rsid w:val="65E9533F"/>
    <w:rsid w:val="65F76683"/>
    <w:rsid w:val="65F93869"/>
    <w:rsid w:val="66070306"/>
    <w:rsid w:val="660B2971"/>
    <w:rsid w:val="660B5D8E"/>
    <w:rsid w:val="66224F9D"/>
    <w:rsid w:val="6632531C"/>
    <w:rsid w:val="66650F64"/>
    <w:rsid w:val="667237CD"/>
    <w:rsid w:val="668B029F"/>
    <w:rsid w:val="66953E2E"/>
    <w:rsid w:val="669F7CBA"/>
    <w:rsid w:val="66AE39AD"/>
    <w:rsid w:val="66B00768"/>
    <w:rsid w:val="66FB73E6"/>
    <w:rsid w:val="670A4B9E"/>
    <w:rsid w:val="67171C12"/>
    <w:rsid w:val="671C012D"/>
    <w:rsid w:val="672E507D"/>
    <w:rsid w:val="673936D7"/>
    <w:rsid w:val="67517AFA"/>
    <w:rsid w:val="675C30A3"/>
    <w:rsid w:val="676343C4"/>
    <w:rsid w:val="67805AAD"/>
    <w:rsid w:val="67AB1B26"/>
    <w:rsid w:val="67B265D1"/>
    <w:rsid w:val="67B30E44"/>
    <w:rsid w:val="67C1666E"/>
    <w:rsid w:val="67C23B71"/>
    <w:rsid w:val="67C501C3"/>
    <w:rsid w:val="67E55296"/>
    <w:rsid w:val="67E87F7F"/>
    <w:rsid w:val="68080A2F"/>
    <w:rsid w:val="681E7CFD"/>
    <w:rsid w:val="68221B5F"/>
    <w:rsid w:val="682633F9"/>
    <w:rsid w:val="68270406"/>
    <w:rsid w:val="68273145"/>
    <w:rsid w:val="682A5BF7"/>
    <w:rsid w:val="683270EA"/>
    <w:rsid w:val="68535738"/>
    <w:rsid w:val="68721156"/>
    <w:rsid w:val="687C423F"/>
    <w:rsid w:val="68947D20"/>
    <w:rsid w:val="68A04E37"/>
    <w:rsid w:val="68C25D28"/>
    <w:rsid w:val="68D033F3"/>
    <w:rsid w:val="68DC689F"/>
    <w:rsid w:val="68E0170A"/>
    <w:rsid w:val="68F302CC"/>
    <w:rsid w:val="69123CE1"/>
    <w:rsid w:val="69141C2E"/>
    <w:rsid w:val="69184264"/>
    <w:rsid w:val="692C3FBB"/>
    <w:rsid w:val="693350FB"/>
    <w:rsid w:val="69382960"/>
    <w:rsid w:val="695479FA"/>
    <w:rsid w:val="696F1E02"/>
    <w:rsid w:val="69705CB0"/>
    <w:rsid w:val="697274F4"/>
    <w:rsid w:val="69762AAC"/>
    <w:rsid w:val="697826BD"/>
    <w:rsid w:val="69874F79"/>
    <w:rsid w:val="69997553"/>
    <w:rsid w:val="69AA23F5"/>
    <w:rsid w:val="69BF7EC3"/>
    <w:rsid w:val="69D330B4"/>
    <w:rsid w:val="69F432B5"/>
    <w:rsid w:val="6A1B5C00"/>
    <w:rsid w:val="6A2835EC"/>
    <w:rsid w:val="6A291175"/>
    <w:rsid w:val="6A2C34AA"/>
    <w:rsid w:val="6A4F3F00"/>
    <w:rsid w:val="6A632267"/>
    <w:rsid w:val="6A6459AF"/>
    <w:rsid w:val="6A820F91"/>
    <w:rsid w:val="6A824374"/>
    <w:rsid w:val="6A87407F"/>
    <w:rsid w:val="6A99127D"/>
    <w:rsid w:val="6AB8004E"/>
    <w:rsid w:val="6AB861B4"/>
    <w:rsid w:val="6AD96CB7"/>
    <w:rsid w:val="6B0D2DCF"/>
    <w:rsid w:val="6B0F3C1E"/>
    <w:rsid w:val="6B13077A"/>
    <w:rsid w:val="6B1424DD"/>
    <w:rsid w:val="6B221E5F"/>
    <w:rsid w:val="6B272595"/>
    <w:rsid w:val="6B2B1CE6"/>
    <w:rsid w:val="6B2F5E6F"/>
    <w:rsid w:val="6B4629BA"/>
    <w:rsid w:val="6B4C3CF7"/>
    <w:rsid w:val="6B6A4927"/>
    <w:rsid w:val="6B6B5CD2"/>
    <w:rsid w:val="6B711394"/>
    <w:rsid w:val="6B7C0E69"/>
    <w:rsid w:val="6B7C5E89"/>
    <w:rsid w:val="6B882178"/>
    <w:rsid w:val="6B895985"/>
    <w:rsid w:val="6BA078E7"/>
    <w:rsid w:val="6BB36B04"/>
    <w:rsid w:val="6BC576AE"/>
    <w:rsid w:val="6BC82F86"/>
    <w:rsid w:val="6BCC1277"/>
    <w:rsid w:val="6BE4278E"/>
    <w:rsid w:val="6BEA1F9C"/>
    <w:rsid w:val="6BFC4F57"/>
    <w:rsid w:val="6C021003"/>
    <w:rsid w:val="6C196368"/>
    <w:rsid w:val="6C1B186B"/>
    <w:rsid w:val="6C1F76C2"/>
    <w:rsid w:val="6C4E1244"/>
    <w:rsid w:val="6C5B6EEC"/>
    <w:rsid w:val="6C5D2D2B"/>
    <w:rsid w:val="6C6E3EA2"/>
    <w:rsid w:val="6C7765FE"/>
    <w:rsid w:val="6C8008DC"/>
    <w:rsid w:val="6C925FF8"/>
    <w:rsid w:val="6CAA5E4D"/>
    <w:rsid w:val="6CC60DC9"/>
    <w:rsid w:val="6CD44DB3"/>
    <w:rsid w:val="6CDC7845"/>
    <w:rsid w:val="6CF568C2"/>
    <w:rsid w:val="6D000FC4"/>
    <w:rsid w:val="6D031778"/>
    <w:rsid w:val="6D08005D"/>
    <w:rsid w:val="6D0A7C83"/>
    <w:rsid w:val="6D106FB7"/>
    <w:rsid w:val="6D1C3F9C"/>
    <w:rsid w:val="6D2B7848"/>
    <w:rsid w:val="6D4A67A4"/>
    <w:rsid w:val="6D517127"/>
    <w:rsid w:val="6D5D5CC1"/>
    <w:rsid w:val="6D6B744D"/>
    <w:rsid w:val="6D8A3148"/>
    <w:rsid w:val="6DA07DE7"/>
    <w:rsid w:val="6DA721E6"/>
    <w:rsid w:val="6DBE5CD2"/>
    <w:rsid w:val="6DDA2238"/>
    <w:rsid w:val="6DE374BA"/>
    <w:rsid w:val="6DEC6B1D"/>
    <w:rsid w:val="6E1A3D81"/>
    <w:rsid w:val="6E20601C"/>
    <w:rsid w:val="6E2A5041"/>
    <w:rsid w:val="6E2C4FDA"/>
    <w:rsid w:val="6E3A38A7"/>
    <w:rsid w:val="6E41574E"/>
    <w:rsid w:val="6E4660D0"/>
    <w:rsid w:val="6E4A043D"/>
    <w:rsid w:val="6E6F129A"/>
    <w:rsid w:val="6E8C7E9A"/>
    <w:rsid w:val="6EA7226C"/>
    <w:rsid w:val="6EB13143"/>
    <w:rsid w:val="6EBF0F07"/>
    <w:rsid w:val="6EC3545C"/>
    <w:rsid w:val="6ECA78B1"/>
    <w:rsid w:val="6EFD5C0F"/>
    <w:rsid w:val="6F0211AE"/>
    <w:rsid w:val="6F081FAF"/>
    <w:rsid w:val="6F252E0D"/>
    <w:rsid w:val="6F257D94"/>
    <w:rsid w:val="6F4379DD"/>
    <w:rsid w:val="6F6A055F"/>
    <w:rsid w:val="6F6A09C1"/>
    <w:rsid w:val="6F6D788E"/>
    <w:rsid w:val="6F733EF8"/>
    <w:rsid w:val="6F7478CD"/>
    <w:rsid w:val="6F8310B0"/>
    <w:rsid w:val="6FA66C5B"/>
    <w:rsid w:val="6FAF4A0F"/>
    <w:rsid w:val="6FB917DB"/>
    <w:rsid w:val="6FC80B1A"/>
    <w:rsid w:val="6FD412E1"/>
    <w:rsid w:val="6FEA1D9F"/>
    <w:rsid w:val="6FEE7DF4"/>
    <w:rsid w:val="6FF43A17"/>
    <w:rsid w:val="6FF473BA"/>
    <w:rsid w:val="6FF61CEA"/>
    <w:rsid w:val="6FFC588A"/>
    <w:rsid w:val="70233526"/>
    <w:rsid w:val="70306C17"/>
    <w:rsid w:val="70754C0A"/>
    <w:rsid w:val="70810F20"/>
    <w:rsid w:val="70984F7D"/>
    <w:rsid w:val="709970EF"/>
    <w:rsid w:val="709C1A8C"/>
    <w:rsid w:val="70B27B70"/>
    <w:rsid w:val="70CE09C3"/>
    <w:rsid w:val="70E41A32"/>
    <w:rsid w:val="70FF2B3E"/>
    <w:rsid w:val="71147566"/>
    <w:rsid w:val="71287630"/>
    <w:rsid w:val="712C1AEB"/>
    <w:rsid w:val="7130216F"/>
    <w:rsid w:val="713148BC"/>
    <w:rsid w:val="71371CF9"/>
    <w:rsid w:val="713E5AE7"/>
    <w:rsid w:val="716F1C44"/>
    <w:rsid w:val="717E7A69"/>
    <w:rsid w:val="71806D32"/>
    <w:rsid w:val="71867FE1"/>
    <w:rsid w:val="71880AA7"/>
    <w:rsid w:val="71881FAB"/>
    <w:rsid w:val="71AD6FAE"/>
    <w:rsid w:val="71AE30B5"/>
    <w:rsid w:val="71C27EC8"/>
    <w:rsid w:val="71C33DD0"/>
    <w:rsid w:val="72005AE6"/>
    <w:rsid w:val="72104AC2"/>
    <w:rsid w:val="72124041"/>
    <w:rsid w:val="72135B21"/>
    <w:rsid w:val="721601E1"/>
    <w:rsid w:val="722424EC"/>
    <w:rsid w:val="72337620"/>
    <w:rsid w:val="723F5BDB"/>
    <w:rsid w:val="72570EA7"/>
    <w:rsid w:val="72726B56"/>
    <w:rsid w:val="727355E2"/>
    <w:rsid w:val="72A11E23"/>
    <w:rsid w:val="72A322A5"/>
    <w:rsid w:val="72AF0917"/>
    <w:rsid w:val="72B3210B"/>
    <w:rsid w:val="72C22F53"/>
    <w:rsid w:val="72CF7ADB"/>
    <w:rsid w:val="72E75951"/>
    <w:rsid w:val="72E91B02"/>
    <w:rsid w:val="72F9284C"/>
    <w:rsid w:val="72FF3233"/>
    <w:rsid w:val="732650C3"/>
    <w:rsid w:val="733C616F"/>
    <w:rsid w:val="7340334A"/>
    <w:rsid w:val="734A7EB9"/>
    <w:rsid w:val="73586DC3"/>
    <w:rsid w:val="735B05AA"/>
    <w:rsid w:val="736811C4"/>
    <w:rsid w:val="73725CC7"/>
    <w:rsid w:val="739B35DE"/>
    <w:rsid w:val="73DA0AAB"/>
    <w:rsid w:val="73FA2A89"/>
    <w:rsid w:val="73FF32CB"/>
    <w:rsid w:val="7405758D"/>
    <w:rsid w:val="741C335D"/>
    <w:rsid w:val="74301EA6"/>
    <w:rsid w:val="74386E56"/>
    <w:rsid w:val="7439010A"/>
    <w:rsid w:val="74622F2F"/>
    <w:rsid w:val="7497088D"/>
    <w:rsid w:val="74A30572"/>
    <w:rsid w:val="74B5463B"/>
    <w:rsid w:val="74C73FE3"/>
    <w:rsid w:val="74DC5A55"/>
    <w:rsid w:val="74E71A82"/>
    <w:rsid w:val="74F64E3F"/>
    <w:rsid w:val="74FD1B30"/>
    <w:rsid w:val="751D0E17"/>
    <w:rsid w:val="754A05DC"/>
    <w:rsid w:val="75610B49"/>
    <w:rsid w:val="758D1214"/>
    <w:rsid w:val="75942A40"/>
    <w:rsid w:val="75A023F2"/>
    <w:rsid w:val="75B90985"/>
    <w:rsid w:val="75C5780F"/>
    <w:rsid w:val="75FB2A56"/>
    <w:rsid w:val="75FF18EA"/>
    <w:rsid w:val="76023351"/>
    <w:rsid w:val="761730DD"/>
    <w:rsid w:val="762514F1"/>
    <w:rsid w:val="762C5C47"/>
    <w:rsid w:val="764346F2"/>
    <w:rsid w:val="765512FB"/>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4D3DC3"/>
    <w:rsid w:val="77537972"/>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9047D24"/>
    <w:rsid w:val="792073FF"/>
    <w:rsid w:val="79255B1E"/>
    <w:rsid w:val="79327BE3"/>
    <w:rsid w:val="79340AD7"/>
    <w:rsid w:val="793423B9"/>
    <w:rsid w:val="794674FF"/>
    <w:rsid w:val="794F5E9D"/>
    <w:rsid w:val="7950305C"/>
    <w:rsid w:val="79596ED9"/>
    <w:rsid w:val="796606AB"/>
    <w:rsid w:val="797279F9"/>
    <w:rsid w:val="798B6440"/>
    <w:rsid w:val="79976759"/>
    <w:rsid w:val="799C0BFC"/>
    <w:rsid w:val="79B50C6F"/>
    <w:rsid w:val="79D319E8"/>
    <w:rsid w:val="79E06AB0"/>
    <w:rsid w:val="7A036672"/>
    <w:rsid w:val="7A0527D6"/>
    <w:rsid w:val="7A073B40"/>
    <w:rsid w:val="7A1E66A7"/>
    <w:rsid w:val="7A3B22B0"/>
    <w:rsid w:val="7A3E3C86"/>
    <w:rsid w:val="7A421F6B"/>
    <w:rsid w:val="7A4E39B4"/>
    <w:rsid w:val="7A9C129D"/>
    <w:rsid w:val="7AAC617C"/>
    <w:rsid w:val="7ABA29AB"/>
    <w:rsid w:val="7ABB0835"/>
    <w:rsid w:val="7ABE7A74"/>
    <w:rsid w:val="7AC3193E"/>
    <w:rsid w:val="7AD825ED"/>
    <w:rsid w:val="7AE7522B"/>
    <w:rsid w:val="7AF11E4A"/>
    <w:rsid w:val="7AFC756B"/>
    <w:rsid w:val="7B0A616D"/>
    <w:rsid w:val="7B1530FA"/>
    <w:rsid w:val="7B29035B"/>
    <w:rsid w:val="7B4A2B3C"/>
    <w:rsid w:val="7B6A65F9"/>
    <w:rsid w:val="7B73525D"/>
    <w:rsid w:val="7B754167"/>
    <w:rsid w:val="7B841502"/>
    <w:rsid w:val="7B856B69"/>
    <w:rsid w:val="7BA51FAA"/>
    <w:rsid w:val="7BA71431"/>
    <w:rsid w:val="7BAB65F0"/>
    <w:rsid w:val="7BBD6CF5"/>
    <w:rsid w:val="7BC5601A"/>
    <w:rsid w:val="7BE067C0"/>
    <w:rsid w:val="7BF7355E"/>
    <w:rsid w:val="7C041716"/>
    <w:rsid w:val="7C0F6F8D"/>
    <w:rsid w:val="7C1832E2"/>
    <w:rsid w:val="7C2C3168"/>
    <w:rsid w:val="7C3B0FE1"/>
    <w:rsid w:val="7C3F208A"/>
    <w:rsid w:val="7C60764A"/>
    <w:rsid w:val="7C7F077B"/>
    <w:rsid w:val="7C9A2C55"/>
    <w:rsid w:val="7CB570A3"/>
    <w:rsid w:val="7CC85D2E"/>
    <w:rsid w:val="7CFA0A3C"/>
    <w:rsid w:val="7CFB25C5"/>
    <w:rsid w:val="7D024938"/>
    <w:rsid w:val="7D0432EA"/>
    <w:rsid w:val="7D071A67"/>
    <w:rsid w:val="7D153027"/>
    <w:rsid w:val="7D240558"/>
    <w:rsid w:val="7D4E4391"/>
    <w:rsid w:val="7D6A50D1"/>
    <w:rsid w:val="7D6C1F0C"/>
    <w:rsid w:val="7D6F7C2B"/>
    <w:rsid w:val="7D77312E"/>
    <w:rsid w:val="7D7B5BD6"/>
    <w:rsid w:val="7D812A55"/>
    <w:rsid w:val="7D955A0C"/>
    <w:rsid w:val="7D9828AA"/>
    <w:rsid w:val="7DA15DD8"/>
    <w:rsid w:val="7DA54E7B"/>
    <w:rsid w:val="7DAD4B1E"/>
    <w:rsid w:val="7DCE4670"/>
    <w:rsid w:val="7DD26778"/>
    <w:rsid w:val="7DDB6F5C"/>
    <w:rsid w:val="7DDF08B2"/>
    <w:rsid w:val="7DDF7781"/>
    <w:rsid w:val="7DE247F1"/>
    <w:rsid w:val="7E2F58AE"/>
    <w:rsid w:val="7E464EB2"/>
    <w:rsid w:val="7E4C610E"/>
    <w:rsid w:val="7E5724CE"/>
    <w:rsid w:val="7E5968C0"/>
    <w:rsid w:val="7E5B4BE3"/>
    <w:rsid w:val="7E6C79E8"/>
    <w:rsid w:val="7E6E14DC"/>
    <w:rsid w:val="7E931790"/>
    <w:rsid w:val="7EB90785"/>
    <w:rsid w:val="7EBE2872"/>
    <w:rsid w:val="7EC7695C"/>
    <w:rsid w:val="7EE36A72"/>
    <w:rsid w:val="7EE97E69"/>
    <w:rsid w:val="7EEF15E6"/>
    <w:rsid w:val="7F0F3C4C"/>
    <w:rsid w:val="7F102E25"/>
    <w:rsid w:val="7F2B3490"/>
    <w:rsid w:val="7F716B86"/>
    <w:rsid w:val="7F81479C"/>
    <w:rsid w:val="7F961536"/>
    <w:rsid w:val="7FB772DD"/>
    <w:rsid w:val="7FC25AFD"/>
    <w:rsid w:val="7FD05249"/>
    <w:rsid w:val="7FD5728C"/>
    <w:rsid w:val="7FE66A22"/>
    <w:rsid w:val="7FED0787"/>
    <w:rsid w:val="7FF352B9"/>
    <w:rsid w:val="7FFB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4"/>
    <w:next w:val="1"/>
    <w:qFormat/>
    <w:uiPriority w:val="0"/>
    <w:pPr>
      <w:keepNext/>
      <w:keepLines/>
      <w:numPr>
        <w:ilvl w:val="0"/>
        <w:numId w:val="1"/>
      </w:numPr>
      <w:spacing w:beforeLines="100" w:afterLines="100" w:line="360" w:lineRule="auto"/>
    </w:pPr>
    <w:rPr>
      <w:rFonts w:eastAsia="微软雅黑"/>
      <w:bCs/>
      <w:kern w:val="44"/>
      <w:sz w:val="36"/>
      <w:szCs w:val="44"/>
    </w:rPr>
  </w:style>
  <w:style w:type="paragraph" w:styleId="5">
    <w:name w:val="heading 2"/>
    <w:basedOn w:val="1"/>
    <w:next w:val="1"/>
    <w:link w:val="39"/>
    <w:qFormat/>
    <w:uiPriority w:val="0"/>
    <w:pPr>
      <w:keepNext/>
      <w:keepLines/>
      <w:numPr>
        <w:ilvl w:val="0"/>
        <w:numId w:val="2"/>
      </w:numPr>
      <w:spacing w:line="360" w:lineRule="auto"/>
      <w:outlineLvl w:val="1"/>
    </w:pPr>
    <w:rPr>
      <w:rFonts w:ascii="Arial" w:hAnsi="Arial"/>
      <w:b/>
      <w:bCs/>
      <w:sz w:val="28"/>
      <w:szCs w:val="32"/>
    </w:rPr>
  </w:style>
  <w:style w:type="paragraph" w:styleId="6">
    <w:name w:val="heading 3"/>
    <w:basedOn w:val="3"/>
    <w:next w:val="1"/>
    <w:qFormat/>
    <w:uiPriority w:val="0"/>
    <w:pPr>
      <w:outlineLvl w:val="2"/>
    </w:pPr>
    <w:rPr>
      <w:rFonts w:ascii="宋体" w:hAnsi="宋体" w:eastAsia="黑体"/>
      <w:sz w:val="24"/>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widowControl w:val="0"/>
      <w:jc w:val="both"/>
    </w:pPr>
    <w:rPr>
      <w:rFonts w:ascii="Calibri" w:hAnsi="Calibri" w:eastAsia="宋体" w:cs="Times New Roman"/>
      <w:color w:val="FF0000"/>
      <w:kern w:val="2"/>
      <w:sz w:val="21"/>
      <w:szCs w:val="24"/>
      <w:lang w:val="en-US" w:eastAsia="zh-CN" w:bidi="ar-SA"/>
    </w:r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
    <w:name w:val="Normal Indent"/>
    <w:basedOn w:val="1"/>
    <w:qFormat/>
    <w:uiPriority w:val="0"/>
    <w:pPr>
      <w:ind w:firstLine="420"/>
    </w:pPr>
    <w:rPr>
      <w:szCs w:val="20"/>
    </w:rPr>
  </w:style>
  <w:style w:type="paragraph" w:styleId="9">
    <w:name w:val="caption"/>
    <w:basedOn w:val="1"/>
    <w:next w:val="1"/>
    <w:qFormat/>
    <w:uiPriority w:val="35"/>
    <w:rPr>
      <w:rFonts w:ascii="Cambria" w:hAnsi="Cambria" w:eastAsia="黑体"/>
      <w:kern w:val="0"/>
      <w:sz w:val="20"/>
      <w:szCs w:val="20"/>
    </w:rPr>
  </w:style>
  <w:style w:type="paragraph" w:styleId="10">
    <w:name w:val="annotation text"/>
    <w:basedOn w:val="1"/>
    <w:link w:val="40"/>
    <w:qFormat/>
    <w:uiPriority w:val="99"/>
    <w:pPr>
      <w:jc w:val="left"/>
    </w:pPr>
  </w:style>
  <w:style w:type="paragraph" w:styleId="11">
    <w:name w:val="Body Text 3"/>
    <w:basedOn w:val="1"/>
    <w:qFormat/>
    <w:uiPriority w:val="0"/>
    <w:pPr>
      <w:spacing w:beforeLines="50"/>
    </w:pPr>
    <w:rPr>
      <w:rFonts w:ascii="宋体" w:hAnsi="宋体"/>
      <w:szCs w:val="20"/>
    </w:rPr>
  </w:style>
  <w:style w:type="paragraph" w:styleId="12">
    <w:name w:val="Body Text"/>
    <w:basedOn w:val="1"/>
    <w:next w:val="2"/>
    <w:qFormat/>
    <w:uiPriority w:val="0"/>
    <w:pPr>
      <w:spacing w:after="120"/>
    </w:pPr>
  </w:style>
  <w:style w:type="paragraph" w:styleId="13">
    <w:name w:val="Body Text Indent"/>
    <w:basedOn w:val="1"/>
    <w:next w:val="14"/>
    <w:qFormat/>
    <w:uiPriority w:val="0"/>
    <w:pPr>
      <w:spacing w:after="120"/>
      <w:ind w:left="420" w:leftChars="200"/>
    </w:pPr>
  </w:style>
  <w:style w:type="paragraph" w:styleId="14">
    <w:name w:val="envelope return"/>
    <w:basedOn w:val="1"/>
    <w:unhideWhenUsed/>
    <w:qFormat/>
    <w:uiPriority w:val="99"/>
    <w:pPr>
      <w:snapToGrid w:val="0"/>
      <w:ind w:firstLine="200"/>
    </w:pPr>
    <w:rPr>
      <w:rFonts w:ascii="Arial" w:hAnsi="Arial" w:cs="Arial"/>
      <w:szCs w:val="20"/>
    </w:rPr>
  </w:style>
  <w:style w:type="paragraph" w:styleId="15">
    <w:name w:val="Plain Text"/>
    <w:basedOn w:val="1"/>
    <w:qFormat/>
    <w:uiPriority w:val="0"/>
    <w:rPr>
      <w:rFonts w:ascii="宋体" w:hAnsi="Courier New"/>
      <w:szCs w:val="20"/>
    </w:rPr>
  </w:style>
  <w:style w:type="paragraph" w:styleId="16">
    <w:name w:val="Date"/>
    <w:next w:val="1"/>
    <w:unhideWhenUsed/>
    <w:qFormat/>
    <w:uiPriority w:val="99"/>
    <w:rPr>
      <w:rFonts w:ascii="宋体" w:hAnsi="宋体" w:eastAsia="宋体" w:cs="宋体"/>
      <w:b/>
      <w:sz w:val="28"/>
      <w:lang w:val="en-US" w:eastAsia="zh-CN" w:bidi="ar-SA"/>
    </w:rPr>
  </w:style>
  <w:style w:type="paragraph" w:styleId="17">
    <w:name w:val="Body Text Indent 2"/>
    <w:basedOn w:val="1"/>
    <w:next w:val="1"/>
    <w:qFormat/>
    <w:uiPriority w:val="0"/>
    <w:pPr>
      <w:adjustRightInd w:val="0"/>
      <w:ind w:firstLine="586" w:firstLineChars="244"/>
      <w:jc w:val="left"/>
      <w:textAlignment w:val="baseline"/>
    </w:pPr>
    <w:rPr>
      <w:rFonts w:ascii="宋体" w:hAnsi="宋体" w:cs="Times New Roman"/>
      <w:kern w:val="0"/>
      <w:sz w:val="24"/>
      <w:szCs w:val="21"/>
    </w:rPr>
  </w:style>
  <w:style w:type="paragraph" w:styleId="18">
    <w:name w:val="Balloon Text"/>
    <w:basedOn w:val="1"/>
    <w:link w:val="41"/>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next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1">
    <w:name w:val="引用1"/>
    <w:basedOn w:val="1"/>
    <w:next w:val="1"/>
    <w:unhideWhenUsed/>
    <w:qFormat/>
    <w:uiPriority w:val="99"/>
    <w:pPr>
      <w:ind w:left="864" w:right="864"/>
      <w:jc w:val="center"/>
    </w:pPr>
    <w:rPr>
      <w:rFonts w:ascii="Times New Roman" w:hAnsi="Times New Roman"/>
      <w:i/>
      <w:iCs/>
      <w:color w:val="404040"/>
      <w:szCs w:val="21"/>
    </w:rPr>
  </w:style>
  <w:style w:type="paragraph" w:styleId="22">
    <w:name w:val="toc 1"/>
    <w:basedOn w:val="1"/>
    <w:next w:val="1"/>
    <w:qFormat/>
    <w:uiPriority w:val="39"/>
    <w:pPr>
      <w:spacing w:before="120" w:after="120"/>
      <w:jc w:val="left"/>
    </w:pPr>
    <w:rPr>
      <w:rFonts w:cs="Calibri"/>
      <w:b/>
      <w:bCs/>
      <w:caps/>
      <w:sz w:val="20"/>
      <w:szCs w:val="20"/>
    </w:rPr>
  </w:style>
  <w:style w:type="paragraph" w:styleId="23">
    <w:name w:val="footnote text"/>
    <w:basedOn w:val="1"/>
    <w:unhideWhenUsed/>
    <w:qFormat/>
    <w:uiPriority w:val="0"/>
    <w:pPr>
      <w:snapToGrid w:val="0"/>
      <w:jc w:val="left"/>
    </w:pPr>
    <w:rPr>
      <w:sz w:val="18"/>
      <w:szCs w:val="18"/>
    </w:rPr>
  </w:style>
  <w:style w:type="paragraph" w:styleId="24">
    <w:name w:val="Normal (Web)"/>
    <w:basedOn w:val="1"/>
    <w:qFormat/>
    <w:uiPriority w:val="99"/>
    <w:pPr>
      <w:spacing w:before="100" w:beforeAutospacing="1" w:after="100" w:afterAutospacing="1"/>
    </w:pPr>
    <w:rPr>
      <w:rFonts w:ascii="宋体" w:hAnsi="宋体" w:cs="宋体"/>
      <w:sz w:val="24"/>
    </w:rPr>
  </w:style>
  <w:style w:type="paragraph" w:styleId="25">
    <w:name w:val="index 1"/>
    <w:basedOn w:val="1"/>
    <w:next w:val="1"/>
    <w:semiHidden/>
    <w:qFormat/>
    <w:uiPriority w:val="0"/>
    <w:pPr>
      <w:spacing w:line="220" w:lineRule="exact"/>
      <w:jc w:val="center"/>
    </w:pPr>
    <w:rPr>
      <w:rFonts w:ascii="仿宋_GB2312" w:eastAsia="仿宋_GB2312"/>
      <w:szCs w:val="21"/>
    </w:rPr>
  </w:style>
  <w:style w:type="paragraph" w:styleId="26">
    <w:name w:val="annotation subject"/>
    <w:basedOn w:val="10"/>
    <w:next w:val="10"/>
    <w:link w:val="42"/>
    <w:qFormat/>
    <w:uiPriority w:val="0"/>
    <w:rPr>
      <w:b/>
      <w:bCs/>
    </w:rPr>
  </w:style>
  <w:style w:type="paragraph" w:styleId="27">
    <w:name w:val="Body Text First Indent"/>
    <w:basedOn w:val="12"/>
    <w:qFormat/>
    <w:uiPriority w:val="0"/>
    <w:pPr>
      <w:ind w:firstLine="420" w:firstLineChars="100"/>
    </w:pPr>
  </w:style>
  <w:style w:type="paragraph" w:styleId="28">
    <w:name w:val="Body Text First Indent 2"/>
    <w:basedOn w:val="13"/>
    <w:qFormat/>
    <w:uiPriority w:val="0"/>
    <w:pPr>
      <w:ind w:firstLine="420" w:firstLineChars="200"/>
    </w:pPr>
    <w:rPr>
      <w:szCs w:val="22"/>
    </w:rPr>
  </w:style>
  <w:style w:type="table" w:styleId="3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0"/>
    <w:rPr>
      <w:color w:val="03515D"/>
      <w:u w:val="none"/>
    </w:rPr>
  </w:style>
  <w:style w:type="character" w:styleId="35">
    <w:name w:val="Hyperlink"/>
    <w:basedOn w:val="31"/>
    <w:qFormat/>
    <w:uiPriority w:val="0"/>
    <w:rPr>
      <w:color w:val="03515D"/>
      <w:u w:val="none"/>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paragraph" w:customStyle="1" w:styleId="38">
    <w:name w:val="无间隔1"/>
    <w:basedOn w:val="1"/>
    <w:next w:val="9"/>
    <w:qFormat/>
    <w:uiPriority w:val="0"/>
    <w:pPr>
      <w:spacing w:line="400" w:lineRule="exact"/>
    </w:pPr>
    <w:rPr>
      <w:sz w:val="24"/>
      <w:szCs w:val="22"/>
    </w:rPr>
  </w:style>
  <w:style w:type="character" w:customStyle="1" w:styleId="39">
    <w:name w:val="标题 2 字符"/>
    <w:link w:val="5"/>
    <w:qFormat/>
    <w:uiPriority w:val="0"/>
    <w:rPr>
      <w:rFonts w:ascii="Arial" w:hAnsi="Arial"/>
      <w:b/>
      <w:bCs/>
      <w:sz w:val="28"/>
      <w:szCs w:val="32"/>
    </w:rPr>
  </w:style>
  <w:style w:type="character" w:customStyle="1" w:styleId="40">
    <w:name w:val="批注文字 字符"/>
    <w:basedOn w:val="31"/>
    <w:link w:val="10"/>
    <w:qFormat/>
    <w:uiPriority w:val="0"/>
    <w:rPr>
      <w:rFonts w:ascii="Calibri" w:hAnsi="Calibri" w:eastAsia="宋体" w:cs="黑体"/>
      <w:kern w:val="2"/>
      <w:sz w:val="21"/>
      <w:szCs w:val="24"/>
    </w:rPr>
  </w:style>
  <w:style w:type="character" w:customStyle="1" w:styleId="41">
    <w:name w:val="批注框文本 字符"/>
    <w:basedOn w:val="31"/>
    <w:link w:val="18"/>
    <w:qFormat/>
    <w:uiPriority w:val="0"/>
    <w:rPr>
      <w:rFonts w:ascii="Calibri" w:hAnsi="Calibri" w:eastAsia="宋体" w:cs="黑体"/>
      <w:kern w:val="2"/>
      <w:sz w:val="18"/>
      <w:szCs w:val="18"/>
    </w:rPr>
  </w:style>
  <w:style w:type="character" w:customStyle="1" w:styleId="42">
    <w:name w:val="批注主题 字符"/>
    <w:basedOn w:val="40"/>
    <w:link w:val="26"/>
    <w:qFormat/>
    <w:uiPriority w:val="0"/>
    <w:rPr>
      <w:rFonts w:ascii="Calibri" w:hAnsi="Calibri" w:eastAsia="宋体" w:cs="黑体"/>
      <w:kern w:val="2"/>
      <w:sz w:val="21"/>
      <w:szCs w:val="24"/>
    </w:rPr>
  </w:style>
  <w:style w:type="paragraph" w:customStyle="1" w:styleId="4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44">
    <w:name w:val="WPSOffice手动目录 1"/>
    <w:qFormat/>
    <w:uiPriority w:val="0"/>
    <w:rPr>
      <w:rFonts w:ascii="Calibri" w:hAnsi="Calibri" w:eastAsia="宋体" w:cs="黑体"/>
      <w:lang w:val="en-US" w:eastAsia="zh-CN" w:bidi="ar-SA"/>
    </w:rPr>
  </w:style>
  <w:style w:type="paragraph" w:customStyle="1" w:styleId="45">
    <w:name w:val="WPSOffice手动目录 2"/>
    <w:qFormat/>
    <w:uiPriority w:val="0"/>
    <w:pPr>
      <w:ind w:left="200" w:leftChars="200"/>
    </w:pPr>
    <w:rPr>
      <w:rFonts w:ascii="Calibri" w:hAnsi="Calibri" w:eastAsia="宋体" w:cs="黑体"/>
      <w:lang w:val="en-US" w:eastAsia="zh-CN" w:bidi="ar-SA"/>
    </w:rPr>
  </w:style>
  <w:style w:type="paragraph" w:customStyle="1" w:styleId="46">
    <w:name w:val="表格"/>
    <w:basedOn w:val="1"/>
    <w:qFormat/>
    <w:uiPriority w:val="0"/>
    <w:pPr>
      <w:textAlignment w:val="center"/>
    </w:pPr>
    <w:rPr>
      <w:rFonts w:ascii="华文细黑" w:hAnsi="华文细黑"/>
      <w:kern w:val="0"/>
      <w:szCs w:val="20"/>
    </w:rPr>
  </w:style>
  <w:style w:type="paragraph" w:customStyle="1" w:styleId="47">
    <w:name w:val="正文 题目"/>
    <w:basedOn w:val="1"/>
    <w:qFormat/>
    <w:uiPriority w:val="0"/>
    <w:pPr>
      <w:jc w:val="center"/>
    </w:pPr>
    <w:rPr>
      <w:rFonts w:ascii="黑体" w:hAnsi="黑体" w:eastAsia="黑体"/>
      <w:sz w:val="28"/>
    </w:rPr>
  </w:style>
  <w:style w:type="paragraph" w:customStyle="1" w:styleId="48">
    <w:name w:val="列出段落1"/>
    <w:basedOn w:val="1"/>
    <w:qFormat/>
    <w:uiPriority w:val="99"/>
    <w:rPr>
      <w:rFonts w:ascii="Times New Roman" w:hAnsi="Times New Roman"/>
    </w:rPr>
  </w:style>
  <w:style w:type="paragraph" w:customStyle="1" w:styleId="4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0">
    <w:name w:val="列出段落2"/>
    <w:basedOn w:val="1"/>
    <w:link w:val="51"/>
    <w:qFormat/>
    <w:uiPriority w:val="34"/>
    <w:pPr>
      <w:ind w:firstLine="420" w:firstLineChars="200"/>
    </w:pPr>
    <w:rPr>
      <w:rFonts w:ascii="Times New Roman" w:hAnsi="Times New Roman" w:eastAsia="楷体_GB2312" w:cs="Times New Roman"/>
    </w:rPr>
  </w:style>
  <w:style w:type="character" w:customStyle="1" w:styleId="51">
    <w:name w:val="列出段落 Char"/>
    <w:link w:val="50"/>
    <w:qFormat/>
    <w:uiPriority w:val="34"/>
    <w:rPr>
      <w:kern w:val="2"/>
      <w:sz w:val="21"/>
      <w:szCs w:val="24"/>
    </w:rPr>
  </w:style>
  <w:style w:type="character" w:customStyle="1" w:styleId="52">
    <w:name w:val="font21"/>
    <w:basedOn w:val="31"/>
    <w:qFormat/>
    <w:uiPriority w:val="0"/>
    <w:rPr>
      <w:rFonts w:hint="eastAsia" w:ascii="宋体" w:hAnsi="宋体" w:eastAsia="宋体" w:cs="宋体"/>
      <w:color w:val="000000"/>
      <w:sz w:val="24"/>
      <w:szCs w:val="24"/>
      <w:u w:val="none"/>
    </w:rPr>
  </w:style>
  <w:style w:type="character" w:customStyle="1" w:styleId="53">
    <w:name w:val="font01"/>
    <w:basedOn w:val="31"/>
    <w:qFormat/>
    <w:uiPriority w:val="0"/>
    <w:rPr>
      <w:rFonts w:hint="default" w:ascii="Times New Roman" w:hAnsi="Times New Roman" w:cs="Times New Roman"/>
      <w:color w:val="000000"/>
      <w:sz w:val="24"/>
      <w:szCs w:val="24"/>
      <w:u w:val="none"/>
    </w:rPr>
  </w:style>
  <w:style w:type="character" w:customStyle="1" w:styleId="54">
    <w:name w:val="font11"/>
    <w:basedOn w:val="31"/>
    <w:qFormat/>
    <w:uiPriority w:val="0"/>
    <w:rPr>
      <w:rFonts w:hint="default" w:ascii="Times New Roman" w:hAnsi="Times New Roman" w:cs="Times New Roman"/>
      <w:color w:val="000000"/>
      <w:sz w:val="20"/>
      <w:szCs w:val="20"/>
      <w:u w:val="none"/>
    </w:rPr>
  </w:style>
  <w:style w:type="character" w:customStyle="1" w:styleId="55">
    <w:name w:val="font31"/>
    <w:basedOn w:val="31"/>
    <w:qFormat/>
    <w:uiPriority w:val="0"/>
    <w:rPr>
      <w:rFonts w:hint="eastAsia" w:ascii="宋体" w:hAnsi="宋体" w:eastAsia="宋体" w:cs="宋体"/>
      <w:color w:val="000000"/>
      <w:sz w:val="20"/>
      <w:szCs w:val="20"/>
      <w:u w:val="none"/>
    </w:rPr>
  </w:style>
  <w:style w:type="character" w:customStyle="1" w:styleId="56">
    <w:name w:val="font41"/>
    <w:basedOn w:val="31"/>
    <w:qFormat/>
    <w:uiPriority w:val="0"/>
    <w:rPr>
      <w:rFonts w:hint="default" w:ascii="Times New Roman" w:hAnsi="Times New Roman" w:cs="Times New Roman"/>
      <w:color w:val="000000"/>
      <w:sz w:val="21"/>
      <w:szCs w:val="21"/>
      <w:u w:val="none"/>
    </w:rPr>
  </w:style>
  <w:style w:type="character" w:customStyle="1" w:styleId="57">
    <w:name w:val="font71"/>
    <w:basedOn w:val="31"/>
    <w:qFormat/>
    <w:uiPriority w:val="0"/>
    <w:rPr>
      <w:rFonts w:ascii="微软雅黑" w:hAnsi="微软雅黑" w:eastAsia="微软雅黑" w:cs="微软雅黑"/>
      <w:color w:val="000000"/>
      <w:sz w:val="21"/>
      <w:szCs w:val="21"/>
      <w:u w:val="none"/>
    </w:rPr>
  </w:style>
  <w:style w:type="character" w:customStyle="1" w:styleId="58">
    <w:name w:val="font81"/>
    <w:basedOn w:val="31"/>
    <w:qFormat/>
    <w:uiPriority w:val="0"/>
    <w:rPr>
      <w:rFonts w:hint="eastAsia" w:ascii="宋体" w:hAnsi="宋体" w:eastAsia="宋体" w:cs="宋体"/>
      <w:b/>
      <w:bCs/>
      <w:color w:val="FF0000"/>
      <w:sz w:val="21"/>
      <w:szCs w:val="21"/>
      <w:u w:val="none"/>
    </w:rPr>
  </w:style>
  <w:style w:type="character" w:customStyle="1" w:styleId="59">
    <w:name w:val="font51"/>
    <w:basedOn w:val="31"/>
    <w:qFormat/>
    <w:uiPriority w:val="0"/>
    <w:rPr>
      <w:rFonts w:hint="eastAsia" w:ascii="等线" w:hAnsi="等线" w:eastAsia="等线" w:cs="等线"/>
      <w:b/>
      <w:bCs/>
      <w:color w:val="000000"/>
      <w:sz w:val="21"/>
      <w:szCs w:val="21"/>
      <w:u w:val="none"/>
    </w:rPr>
  </w:style>
  <w:style w:type="character" w:customStyle="1" w:styleId="60">
    <w:name w:val="font61"/>
    <w:basedOn w:val="31"/>
    <w:qFormat/>
    <w:uiPriority w:val="0"/>
    <w:rPr>
      <w:rFonts w:hint="eastAsia" w:ascii="宋体" w:hAnsi="宋体" w:eastAsia="宋体" w:cs="宋体"/>
      <w:color w:val="000000"/>
      <w:sz w:val="21"/>
      <w:szCs w:val="21"/>
      <w:u w:val="none"/>
    </w:rPr>
  </w:style>
  <w:style w:type="character" w:customStyle="1" w:styleId="61">
    <w:name w:val="font101"/>
    <w:basedOn w:val="31"/>
    <w:qFormat/>
    <w:uiPriority w:val="0"/>
    <w:rPr>
      <w:rFonts w:ascii="微软雅黑" w:hAnsi="微软雅黑" w:eastAsia="微软雅黑" w:cs="微软雅黑"/>
      <w:color w:val="000000"/>
      <w:sz w:val="21"/>
      <w:szCs w:val="21"/>
      <w:u w:val="none"/>
    </w:rPr>
  </w:style>
  <w:style w:type="character" w:customStyle="1" w:styleId="62">
    <w:name w:val="font91"/>
    <w:basedOn w:val="31"/>
    <w:qFormat/>
    <w:uiPriority w:val="0"/>
    <w:rPr>
      <w:rFonts w:hint="eastAsia" w:ascii="宋体" w:hAnsi="宋体" w:eastAsia="宋体" w:cs="宋体"/>
      <w:color w:val="FF0000"/>
      <w:sz w:val="21"/>
      <w:szCs w:val="21"/>
      <w:u w:val="none"/>
    </w:rPr>
  </w:style>
  <w:style w:type="character" w:customStyle="1" w:styleId="63">
    <w:name w:val="font112"/>
    <w:basedOn w:val="31"/>
    <w:qFormat/>
    <w:uiPriority w:val="0"/>
    <w:rPr>
      <w:rFonts w:hint="eastAsia" w:ascii="宋体" w:hAnsi="宋体" w:eastAsia="宋体" w:cs="宋体"/>
      <w:b/>
      <w:bCs/>
      <w:color w:val="000000"/>
      <w:sz w:val="21"/>
      <w:szCs w:val="21"/>
      <w:u w:val="none"/>
    </w:rPr>
  </w:style>
  <w:style w:type="character" w:customStyle="1" w:styleId="64">
    <w:name w:val="font121"/>
    <w:basedOn w:val="31"/>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5741</Words>
  <Characters>6229</Characters>
  <Lines>132</Lines>
  <Paragraphs>37</Paragraphs>
  <TotalTime>1</TotalTime>
  <ScaleCrop>false</ScaleCrop>
  <LinksUpToDate>false</LinksUpToDate>
  <CharactersWithSpaces>6307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王亚东</cp:lastModifiedBy>
  <cp:lastPrinted>2024-03-18T02:04:00Z</cp:lastPrinted>
  <dcterms:modified xsi:type="dcterms:W3CDTF">2025-05-14T08:00:54Z</dcterms:modified>
  <dc:title>安徽交控集团会计核算标准化</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06E43F67B4EA4FA686A691DA793FC765_13</vt:lpwstr>
  </property>
  <property fmtid="{D5CDD505-2E9C-101B-9397-08002B2CF9AE}" pid="4" name="KSOTemplateDocerSaveRecord">
    <vt:lpwstr>eyJoZGlkIjoiMjBlMGM1NTI4MGRjNTRlZDcwYjcyMDlmNGMzMDBjMGEiLCJ1c2VySWQiOiIyMTU4MzMxMDgifQ==</vt:lpwstr>
  </property>
</Properties>
</file>