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34FE1">
      <w:pPr>
        <w:spacing w:line="540" w:lineRule="exact"/>
        <w:jc w:val="center"/>
        <w:rPr>
          <w:rFonts w:hint="eastAsia" w:asciiTheme="minorEastAsia" w:hAnsiTheme="minorEastAsia" w:cstheme="minorEastAsia"/>
          <w:b/>
          <w:bCs/>
          <w:color w:val="00000A"/>
          <w:spacing w:val="-11"/>
          <w:w w:val="100"/>
          <w:kern w:val="0"/>
          <w:sz w:val="48"/>
          <w:szCs w:val="48"/>
          <w:highlight w:val="none"/>
          <w:lang w:val="en-US" w:eastAsia="zh-CN" w:bidi="hi-IN"/>
        </w:rPr>
      </w:pPr>
      <w:r>
        <w:rPr>
          <w:rFonts w:hint="eastAsia" w:asciiTheme="minorEastAsia" w:hAnsiTheme="minorEastAsia" w:cstheme="minorEastAsia"/>
          <w:b/>
          <w:bCs/>
          <w:color w:val="00000A"/>
          <w:spacing w:val="-11"/>
          <w:w w:val="100"/>
          <w:kern w:val="0"/>
          <w:sz w:val="48"/>
          <w:szCs w:val="48"/>
          <w:highlight w:val="none"/>
          <w:lang w:val="en-US" w:eastAsia="zh-CN" w:bidi="hi-IN"/>
        </w:rPr>
        <w:t>合肥市包河区BH202437号地块</w:t>
      </w:r>
    </w:p>
    <w:p w14:paraId="1B12C91D">
      <w:pPr>
        <w:spacing w:line="540" w:lineRule="exact"/>
        <w:jc w:val="center"/>
        <w:rPr>
          <w:rFonts w:hint="eastAsia" w:asciiTheme="minorEastAsia" w:hAnsiTheme="minorEastAsia" w:eastAsiaTheme="minorEastAsia" w:cstheme="minorEastAsia"/>
          <w:b/>
          <w:bCs/>
          <w:sz w:val="48"/>
          <w:szCs w:val="48"/>
          <w:highlight w:val="none"/>
          <w:lang w:val="en-US"/>
        </w:rPr>
      </w:pPr>
      <w:r>
        <w:rPr>
          <w:rFonts w:hint="eastAsia" w:asciiTheme="minorEastAsia" w:hAnsiTheme="minorEastAsia" w:cstheme="minorEastAsia"/>
          <w:b/>
          <w:bCs/>
          <w:color w:val="00000A"/>
          <w:spacing w:val="-11"/>
          <w:w w:val="100"/>
          <w:kern w:val="0"/>
          <w:sz w:val="48"/>
          <w:szCs w:val="48"/>
          <w:highlight w:val="none"/>
          <w:lang w:val="en-US" w:eastAsia="zh-CN" w:bidi="hi-IN"/>
        </w:rPr>
        <w:t>石材采购项目（二次采购）</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highlight w:val="none"/>
        </w:rPr>
      </w:pPr>
    </w:p>
    <w:p w14:paraId="0D3160AD">
      <w:pPr>
        <w:pStyle w:val="8"/>
        <w:rPr>
          <w:rFonts w:ascii="Times New Roman" w:hAnsi="Times New Roman" w:cs="Times New Roman"/>
          <w:color w:val="auto"/>
          <w:szCs w:val="21"/>
          <w:highlight w:val="none"/>
        </w:rPr>
      </w:pPr>
    </w:p>
    <w:p w14:paraId="6B3871F8">
      <w:pPr>
        <w:rPr>
          <w:color w:val="auto"/>
          <w:highlight w:val="none"/>
        </w:rPr>
      </w:pPr>
    </w:p>
    <w:p w14:paraId="28B17120">
      <w:pPr>
        <w:pStyle w:val="8"/>
        <w:rPr>
          <w:rFonts w:ascii="Times New Roman" w:hAnsi="Times New Roman" w:cs="Times New Roman"/>
          <w:color w:val="auto"/>
          <w:szCs w:val="21"/>
          <w:highlight w:val="none"/>
        </w:rPr>
      </w:pPr>
    </w:p>
    <w:p w14:paraId="3E23AC69">
      <w:pPr>
        <w:pStyle w:val="8"/>
        <w:rPr>
          <w:rFonts w:ascii="Times New Roman" w:hAnsi="Times New Roman" w:cs="Times New Roman"/>
          <w:color w:val="auto"/>
          <w:szCs w:val="21"/>
          <w:highlight w:val="none"/>
        </w:rPr>
      </w:pPr>
    </w:p>
    <w:p w14:paraId="33EC8FBC">
      <w:pPr>
        <w:pStyle w:val="13"/>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rPr>
        <w:t>安徽</w:t>
      </w:r>
      <w:r>
        <w:rPr>
          <w:rFonts w:hint="eastAsia" w:ascii="黑体" w:hAnsi="黑体" w:eastAsia="黑体" w:cs="黑体"/>
          <w:color w:val="auto"/>
          <w:sz w:val="32"/>
          <w:szCs w:val="32"/>
          <w:highlight w:val="none"/>
          <w:u w:val="single"/>
          <w:lang w:val="en-US" w:eastAsia="zh-CN"/>
        </w:rPr>
        <w:t>省经工物资</w:t>
      </w:r>
      <w:r>
        <w:rPr>
          <w:rFonts w:hint="eastAsia" w:ascii="黑体" w:hAnsi="黑体" w:eastAsia="黑体" w:cs="黑体"/>
          <w:color w:val="auto"/>
          <w:sz w:val="32"/>
          <w:szCs w:val="32"/>
          <w:highlight w:val="none"/>
          <w:u w:val="single"/>
        </w:rPr>
        <w:t>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u w:val="single"/>
          <w:lang w:val="en-US" w:eastAsia="zh-CN"/>
        </w:rPr>
        <w:t xml:space="preserve"> 6</w:t>
      </w:r>
      <w:r>
        <w:rPr>
          <w:rFonts w:hint="eastAsia" w:ascii="黑体" w:hAnsi="黑体" w:eastAsia="黑体" w:cs="黑体"/>
          <w:color w:val="auto"/>
          <w:sz w:val="32"/>
          <w:szCs w:val="32"/>
          <w:highlight w:val="none"/>
        </w:rPr>
        <w:t>月</w:t>
      </w:r>
    </w:p>
    <w:p w14:paraId="709741F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FF0000"/>
          <w:sz w:val="32"/>
          <w:szCs w:val="32"/>
          <w:highlight w:val="none"/>
        </w:rPr>
      </w:pP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06651F07">
          <w:pPr>
            <w:pStyle w:val="15"/>
            <w:tabs>
              <w:tab w:val="right" w:leader="dot" w:pos="8312"/>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_Toc27256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highlight w:val="none"/>
            </w:rPr>
            <w:t>采购公告</w:t>
          </w:r>
          <w:r>
            <w:tab/>
          </w:r>
          <w:r>
            <w:fldChar w:fldCharType="begin"/>
          </w:r>
          <w:r>
            <w:instrText xml:space="preserve"> PAGEREF _Toc27256 \h </w:instrText>
          </w:r>
          <w:r>
            <w:fldChar w:fldCharType="separate"/>
          </w:r>
          <w:r>
            <w:t>3</w:t>
          </w:r>
          <w:r>
            <w:fldChar w:fldCharType="end"/>
          </w:r>
          <w:r>
            <w:rPr>
              <w:rFonts w:hint="eastAsia" w:ascii="宋体" w:hAnsi="宋体" w:eastAsia="宋体" w:cs="宋体"/>
              <w:color w:val="auto"/>
              <w:szCs w:val="24"/>
              <w:highlight w:val="none"/>
            </w:rPr>
            <w:fldChar w:fldCharType="end"/>
          </w:r>
        </w:p>
        <w:p w14:paraId="30A4B8EA">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_Toc20493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highlight w:val="none"/>
            </w:rPr>
            <w:t>供应商须知</w:t>
          </w:r>
          <w:r>
            <w:tab/>
          </w:r>
          <w:r>
            <w:fldChar w:fldCharType="begin"/>
          </w:r>
          <w:r>
            <w:instrText xml:space="preserve"> PAGEREF _Toc20493 \h </w:instrText>
          </w:r>
          <w:r>
            <w:fldChar w:fldCharType="separate"/>
          </w:r>
          <w:r>
            <w:t>6</w:t>
          </w:r>
          <w:r>
            <w:fldChar w:fldCharType="end"/>
          </w:r>
          <w:r>
            <w:rPr>
              <w:rFonts w:hint="eastAsia" w:ascii="宋体" w:hAnsi="宋体" w:eastAsia="宋体" w:cs="宋体"/>
              <w:color w:val="auto"/>
              <w:szCs w:val="24"/>
              <w:highlight w:val="none"/>
            </w:rPr>
            <w:fldChar w:fldCharType="end"/>
          </w:r>
        </w:p>
        <w:p w14:paraId="0095F6A4">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_Toc12514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highlight w:val="none"/>
            </w:rPr>
            <w:t>评审办法</w:t>
          </w:r>
          <w:r>
            <w:tab/>
          </w:r>
          <w:r>
            <w:fldChar w:fldCharType="begin"/>
          </w:r>
          <w:r>
            <w:instrText xml:space="preserve"> PAGEREF _Toc12514 \h </w:instrText>
          </w:r>
          <w:r>
            <w:fldChar w:fldCharType="separate"/>
          </w:r>
          <w:r>
            <w:t>17</w:t>
          </w:r>
          <w:r>
            <w:fldChar w:fldCharType="end"/>
          </w:r>
          <w:r>
            <w:rPr>
              <w:rFonts w:hint="eastAsia" w:ascii="宋体" w:hAnsi="宋体" w:eastAsia="宋体" w:cs="宋体"/>
              <w:color w:val="auto"/>
              <w:szCs w:val="24"/>
              <w:highlight w:val="none"/>
            </w:rPr>
            <w:fldChar w:fldCharType="end"/>
          </w:r>
        </w:p>
        <w:p w14:paraId="1AC45BE1">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_Toc604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r>
            <w:tab/>
          </w:r>
          <w:r>
            <w:fldChar w:fldCharType="begin"/>
          </w:r>
          <w:r>
            <w:instrText xml:space="preserve"> PAGEREF _Toc604 \h </w:instrText>
          </w:r>
          <w:r>
            <w:fldChar w:fldCharType="separate"/>
          </w:r>
          <w:r>
            <w:t>25</w:t>
          </w:r>
          <w:r>
            <w:fldChar w:fldCharType="end"/>
          </w:r>
          <w:r>
            <w:rPr>
              <w:rFonts w:hint="eastAsia" w:ascii="宋体" w:hAnsi="宋体" w:eastAsia="宋体" w:cs="宋体"/>
              <w:color w:val="auto"/>
              <w:szCs w:val="24"/>
              <w:highlight w:val="none"/>
            </w:rPr>
            <w:fldChar w:fldCharType="end"/>
          </w:r>
        </w:p>
        <w:p w14:paraId="17268F0C">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_Toc30707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第五章 采购需求及清单</w:t>
          </w:r>
          <w:r>
            <w:tab/>
          </w:r>
          <w:r>
            <w:fldChar w:fldCharType="begin"/>
          </w:r>
          <w:r>
            <w:instrText xml:space="preserve"> PAGEREF _Toc30707 \h </w:instrText>
          </w:r>
          <w:r>
            <w:fldChar w:fldCharType="separate"/>
          </w:r>
          <w:r>
            <w:t>39</w:t>
          </w:r>
          <w:r>
            <w:fldChar w:fldCharType="end"/>
          </w:r>
          <w:r>
            <w:rPr>
              <w:rFonts w:hint="eastAsia" w:ascii="宋体" w:hAnsi="宋体" w:eastAsia="宋体" w:cs="宋体"/>
              <w:color w:val="auto"/>
              <w:szCs w:val="24"/>
              <w:highlight w:val="none"/>
            </w:rPr>
            <w:fldChar w:fldCharType="end"/>
          </w:r>
        </w:p>
        <w:p w14:paraId="4CD5CFC8">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_Toc18253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第六章 </w:t>
          </w:r>
          <w:r>
            <w:rPr>
              <w:rFonts w:hint="eastAsia" w:ascii="Times New Roman" w:hAnsi="Times New Roman" w:eastAsia="宋体" w:cs="Times New Roman"/>
              <w:highlight w:val="none"/>
            </w:rPr>
            <w:t>响应文件格式</w:t>
          </w:r>
          <w:r>
            <w:tab/>
          </w:r>
          <w:r>
            <w:fldChar w:fldCharType="begin"/>
          </w:r>
          <w:r>
            <w:instrText xml:space="preserve"> PAGEREF _Toc18253 \h </w:instrText>
          </w:r>
          <w:r>
            <w:fldChar w:fldCharType="separate"/>
          </w:r>
          <w:r>
            <w:t>42</w:t>
          </w:r>
          <w:r>
            <w:fldChar w:fldCharType="end"/>
          </w:r>
          <w:r>
            <w:rPr>
              <w:rFonts w:hint="eastAsia" w:ascii="宋体" w:hAnsi="宋体" w:eastAsia="宋体" w:cs="宋体"/>
              <w:color w:val="auto"/>
              <w:szCs w:val="24"/>
              <w:highlight w:val="none"/>
            </w:rPr>
            <w:fldChar w:fldCharType="end"/>
          </w:r>
        </w:p>
        <w:p w14:paraId="0EAA7A05">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2"/>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highlight w:val="none"/>
        </w:rPr>
      </w:pPr>
      <w:bookmarkStart w:id="0" w:name="_Toc27256"/>
      <w:r>
        <w:rPr>
          <w:rFonts w:ascii="Times New Roman" w:hAnsi="Times New Roman" w:eastAsia="宋体" w:cs="Times New Roman"/>
          <w:color w:val="auto"/>
          <w:highlight w:val="none"/>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6496_WPSOffice_Level2"/>
      <w:bookmarkStart w:id="2" w:name="_Toc24354_WPSOffice_Level2"/>
      <w:bookmarkStart w:id="3" w:name="_Toc13871"/>
      <w:bookmarkStart w:id="4" w:name="_Toc10395_WPSOffice_Level2"/>
      <w:bookmarkStart w:id="5" w:name="_Toc525632585"/>
      <w:bookmarkStart w:id="6" w:name="_Toc4489_WPSOffice_Level2"/>
      <w:bookmarkStart w:id="7" w:name="_Toc1276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000000" w:themeColor="text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1.1项目名称：</w:t>
      </w:r>
      <w:r>
        <w:rPr>
          <w:rFonts w:hint="eastAsia"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合肥市包河区BH202437号地块石材采购项目</w:t>
      </w: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p w14:paraId="17183991">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1.2 采 购 人：</w:t>
      </w:r>
      <w:r>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t>本项目采购主体为安徽省经工物资有限公司</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w:t>
      </w:r>
    </w:p>
    <w:p w14:paraId="3161E96A">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1.3 项目概况：</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本项目总占地面积294.87亩，容积率≤ 1.5，建设一个客房数不少于 500 套的酒店，本次建设的为</w:t>
      </w:r>
      <w:r>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t>地块内 3#、5#、7#、9#楼栋</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bookmarkStart w:id="8" w:name="_Toc17858_WPSOffice_Level2"/>
      <w:bookmarkStart w:id="9" w:name="_Toc10274"/>
      <w:bookmarkStart w:id="10" w:name="_Toc525632586"/>
      <w:bookmarkStart w:id="11" w:name="_Toc23266_WPSOffice_Level2"/>
      <w:bookmarkStart w:id="12" w:name="_Toc8128_WPSOffice_Level2"/>
      <w:bookmarkStart w:id="13" w:name="_Toc18367_WPSOffice_Level2"/>
      <w:bookmarkStart w:id="14" w:name="_Toc18453"/>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pPr>
      <w:bookmarkStart w:id="15" w:name="_Toc4489_WPSOffice_Level3"/>
      <w:r>
        <w:rPr>
          <w:rFonts w:hint="default" w:ascii="Times New Roman" w:hAnsi="Times New Roman" w:eastAsia="宋体" w:cs="Times New Roman"/>
          <w:color w:val="000000" w:themeColor="text1"/>
          <w:szCs w:val="21"/>
          <w:highlight w:val="none"/>
          <w14:textFill>
            <w14:solidFill>
              <w14:schemeClr w14:val="tx1"/>
            </w14:solidFill>
          </w14:textFill>
        </w:rPr>
        <w:t>2.1 采购方式：</w:t>
      </w:r>
      <w:bookmarkEnd w:id="15"/>
      <w:r>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t>询比采购</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000000" w:themeColor="text1"/>
          <w:szCs w:val="21"/>
          <w:highlight w:val="none"/>
          <w:lang w:eastAsia="zh-CN"/>
          <w14:textFill>
            <w14:solidFill>
              <w14:schemeClr w14:val="tx1"/>
            </w14:solidFill>
          </w14:textFill>
        </w:rPr>
      </w:pPr>
      <w:bookmarkStart w:id="16" w:name="_Toc23266_WPSOffice_Level3"/>
      <w:r>
        <w:rPr>
          <w:rFonts w:hint="default" w:ascii="Times New Roman" w:hAnsi="Times New Roman" w:eastAsia="宋体" w:cs="Times New Roman"/>
          <w:color w:val="000000" w:themeColor="text1"/>
          <w:szCs w:val="21"/>
          <w:highlight w:val="none"/>
          <w14:textFill>
            <w14:solidFill>
              <w14:schemeClr w14:val="tx1"/>
            </w14:solidFill>
          </w14:textFill>
        </w:rPr>
        <w:t>2.2 资金来源及比例：</w:t>
      </w:r>
      <w:bookmarkEnd w:id="16"/>
      <w:bookmarkStart w:id="17" w:name="_Toc22379_WPSOffice_Level3"/>
      <w:r>
        <w:rPr>
          <w:rFonts w:hint="default" w:ascii="Times New Roman" w:hAnsi="Times New Roman" w:eastAsia="宋体" w:cs="Times New Roman"/>
          <w:color w:val="000000" w:themeColor="text1"/>
          <w:szCs w:val="21"/>
          <w:highlight w:val="none"/>
          <w:u w:val="single"/>
          <w14:textFill>
            <w14:solidFill>
              <w14:schemeClr w14:val="tx1"/>
            </w14:solidFill>
          </w14:textFill>
        </w:rPr>
        <w:t>100%来自企业自筹</w:t>
      </w:r>
      <w:r>
        <w:rPr>
          <w:rFonts w:hint="eastAsia" w:ascii="Times New Roman" w:hAnsi="Times New Roman" w:eastAsia="宋体" w:cs="Times New Roman"/>
          <w:color w:val="000000" w:themeColor="text1"/>
          <w:szCs w:val="21"/>
          <w:highlight w:val="none"/>
          <w:u w:val="single"/>
          <w:lang w:eastAsia="zh-CN"/>
          <w14:textFill>
            <w14:solidFill>
              <w14:schemeClr w14:val="tx1"/>
            </w14:solidFill>
          </w14:textFill>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2.3 采购范围：</w:t>
      </w:r>
      <w:r>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2.4 品牌范围：</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无。</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2.5 合同包划分：</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1个</w:t>
      </w:r>
      <w:r>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t>采购包</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段</w:t>
      </w:r>
      <w:r>
        <w:rPr>
          <w:rFonts w:hint="default" w:ascii="Times New Roman" w:hAnsi="Times New Roman" w:eastAsia="宋体" w:cs="Times New Roman"/>
          <w:color w:val="000000" w:themeColor="text1"/>
          <w:szCs w:val="21"/>
          <w:highlight w:val="none"/>
          <w:u w:val="none"/>
          <w:lang w:val="en-US" w:eastAsia="zh-CN"/>
          <w14:textFill>
            <w14:solidFill>
              <w14:schemeClr w14:val="tx1"/>
            </w14:solidFill>
          </w14:textFill>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000000" w:themeColor="text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2.</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Cs w:val="21"/>
          <w:highlight w:val="none"/>
          <w14:textFill>
            <w14:solidFill>
              <w14:schemeClr w14:val="tx1"/>
            </w14:solidFill>
          </w14:textFill>
        </w:rPr>
        <w:t xml:space="preserve"> 最高限价：</w:t>
      </w:r>
      <w:bookmarkEnd w:id="17"/>
      <w:r>
        <w:rPr>
          <w:rFonts w:hint="eastAsia" w:ascii="Times New Roman" w:hAnsi="Times New Roman" w:cs="Times New Roman"/>
          <w:color w:val="000000" w:themeColor="text1"/>
          <w:szCs w:val="22"/>
          <w:highlight w:val="none"/>
          <w:u w:val="single"/>
          <w:lang w:val="en-US" w:eastAsia="zh-CN"/>
          <w14:textFill>
            <w14:solidFill>
              <w14:schemeClr w14:val="tx1"/>
            </w14:solidFill>
          </w14:textFill>
        </w:rPr>
        <w:t>239.59万元</w:t>
      </w:r>
      <w:r>
        <w:rPr>
          <w:rFonts w:hint="eastAsia" w:ascii="宋体" w:hAnsi="宋体" w:eastAsia="宋体" w:cs="宋体"/>
          <w:b w:val="0"/>
          <w:bCs w:val="0"/>
          <w:color w:val="000000" w:themeColor="text1"/>
          <w:szCs w:val="21"/>
          <w:highlight w:val="none"/>
          <w:u w:val="single"/>
          <w:lang w:val="en-US" w:eastAsia="zh-CN"/>
          <w14:textFill>
            <w14:solidFill>
              <w14:schemeClr w14:val="tx1"/>
            </w14:solidFill>
          </w14:textFill>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bCs/>
          <w:color w:val="FF0000"/>
          <w:kern w:val="0"/>
          <w:sz w:val="21"/>
          <w:szCs w:val="21"/>
          <w:highlight w:val="none"/>
          <w:u w:val="none"/>
          <w:lang w:eastAsia="zh-CN"/>
        </w:rPr>
      </w:pPr>
      <w:r>
        <w:rPr>
          <w:rFonts w:hint="default" w:ascii="Times New Roman" w:hAnsi="Times New Roman" w:eastAsia="宋体" w:cs="Times New Roman"/>
          <w:color w:val="000000" w:themeColor="text1"/>
          <w:szCs w:val="21"/>
          <w:highlight w:val="none"/>
          <w14:textFill>
            <w14:solidFill>
              <w14:schemeClr w14:val="tx1"/>
            </w14:solidFill>
          </w14:textFill>
        </w:rPr>
        <w:t>2.</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Cs w:val="21"/>
          <w:highlight w:val="none"/>
          <w14:textFill>
            <w14:solidFill>
              <w14:schemeClr w14:val="tx1"/>
            </w14:solidFill>
          </w14:textFill>
        </w:rPr>
        <w:t xml:space="preserve"> </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交货期</w:t>
      </w:r>
      <w:r>
        <w:rPr>
          <w:rFonts w:hint="default" w:ascii="Times New Roman" w:hAnsi="Times New Roman" w:eastAsia="宋体" w:cs="Times New Roman"/>
          <w:color w:val="000000" w:themeColor="text1"/>
          <w:szCs w:val="21"/>
          <w:highlight w:val="none"/>
          <w14:textFill>
            <w14:solidFill>
              <w14:schemeClr w14:val="tx1"/>
            </w14:solidFill>
          </w14:textFill>
        </w:rPr>
        <w:t>：</w:t>
      </w:r>
      <w:r>
        <w:rPr>
          <w:rFonts w:hint="eastAsia" w:ascii="宋体" w:hAnsi="宋体" w:eastAsia="宋体" w:cs="宋体"/>
          <w:b w:val="0"/>
          <w:bCs w:val="0"/>
          <w:color w:val="auto"/>
          <w:szCs w:val="21"/>
          <w:highlight w:val="none"/>
          <w:u w:val="single"/>
          <w:lang w:val="en-US" w:eastAsia="zh-CN"/>
        </w:rPr>
        <w:t>在接到甲方通知之日起10天内交第一批货，具体根据实际情况安排进度。</w:t>
      </w:r>
    </w:p>
    <w:p w14:paraId="2AECD811">
      <w:pPr>
        <w:keepNext w:val="0"/>
        <w:keepLines w:val="0"/>
        <w:pageBreakBefore w:val="0"/>
        <w:widowControl/>
        <w:suppressLineNumbers w:val="0"/>
        <w:kinsoku/>
        <w:wordWrap/>
        <w:overflowPunct/>
        <w:topLinePunct w:val="0"/>
        <w:autoSpaceDE/>
        <w:autoSpaceDN/>
        <w:bidi w:val="0"/>
        <w:adjustRightInd/>
        <w:spacing w:line="440" w:lineRule="exact"/>
        <w:ind w:firstLine="420" w:firstLineChars="200"/>
        <w:jc w:val="left"/>
        <w:textAlignment w:val="auto"/>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2.8交货地点：</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安徽省合肥市包河区黄河路以北、庐州大道两侧，具体详细交货地点根据实际情况安排</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w:t>
      </w:r>
    </w:p>
    <w:p w14:paraId="60F1E61F">
      <w:pPr>
        <w:keepNext w:val="0"/>
        <w:keepLines w:val="0"/>
        <w:pageBreakBefore w:val="0"/>
        <w:widowControl/>
        <w:suppressLineNumbers w:val="0"/>
        <w:kinsoku/>
        <w:wordWrap/>
        <w:overflowPunct/>
        <w:topLinePunct w:val="0"/>
        <w:autoSpaceDE/>
        <w:autoSpaceDN/>
        <w:bidi w:val="0"/>
        <w:adjustRightInd/>
        <w:spacing w:line="440" w:lineRule="exact"/>
        <w:ind w:firstLine="420" w:firstLineChars="200"/>
        <w:jc w:val="left"/>
        <w:textAlignment w:val="auto"/>
        <w:rPr>
          <w:rFonts w:hint="default"/>
          <w:u w:val="none"/>
          <w:lang w:val="en-US" w:eastAsia="zh-CN"/>
        </w:rPr>
      </w:pPr>
      <w:r>
        <w:rPr>
          <w:rFonts w:hint="eastAsia" w:ascii="Times New Roman" w:hAnsi="Times New Roman" w:eastAsia="宋体" w:cs="Times New Roman"/>
          <w:color w:val="000000" w:themeColor="text1"/>
          <w:szCs w:val="21"/>
          <w:highlight w:val="none"/>
          <w:u w:val="none"/>
          <w:lang w:val="en-US" w:eastAsia="zh-CN"/>
          <w14:textFill>
            <w14:solidFill>
              <w14:schemeClr w14:val="tx1"/>
            </w14:solidFill>
          </w14:textFill>
        </w:rPr>
        <w:t>2.9本项目石材已封样，各潜在投标人自行前往项目部确认石材样品并承诺按样品报价。拟中标人须在采购人通知之日起7日内，按封样石材标准再次送石材小样并经项目部确认。如所送样品不符合要求，采购人有权没收投标保证金，按中标候选人排序重新确定成交人；或重新组织采购。</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供应商资格条件</w:t>
      </w:r>
    </w:p>
    <w:p w14:paraId="71F8C970">
      <w:pPr>
        <w:snapToGrid w:val="0"/>
        <w:spacing w:beforeLines="0" w:afterLines="0" w:line="400" w:lineRule="exact"/>
        <w:ind w:firstLine="420" w:firstLineChars="200"/>
        <w:rPr>
          <w:rFonts w:hint="eastAsia" w:ascii="宋体" w:hAnsi="宋体" w:cs="宋体"/>
          <w:color w:val="000000" w:themeColor="text1"/>
          <w:sz w:val="21"/>
          <w:szCs w:val="22"/>
          <w:highlight w:val="none"/>
          <w14:textFill>
            <w14:solidFill>
              <w14:schemeClr w14:val="tx1"/>
            </w14:solidFill>
          </w14:textFill>
        </w:rPr>
      </w:pPr>
      <w:r>
        <w:rPr>
          <w:rFonts w:hint="eastAsia" w:ascii="宋体" w:hAnsi="宋体" w:cs="宋体"/>
          <w:color w:val="000000" w:themeColor="text1"/>
          <w:sz w:val="21"/>
          <w:szCs w:val="22"/>
          <w:highlight w:val="none"/>
          <w14:textFill>
            <w14:solidFill>
              <w14:schemeClr w14:val="tx1"/>
            </w14:solidFill>
          </w14:textFill>
        </w:rPr>
        <w:t>3.1 本次采购要求供应商须同时具备：</w:t>
      </w:r>
    </w:p>
    <w:p w14:paraId="7ED83F0D">
      <w:pPr>
        <w:snapToGrid w:val="0"/>
        <w:spacing w:beforeLines="0" w:afterLines="0" w:line="400" w:lineRule="exact"/>
        <w:ind w:firstLine="420" w:firstLineChars="200"/>
        <w:rPr>
          <w:rFonts w:hint="eastAsia" w:ascii="宋体" w:hAnsi="宋体" w:cs="宋体"/>
          <w:color w:val="000000" w:themeColor="text1"/>
          <w:sz w:val="21"/>
          <w:szCs w:val="22"/>
          <w:highlight w:val="none"/>
          <w14:textFill>
            <w14:solidFill>
              <w14:schemeClr w14:val="tx1"/>
            </w14:solidFill>
          </w14:textFill>
        </w:rPr>
      </w:pPr>
      <w:r>
        <w:rPr>
          <w:rFonts w:hint="eastAsia" w:ascii="Times New Roman" w:hAnsi="Times New Roman"/>
          <w:color w:val="000000" w:themeColor="text1"/>
          <w:sz w:val="21"/>
          <w:szCs w:val="22"/>
          <w:highlight w:val="none"/>
          <w14:textFill>
            <w14:solidFill>
              <w14:schemeClr w14:val="tx1"/>
            </w14:solidFill>
          </w14:textFill>
        </w:rPr>
        <w:t>（1）</w:t>
      </w:r>
      <w:r>
        <w:rPr>
          <w:rFonts w:hint="eastAsia" w:ascii="宋体" w:hAnsi="宋体" w:cs="宋体"/>
          <w:color w:val="000000" w:themeColor="text1"/>
          <w:sz w:val="21"/>
          <w:szCs w:val="22"/>
          <w:highlight w:val="none"/>
          <w14:textFill>
            <w14:solidFill>
              <w14:schemeClr w14:val="tx1"/>
            </w14:solidFill>
          </w14:textFill>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000000" w:themeColor="text1"/>
          <w:sz w:val="21"/>
          <w:szCs w:val="22"/>
          <w:highlight w:val="none"/>
          <w:lang w:val="en-US" w:eastAsia="zh-CN"/>
          <w14:textFill>
            <w14:solidFill>
              <w14:schemeClr w14:val="tx1"/>
            </w14:solidFill>
          </w14:textFill>
        </w:rPr>
      </w:pPr>
      <w:r>
        <w:rPr>
          <w:rFonts w:hint="eastAsia" w:ascii="宋体" w:hAnsi="宋体" w:cs="宋体"/>
          <w:color w:val="000000" w:themeColor="text1"/>
          <w:sz w:val="21"/>
          <w:szCs w:val="22"/>
          <w:highlight w:val="none"/>
          <w14:textFill>
            <w14:solidFill>
              <w14:schemeClr w14:val="tx1"/>
            </w14:solidFill>
          </w14:textFill>
        </w:rPr>
        <w:t xml:space="preserve">具备独立法人资格，持有有效的营业执照。 </w:t>
      </w:r>
      <w:r>
        <w:rPr>
          <w:rFonts w:hint="eastAsia" w:ascii="宋体" w:hAnsi="宋体" w:cs="宋体"/>
          <w:color w:val="000000" w:themeColor="text1"/>
          <w:sz w:val="21"/>
          <w:szCs w:val="22"/>
          <w:highlight w:val="none"/>
          <w:lang w:val="en-US" w:eastAsia="zh-CN"/>
          <w14:textFill>
            <w14:solidFill>
              <w14:schemeClr w14:val="tx1"/>
            </w14:solidFill>
          </w14:textFill>
        </w:rPr>
        <w:t xml:space="preserve"> </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Cs w:val="22"/>
          <w:highlight w:val="none"/>
          <w:lang w:val="en-US" w:eastAsia="zh-CN"/>
          <w14:textFill>
            <w14:solidFill>
              <w14:schemeClr w14:val="tx1"/>
            </w14:solidFill>
          </w14:textFill>
        </w:rPr>
        <w:t>2</w:t>
      </w:r>
      <w:r>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Cs w:val="22"/>
          <w:highlight w:val="none"/>
          <w14:textFill>
            <w14:solidFill>
              <w14:schemeClr w14:val="tx1"/>
            </w14:solidFill>
          </w14:textFill>
        </w:rPr>
        <w:t>业绩最低要求：</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t>至少提供1个自202</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2</w:t>
      </w:r>
      <w:r>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t>年1月1日以来，单项合同额不低于</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200</w:t>
      </w:r>
      <w:r>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t>万元的</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石材</w:t>
      </w:r>
      <w:r>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t>供应</w:t>
      </w:r>
      <w:r>
        <w:rPr>
          <w:rFonts w:hint="default" w:ascii="Times New Roman" w:hAnsi="Times New Roman" w:cs="Times New Roman" w:eastAsiaTheme="minorEastAsia"/>
          <w:b w:val="0"/>
          <w:bCs w:val="0"/>
          <w:color w:val="000000" w:themeColor="text1"/>
          <w:szCs w:val="21"/>
          <w:highlight w:val="none"/>
          <w:u w:val="single"/>
          <w:lang w:val="en-US" w:eastAsia="zh-CN"/>
          <w14:textFill>
            <w14:solidFill>
              <w14:schemeClr w14:val="tx1"/>
            </w14:solidFill>
          </w14:textFill>
        </w:rPr>
        <w:t>合同业绩（</w:t>
      </w:r>
      <w:r>
        <w:rPr>
          <w:rFonts w:hint="eastAsia" w:ascii="Times New Roman" w:hAnsi="Times New Roman" w:cs="Times New Roman"/>
          <w:b w:val="0"/>
          <w:bCs w:val="0"/>
          <w:color w:val="000000" w:themeColor="text1"/>
          <w:szCs w:val="21"/>
          <w:highlight w:val="none"/>
          <w:u w:val="single"/>
          <w:lang w:val="en-US" w:eastAsia="zh-CN"/>
          <w14:textFill>
            <w14:solidFill>
              <w14:schemeClr w14:val="tx1"/>
            </w14:solidFill>
          </w14:textFill>
        </w:rPr>
        <w:t>每个业绩至少提供不低于合同金额50%的增值税发票或收到业主转账的收款凭证，未提供，该业绩无效</w:t>
      </w:r>
      <w:r>
        <w:rPr>
          <w:rFonts w:hint="default" w:ascii="Times New Roman" w:hAnsi="Times New Roman" w:cs="Times New Roman" w:eastAsiaTheme="minorEastAsia"/>
          <w:b w:val="0"/>
          <w:bCs w:val="0"/>
          <w:color w:val="000000" w:themeColor="text1"/>
          <w:szCs w:val="21"/>
          <w:highlight w:val="none"/>
          <w:u w:val="single"/>
          <w:lang w:val="en-US" w:eastAsia="zh-CN"/>
          <w14:textFill>
            <w14:solidFill>
              <w14:schemeClr w14:val="tx1"/>
            </w14:solidFill>
          </w14:textFill>
        </w:rPr>
        <w:t>）</w:t>
      </w:r>
      <w:r>
        <w:rPr>
          <w:rFonts w:hint="eastAsia" w:ascii="Times New Roman" w:hAnsi="Times New Roman" w:cs="Times New Roman"/>
          <w:b w:val="0"/>
          <w:bCs w:val="0"/>
          <w:color w:val="000000" w:themeColor="text1"/>
          <w:szCs w:val="21"/>
          <w:highlight w:val="none"/>
          <w:u w:val="single"/>
          <w:lang w:val="en-US" w:eastAsia="zh-CN"/>
          <w14:textFill>
            <w14:solidFill>
              <w14:schemeClr w14:val="tx1"/>
            </w14:solidFill>
          </w14:textFill>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w:t>
      </w:r>
      <w:r>
        <w:rPr>
          <w:rFonts w:hint="default" w:ascii="Times New Roman" w:hAnsi="Times New Roman" w:cs="Times New Roman" w:eastAsiaTheme="minorEastAsia"/>
          <w:color w:val="000000" w:themeColor="text1"/>
          <w:szCs w:val="22"/>
          <w:highlight w:val="none"/>
          <w:lang w:val="en-US" w:eastAsia="zh-CN"/>
          <w14:textFill>
            <w14:solidFill>
              <w14:schemeClr w14:val="tx1"/>
            </w14:solidFill>
          </w14:textFill>
        </w:rPr>
        <w:t>3</w:t>
      </w:r>
      <w:r>
        <w:rPr>
          <w:rFonts w:hint="default" w:ascii="Times New Roman" w:hAnsi="Times New Roman" w:cs="Times New Roman" w:eastAsiaTheme="minorEastAsia"/>
          <w:color w:val="000000" w:themeColor="text1"/>
          <w:szCs w:val="22"/>
          <w:highlight w:val="none"/>
          <w14:textFill>
            <w14:solidFill>
              <w14:schemeClr w14:val="tx1"/>
            </w14:solidFill>
          </w14:textFill>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⑤在近三年内（自响应文件递交截止之日向前追溯3年）供应商或其法定代表人、拟委任的项目经理</w:t>
      </w:r>
      <w:r>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Cs w:val="22"/>
          <w:highlight w:val="none"/>
          <w:lang w:val="en-US" w:eastAsia="zh-CN"/>
          <w14:textFill>
            <w14:solidFill>
              <w14:schemeClr w14:val="tx1"/>
            </w14:solidFill>
          </w14:textFill>
        </w:rPr>
        <w:t>如有</w:t>
      </w:r>
      <w:r>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Cs w:val="22"/>
          <w:highlight w:val="none"/>
          <w14:textFill>
            <w14:solidFill>
              <w14:schemeClr w14:val="tx1"/>
            </w14:solidFill>
          </w14:textFill>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⑥其他要求：</w:t>
      </w:r>
      <w:r>
        <w:rPr>
          <w:rFonts w:hint="default" w:ascii="Times New Roman" w:hAnsi="Times New Roman" w:cs="Times New Roman" w:eastAsiaTheme="minorEastAsia"/>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highlight w:val="none"/>
          <w14:textFill>
            <w14:solidFill>
              <w14:schemeClr w14:val="tx1"/>
            </w14:solidFill>
          </w14:textFill>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 w:val="18"/>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 w:val="18"/>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bookmarkStart w:id="18" w:name="_Toc4109_WPSOffice_Level2"/>
      <w:bookmarkStart w:id="19" w:name="_Toc25666_WPSOffice_Level2"/>
      <w:bookmarkStart w:id="20" w:name="_Toc2996_WPSOffice_Level2"/>
      <w:bookmarkStart w:id="21" w:name="_Toc1994"/>
      <w:bookmarkStart w:id="22" w:name="_Toc525632588"/>
      <w:bookmarkStart w:id="23" w:name="_Toc4751"/>
      <w:bookmarkStart w:id="24" w:name="_Toc29452_WPSOffice_Level2"/>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000000" w:themeColor="text1"/>
          <w:sz w:val="21"/>
          <w:szCs w:val="22"/>
          <w:highlight w:val="none"/>
          <w14:textFill>
            <w14:solidFill>
              <w14:schemeClr w14:val="tx1"/>
            </w14:solidFill>
          </w14:textFill>
        </w:rPr>
      </w:pPr>
      <w:bookmarkStart w:id="25" w:name="_Toc726"/>
      <w:bookmarkStart w:id="26" w:name="_Toc525632589"/>
      <w:r>
        <w:rPr>
          <w:rFonts w:hint="eastAsia" w:ascii="Times New Roman" w:hAnsi="Times New Roman"/>
          <w:color w:val="000000" w:themeColor="text1"/>
          <w:sz w:val="21"/>
          <w:szCs w:val="22"/>
          <w:highlight w:val="none"/>
          <w14:textFill>
            <w14:solidFill>
              <w14:schemeClr w14:val="tx1"/>
            </w14:solidFill>
          </w14:textFill>
        </w:rPr>
        <w:t>供应商须在“安徽交控建设工程集团</w:t>
      </w:r>
      <w:r>
        <w:rPr>
          <w:rFonts w:hint="eastAsia" w:ascii="Times New Roman" w:hAnsi="Times New Roman"/>
          <w:color w:val="000000" w:themeColor="text1"/>
          <w:sz w:val="21"/>
          <w:szCs w:val="22"/>
          <w:highlight w:val="none"/>
          <w:lang w:val="en-US" w:eastAsia="zh-CN"/>
          <w14:textFill>
            <w14:solidFill>
              <w14:schemeClr w14:val="tx1"/>
            </w14:solidFill>
          </w14:textFill>
        </w:rPr>
        <w:t>有限公司</w:t>
      </w:r>
      <w:r>
        <w:rPr>
          <w:rFonts w:hint="eastAsia" w:ascii="Times New Roman" w:hAnsi="Times New Roman"/>
          <w:color w:val="000000" w:themeColor="text1"/>
          <w:sz w:val="21"/>
          <w:szCs w:val="22"/>
          <w:highlight w:val="none"/>
          <w14:textFill>
            <w14:solidFill>
              <w14:schemeClr w14:val="tx1"/>
            </w14:solidFill>
          </w14:textFill>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000000" w:themeColor="text1"/>
          <w:kern w:val="2"/>
          <w:sz w:val="21"/>
          <w:szCs w:val="22"/>
          <w:highlight w:val="none"/>
          <w:u w:val="none"/>
          <w:lang w:val="en-US" w:eastAsia="zh-CN" w:bidi="ar-SA"/>
          <w14:textFill>
            <w14:solidFill>
              <w14:schemeClr w14:val="tx1"/>
            </w14:solidFill>
          </w14:textFill>
        </w:rPr>
      </w:pPr>
      <w:bookmarkStart w:id="27" w:name="_Toc525632591"/>
      <w:bookmarkStart w:id="28" w:name="_Toc22719"/>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响应文件递交的截止时间为</w:t>
      </w:r>
      <w:r>
        <w:rPr>
          <w:rFonts w:hint="eastAsia" w:ascii="Times New Roman" w:hAnsi="Times New Roman" w:eastAsia="宋体" w:cs="Times New Roman"/>
          <w:b/>
          <w:bCs/>
          <w:color w:val="000000" w:themeColor="text1"/>
          <w:kern w:val="0"/>
          <w:sz w:val="21"/>
          <w:szCs w:val="21"/>
          <w:highlight w:val="none"/>
          <w:u w:val="single"/>
          <w:lang w:val="en-US" w:eastAsia="zh-CN" w:bidi="ar-SA"/>
          <w14:textFill>
            <w14:solidFill>
              <w14:schemeClr w14:val="tx1"/>
            </w14:solidFill>
          </w14:textFill>
        </w:rPr>
        <w:t xml:space="preserve"> 2025 </w:t>
      </w:r>
      <w:r>
        <w:rPr>
          <w:rFonts w:hint="default" w:ascii="Times New Roman" w:hAnsi="Times New Roman" w:eastAsia="宋体" w:cs="Times New Roman"/>
          <w:b/>
          <w:bCs/>
          <w:color w:val="000000" w:themeColor="text1"/>
          <w:kern w:val="0"/>
          <w:sz w:val="21"/>
          <w:szCs w:val="21"/>
          <w:highlight w:val="none"/>
          <w:lang w:val="en-US" w:eastAsia="zh-CN" w:bidi="ar-SA"/>
          <w14:textFill>
            <w14:solidFill>
              <w14:schemeClr w14:val="tx1"/>
            </w14:solidFill>
          </w14:textFill>
        </w:rPr>
        <w:t>年</w:t>
      </w:r>
      <w:r>
        <w:rPr>
          <w:rFonts w:hint="eastAsia" w:ascii="Times New Roman" w:hAnsi="Times New Roman" w:eastAsia="宋体" w:cs="Times New Roman"/>
          <w:b/>
          <w:bCs/>
          <w:color w:val="000000" w:themeColor="text1"/>
          <w:kern w:val="0"/>
          <w:sz w:val="21"/>
          <w:szCs w:val="21"/>
          <w:highlight w:val="none"/>
          <w:u w:val="single"/>
          <w:lang w:val="en-US" w:eastAsia="zh-CN" w:bidi="ar-SA"/>
          <w14:textFill>
            <w14:solidFill>
              <w14:schemeClr w14:val="tx1"/>
            </w14:solidFill>
          </w14:textFill>
        </w:rPr>
        <w:t xml:space="preserve"> 6 </w:t>
      </w:r>
      <w:r>
        <w:rPr>
          <w:rFonts w:hint="default" w:ascii="Times New Roman" w:hAnsi="Times New Roman" w:eastAsia="宋体" w:cs="Times New Roman"/>
          <w:b/>
          <w:bCs/>
          <w:color w:val="000000" w:themeColor="text1"/>
          <w:kern w:val="0"/>
          <w:sz w:val="21"/>
          <w:szCs w:val="21"/>
          <w:highlight w:val="none"/>
          <w:lang w:val="en-US" w:eastAsia="zh-CN" w:bidi="ar-SA"/>
          <w14:textFill>
            <w14:solidFill>
              <w14:schemeClr w14:val="tx1"/>
            </w14:solidFill>
          </w14:textFill>
        </w:rPr>
        <w:t>月</w:t>
      </w:r>
      <w:r>
        <w:rPr>
          <w:rFonts w:hint="eastAsia" w:ascii="Times New Roman" w:hAnsi="Times New Roman" w:eastAsia="宋体" w:cs="Times New Roman"/>
          <w:b/>
          <w:bCs/>
          <w:color w:val="000000" w:themeColor="text1"/>
          <w:kern w:val="0"/>
          <w:sz w:val="21"/>
          <w:szCs w:val="21"/>
          <w:highlight w:val="none"/>
          <w:u w:val="single"/>
          <w:lang w:val="en-US" w:eastAsia="zh-CN" w:bidi="ar-SA"/>
          <w14:textFill>
            <w14:solidFill>
              <w14:schemeClr w14:val="tx1"/>
            </w14:solidFill>
          </w14:textFill>
        </w:rPr>
        <w:t xml:space="preserve"> 9 </w:t>
      </w:r>
      <w:r>
        <w:rPr>
          <w:rFonts w:hint="default" w:ascii="Times New Roman" w:hAnsi="Times New Roman" w:eastAsia="宋体" w:cs="Times New Roman"/>
          <w:b/>
          <w:bCs/>
          <w:color w:val="000000" w:themeColor="text1"/>
          <w:kern w:val="0"/>
          <w:sz w:val="21"/>
          <w:szCs w:val="21"/>
          <w:highlight w:val="none"/>
          <w:lang w:val="en-US" w:eastAsia="zh-CN" w:bidi="ar-SA"/>
          <w14:textFill>
            <w14:solidFill>
              <w14:schemeClr w14:val="tx1"/>
            </w14:solidFill>
          </w14:textFill>
        </w:rPr>
        <w:t>日</w:t>
      </w:r>
      <w:r>
        <w:rPr>
          <w:rFonts w:hint="eastAsia" w:ascii="Times New Roman" w:hAnsi="Times New Roman" w:eastAsia="宋体" w:cs="Times New Roman"/>
          <w:b/>
          <w:bCs/>
          <w:color w:val="000000" w:themeColor="text1"/>
          <w:kern w:val="0"/>
          <w:sz w:val="21"/>
          <w:szCs w:val="21"/>
          <w:highlight w:val="none"/>
          <w:u w:val="single"/>
          <w:lang w:val="en-US" w:eastAsia="zh-CN" w:bidi="ar-SA"/>
          <w14:textFill>
            <w14:solidFill>
              <w14:schemeClr w14:val="tx1"/>
            </w14:solidFill>
          </w14:textFill>
        </w:rPr>
        <w:t xml:space="preserve"> 14 </w:t>
      </w:r>
      <w:r>
        <w:rPr>
          <w:rFonts w:hint="default" w:ascii="Times New Roman" w:hAnsi="Times New Roman" w:eastAsia="宋体" w:cs="Times New Roman"/>
          <w:b/>
          <w:bCs/>
          <w:color w:val="000000" w:themeColor="text1"/>
          <w:kern w:val="0"/>
          <w:sz w:val="21"/>
          <w:szCs w:val="21"/>
          <w:highlight w:val="none"/>
          <w:lang w:val="en-US" w:eastAsia="zh-CN" w:bidi="ar-SA"/>
          <w14:textFill>
            <w14:solidFill>
              <w14:schemeClr w14:val="tx1"/>
            </w14:solidFill>
          </w14:textFill>
        </w:rPr>
        <w:t>时</w:t>
      </w:r>
      <w:r>
        <w:rPr>
          <w:rFonts w:hint="eastAsia" w:ascii="Times New Roman" w:hAnsi="Times New Roman" w:eastAsia="宋体" w:cs="Times New Roman"/>
          <w:b/>
          <w:bCs/>
          <w:color w:val="000000" w:themeColor="text1"/>
          <w:kern w:val="0"/>
          <w:sz w:val="21"/>
          <w:szCs w:val="21"/>
          <w:highlight w:val="none"/>
          <w:u w:val="single"/>
          <w:lang w:val="en-US" w:eastAsia="zh-CN" w:bidi="ar-SA"/>
          <w14:textFill>
            <w14:solidFill>
              <w14:schemeClr w14:val="tx1"/>
            </w14:solidFill>
          </w14:textFill>
        </w:rPr>
        <w:t xml:space="preserve"> 30</w:t>
      </w:r>
      <w:r>
        <w:rPr>
          <w:rFonts w:hint="default" w:ascii="Times New Roman" w:hAnsi="Times New Roman" w:eastAsia="宋体" w:cs="Times New Roman"/>
          <w:b/>
          <w:bCs/>
          <w:color w:val="000000" w:themeColor="text1"/>
          <w:kern w:val="0"/>
          <w:sz w:val="21"/>
          <w:szCs w:val="21"/>
          <w:highlight w:val="none"/>
          <w:lang w:val="en-US" w:eastAsia="zh-CN" w:bidi="ar-SA"/>
          <w14:textFill>
            <w14:solidFill>
              <w14:schemeClr w14:val="tx1"/>
            </w14:solidFill>
          </w14:textFill>
        </w:rPr>
        <w:t>分</w:t>
      </w: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，供应商的法定代表人或其授权代理人应在文件递交截止时间前，将响应文件递交</w:t>
      </w:r>
      <w:r>
        <w:rPr>
          <w:rFonts w:hint="default" w:ascii="Times New Roman" w:hAnsi="Times New Roman" w:eastAsia="宋体" w:cs="Times New Roman"/>
          <w:color w:val="000000" w:themeColor="text1"/>
          <w:kern w:val="0"/>
          <w:sz w:val="21"/>
          <w:szCs w:val="21"/>
          <w:highlight w:val="none"/>
          <w:u w:val="none"/>
          <w:lang w:val="en-US" w:eastAsia="zh-CN" w:bidi="ar-SA"/>
          <w14:textFill>
            <w14:solidFill>
              <w14:schemeClr w14:val="tx1"/>
            </w14:solidFill>
          </w14:textFill>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w:t>
      </w:r>
      <w:r>
        <w:rPr>
          <w:rFonts w:hint="eastAsia" w:ascii="Times New Roman" w:hAnsi="Times New Roman" w:eastAsia="宋体" w:cs="Times New Roman"/>
          <w:color w:val="auto"/>
          <w:kern w:val="2"/>
          <w:sz w:val="21"/>
          <w:szCs w:val="21"/>
          <w:highlight w:val="none"/>
          <w:u w:val="single"/>
          <w:lang w:val="en-US" w:eastAsia="zh-CN" w:bidi="ar-SA"/>
        </w:rPr>
        <w:t>008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bookmarkStart w:id="123" w:name="_GoBack"/>
      <w:bookmarkEnd w:id="123"/>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本项目响应保证金：</w:t>
      </w:r>
      <w:r>
        <w:rPr>
          <w:rFonts w:hint="eastAsia" w:ascii="Times New Roman" w:hAnsi="Times New Roman" w:eastAsia="宋体" w:cs="Times New Roman"/>
          <w:b/>
          <w:bCs/>
          <w:color w:val="000000" w:themeColor="text1"/>
          <w:kern w:val="2"/>
          <w:sz w:val="21"/>
          <w:szCs w:val="21"/>
          <w:highlight w:val="none"/>
          <w:u w:val="single"/>
          <w:lang w:val="en-US" w:eastAsia="zh-CN" w:bidi="ar-SA"/>
          <w14:textFill>
            <w14:solidFill>
              <w14:schemeClr w14:val="tx1"/>
            </w14:solidFill>
          </w14:textFill>
        </w:rPr>
        <w:t>15000</w:t>
      </w: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元（大写：</w:t>
      </w:r>
      <w:r>
        <w:rPr>
          <w:rFonts w:hint="eastAsia" w:ascii="Times New Roman" w:hAnsi="Times New Roman" w:eastAsia="宋体" w:cs="Times New Roman"/>
          <w:b/>
          <w:bCs/>
          <w:color w:val="000000" w:themeColor="text1"/>
          <w:kern w:val="2"/>
          <w:sz w:val="21"/>
          <w:szCs w:val="21"/>
          <w:highlight w:val="none"/>
          <w:u w:val="single"/>
          <w:lang w:val="en-US" w:eastAsia="zh-CN" w:bidi="ar-SA"/>
          <w14:textFill>
            <w14:solidFill>
              <w14:schemeClr w14:val="tx1"/>
            </w14:solidFill>
          </w14:textFill>
        </w:rPr>
        <w:t>壹万伍仟元整</w:t>
      </w: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若采用电汇（转账）形式，响应保证金必须由供应商的</w:t>
      </w:r>
      <w:r>
        <w:rPr>
          <w:rFonts w:hint="eastAsia" w:ascii="宋体" w:hAnsi="宋体" w:cs="宋体"/>
          <w:color w:val="000000" w:themeColor="text1"/>
          <w:sz w:val="21"/>
          <w:szCs w:val="21"/>
          <w:highlight w:val="none"/>
          <w:lang w:val="en-US" w:eastAsia="zh-CN" w:bidi="ar"/>
          <w14:textFill>
            <w14:solidFill>
              <w14:schemeClr w14:val="tx1"/>
            </w14:solidFill>
          </w14:textFill>
        </w:rPr>
        <w:t>银行</w:t>
      </w:r>
      <w:r>
        <w:rPr>
          <w:rFonts w:hint="eastAsia" w:ascii="宋体" w:hAnsi="宋体" w:cs="宋体"/>
          <w:color w:val="000000" w:themeColor="text1"/>
          <w:sz w:val="21"/>
          <w:szCs w:val="21"/>
          <w:highlight w:val="none"/>
          <w:lang w:bidi="ar"/>
          <w14:textFill>
            <w14:solidFill>
              <w14:schemeClr w14:val="tx1"/>
            </w14:solidFill>
          </w14:textFill>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响应保证金的账户信息：</w:t>
      </w:r>
    </w:p>
    <w:p w14:paraId="737C81BC">
      <w:pPr>
        <w:spacing w:beforeLines="0" w:afterLines="0" w:line="440" w:lineRule="exact"/>
        <w:ind w:firstLine="420"/>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户</w:t>
      </w:r>
      <w:r>
        <w:rPr>
          <w:rFonts w:hint="eastAsia" w:ascii="Times New Roman" w:hAnsi="Times New Roman"/>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名：</w:t>
      </w:r>
      <w:r>
        <w:rPr>
          <w:rFonts w:hint="eastAsia" w:ascii="Times New Roman" w:hAnsi="Times New Roman"/>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安徽省经工物资有限公司</w:t>
      </w:r>
    </w:p>
    <w:p w14:paraId="28E6678A">
      <w:pPr>
        <w:spacing w:beforeLines="0" w:afterLines="0" w:line="440" w:lineRule="exact"/>
        <w:ind w:firstLine="420"/>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开户银行：</w:t>
      </w:r>
      <w:r>
        <w:rPr>
          <w:rFonts w:hint="eastAsia" w:ascii="Times New Roman" w:hAnsi="Times New Roman"/>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工行合肥蜀山支行</w:t>
      </w:r>
    </w:p>
    <w:p w14:paraId="036ABDAF">
      <w:pPr>
        <w:spacing w:beforeLines="0" w:afterLines="0" w:line="440" w:lineRule="exact"/>
        <w:ind w:firstLine="420"/>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账</w:t>
      </w:r>
      <w:r>
        <w:rPr>
          <w:rFonts w:hint="eastAsia" w:ascii="Times New Roman" w:hAnsi="Times New Roman"/>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号：</w:t>
      </w:r>
      <w:r>
        <w:rPr>
          <w:rFonts w:hint="default" w:ascii="Times New Roman" w:hAnsi="Times New Roman"/>
          <w:color w:val="000000" w:themeColor="text1"/>
          <w:sz w:val="21"/>
          <w:szCs w:val="21"/>
          <w:highlight w:val="none"/>
          <w:lang w:bidi="ar"/>
          <w14:textFill>
            <w14:solidFill>
              <w14:schemeClr w14:val="tx1"/>
            </w14:solidFill>
          </w14:textFill>
        </w:rPr>
        <w:t>1302012119200034038</w:t>
      </w:r>
    </w:p>
    <w:p w14:paraId="661636F0">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default" w:ascii="宋体" w:hAnsi="宋体" w:eastAsia="宋体" w:cs="宋体"/>
          <w:b/>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付款备注：37地块石材响应保证金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5C50B4F3">
      <w:pPr>
        <w:spacing w:beforeLines="0" w:afterLines="0" w:line="440" w:lineRule="exact"/>
        <w:ind w:firstLine="42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w:t>
      </w:r>
      <w:r>
        <w:rPr>
          <w:rFonts w:hint="default" w:ascii="宋体" w:hAnsi="宋体" w:cs="宋体"/>
          <w:color w:val="auto"/>
          <w:sz w:val="21"/>
          <w:szCs w:val="21"/>
          <w:highlight w:val="none"/>
          <w:lang w:bidi="ar"/>
        </w:rPr>
        <w:t>2</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履约保证金：中标公示后，在合同签订前，乙方需向甲方支付合同总价10%的履约保证金或提供合同总价10%的见索即付银行保函</w:t>
      </w:r>
      <w:r>
        <w:rPr>
          <w:rFonts w:hint="eastAsia" w:ascii="宋体" w:hAnsi="宋体" w:cs="宋体"/>
          <w:color w:val="auto"/>
          <w:sz w:val="21"/>
          <w:szCs w:val="21"/>
          <w:highlight w:val="none"/>
          <w:lang w:bidi="ar"/>
        </w:rPr>
        <w:t>。</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highlight w:val="none"/>
        </w:rPr>
      </w:pPr>
      <w:bookmarkStart w:id="29" w:name="_Toc28571_WPSOffice_Level2"/>
      <w:bookmarkStart w:id="30" w:name="_Toc26829"/>
      <w:bookmarkStart w:id="31" w:name="_Toc8501"/>
      <w:bookmarkStart w:id="32" w:name="_Toc321_WPSOffice_Level2"/>
      <w:bookmarkStart w:id="33" w:name="_Toc525632592"/>
      <w:bookmarkStart w:id="34" w:name="_Toc14943_WPSOffice_Level2"/>
      <w:bookmarkStart w:id="35" w:name="_Toc20572_WPSOffice_Level2"/>
      <w:r>
        <w:rPr>
          <w:rFonts w:hint="eastAsia" w:ascii="Times New Roman" w:hAnsi="Times New Roman"/>
          <w:color w:val="auto"/>
          <w:sz w:val="21"/>
          <w:szCs w:val="22"/>
          <w:highlight w:val="none"/>
        </w:rPr>
        <w:t>本次采购公告在“ 安徽交控建设工程集团</w:t>
      </w:r>
      <w:r>
        <w:rPr>
          <w:rFonts w:hint="eastAsia" w:ascii="Times New Roman" w:hAnsi="Times New Roman"/>
          <w:color w:val="auto"/>
          <w:sz w:val="21"/>
          <w:szCs w:val="22"/>
          <w:highlight w:val="none"/>
          <w:lang w:val="en-US" w:eastAsia="zh-CN"/>
        </w:rPr>
        <w:t>有限公司</w:t>
      </w:r>
      <w:r>
        <w:rPr>
          <w:rFonts w:hint="eastAsia" w:ascii="Times New Roman" w:hAnsi="Times New Roman"/>
          <w:color w:val="auto"/>
          <w:sz w:val="21"/>
          <w:szCs w:val="22"/>
          <w:highlight w:val="none"/>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val="en-US"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4EB2EA2">
      <w:pPr>
        <w:pStyle w:val="2"/>
        <w:spacing w:before="312" w:after="312"/>
        <w:rPr>
          <w:rFonts w:ascii="Times New Roman" w:hAnsi="Times New Roman" w:eastAsia="宋体" w:cs="Times New Roman"/>
          <w:color w:val="auto"/>
          <w:highlight w:val="none"/>
        </w:rPr>
      </w:pPr>
      <w:bookmarkStart w:id="36" w:name="_Toc20493"/>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55466811"/>
      <w:bookmarkStart w:id="38" w:name="_Toc29381_WPSOffice_Level2"/>
      <w:bookmarkStart w:id="39" w:name="_Toc26656928"/>
      <w:bookmarkStart w:id="40" w:name="_Toc16069"/>
      <w:bookmarkStart w:id="41" w:name="_Toc19501"/>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8"/>
                <w:rFonts w:hint="eastAsia" w:ascii="宋体" w:hAnsi="宋体" w:eastAsia="宋体" w:cs="宋体"/>
                <w:bCs/>
                <w:color w:val="auto"/>
                <w:sz w:val="22"/>
                <w:szCs w:val="22"/>
                <w:highlight w:val="none"/>
                <w:lang w:bidi="ar"/>
              </w:rPr>
              <w:t>允许有利于</w:t>
            </w:r>
            <w:r>
              <w:rPr>
                <w:rStyle w:val="48"/>
                <w:rFonts w:hint="eastAsia" w:ascii="宋体" w:hAnsi="宋体" w:eastAsia="宋体" w:cs="宋体"/>
                <w:bCs/>
                <w:color w:val="auto"/>
                <w:sz w:val="22"/>
                <w:szCs w:val="22"/>
                <w:highlight w:val="none"/>
                <w:lang w:eastAsia="zh-CN" w:bidi="ar"/>
              </w:rPr>
              <w:t>采购人</w:t>
            </w:r>
            <w:r>
              <w:rPr>
                <w:rStyle w:val="48"/>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2"/>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2"/>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val="en-US" w:eastAsia="zh-CN"/>
              </w:rPr>
              <w:t>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highlight w:val="none"/>
                <w:lang w:eastAsia="zh-CN"/>
              </w:rPr>
              <w:t xml:space="preserve"> 安徽交控建设工程集团</w:t>
            </w:r>
            <w:r>
              <w:rPr>
                <w:rFonts w:hint="eastAsia" w:ascii="宋体" w:hAnsi="宋体" w:eastAsia="宋体" w:cs="宋体"/>
                <w:color w:val="auto"/>
                <w:sz w:val="22"/>
                <w:szCs w:val="22"/>
                <w:highlight w:val="none"/>
                <w:lang w:val="en-US" w:eastAsia="zh-CN"/>
              </w:rPr>
              <w:t>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2"/>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highlight w:val="none"/>
                <w:lang w:eastAsia="zh-CN"/>
              </w:rPr>
              <w:t>安徽交控建设工程集团</w:t>
            </w:r>
            <w:r>
              <w:rPr>
                <w:rFonts w:hint="eastAsia" w:ascii="宋体" w:hAnsi="宋体" w:eastAsia="宋体" w:cs="宋体"/>
                <w:color w:val="auto"/>
                <w:sz w:val="22"/>
                <w:szCs w:val="22"/>
                <w:highlight w:val="none"/>
              </w:rPr>
              <w:t>（网址：http://www.ahjggroup.com）的网站，及时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2"/>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2"/>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在商务技术文件密封袋内必须同时用U盘放盖章版响应文件的扫描件一份（PDF版）、在报价文件密封袋内需用U盘放报价清单电子版一份；如启封发现上述资料未放齐的，视为形式评审不合格，取消资格。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3080" w:firstLineChars="14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val="en-US" w:eastAsia="zh-CN" w:bidi="ar"/>
              </w:rPr>
              <w:t xml:space="preserve">  </w:t>
            </w: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2"/>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2"/>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2"/>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val="en-US" w:eastAsia="zh-CN"/>
              </w:rPr>
              <w:t>有限公司</w:t>
            </w:r>
            <w:r>
              <w:rPr>
                <w:rFonts w:hint="eastAsia" w:ascii="宋体" w:hAnsi="宋体" w:eastAsia="宋体" w:cs="宋体"/>
                <w:color w:val="auto"/>
                <w:sz w:val="22"/>
                <w:szCs w:val="22"/>
                <w:highlight w:val="none"/>
              </w:rPr>
              <w:t>”（网址：http://www.ahjggroup.com）“招标公告”栏目</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000000" w:themeColor="text1"/>
                <w:kern w:val="2"/>
                <w:sz w:val="22"/>
                <w:szCs w:val="21"/>
                <w:highlight w:val="yellow"/>
                <w:lang w:val="en-US" w:eastAsia="zh-CN" w:bidi="ar-SA"/>
                <w14:textFill>
                  <w14:solidFill>
                    <w14:schemeClr w14:val="tx1"/>
                  </w14:solidFill>
                </w14:textFill>
              </w:rPr>
            </w:pPr>
            <w:r>
              <w:rPr>
                <w:rFonts w:hint="eastAsia" w:cstheme="minorBidi"/>
                <w:color w:val="000000" w:themeColor="text1"/>
                <w:kern w:val="2"/>
                <w:sz w:val="22"/>
                <w:szCs w:val="21"/>
                <w:highlight w:val="yellow"/>
                <w:lang w:val="en-US" w:eastAsia="zh-CN" w:bidi="ar-SA"/>
                <w14:textFill>
                  <w14:solidFill>
                    <w14:schemeClr w14:val="tx1"/>
                  </w14:solidFill>
                </w14:textFill>
              </w:rPr>
              <w:t>50</w:t>
            </w:r>
          </w:p>
        </w:tc>
        <w:tc>
          <w:tcPr>
            <w:tcW w:w="2193"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000000" w:themeColor="text1"/>
                <w:kern w:val="0"/>
                <w:sz w:val="22"/>
                <w:szCs w:val="22"/>
                <w:highlight w:val="yellow"/>
                <w:lang w:val="en-US" w:eastAsia="zh-CN" w:bidi="ar"/>
                <w14:textFill>
                  <w14:solidFill>
                    <w14:schemeClr w14:val="tx1"/>
                  </w14:solidFill>
                </w14:textFill>
              </w:rPr>
            </w:pPr>
            <w:r>
              <w:rPr>
                <w:rFonts w:hint="eastAsia" w:ascii="宋体" w:hAnsi="宋体" w:eastAsia="宋体" w:cs="宋体"/>
                <w:b/>
                <w:color w:val="000000" w:themeColor="text1"/>
                <w:kern w:val="0"/>
                <w:sz w:val="22"/>
                <w:szCs w:val="22"/>
                <w:highlight w:val="yellow"/>
                <w:lang w:val="en-US" w:eastAsia="zh-CN" w:bidi="ar"/>
                <w14:textFill>
                  <w14:solidFill>
                    <w14:schemeClr w14:val="tx1"/>
                  </w14:solidFill>
                </w14:textFill>
              </w:rPr>
              <w:t>标后送样</w:t>
            </w:r>
          </w:p>
        </w:tc>
        <w:tc>
          <w:tcPr>
            <w:tcW w:w="6347" w:type="dxa"/>
            <w:shd w:val="clear" w:color="auto" w:fill="auto"/>
            <w:vAlign w:val="center"/>
          </w:tcPr>
          <w:p w14:paraId="27C58E72">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本项目石材已封样，各潜在投标人自行前往项目部确认石材样品并承诺按样品报价。</w:t>
            </w:r>
          </w:p>
          <w:p w14:paraId="7FBD9F95">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拟中标人须在采购人通知之日起7日内，按封样石材标准再次送石材小样并经项目部确认。如所送样品不符合要求，采购人有权没收投标保证金，按中标候选人排序重新确定成交人；或重新组织采购。</w:t>
            </w:r>
          </w:p>
          <w:p w14:paraId="1DABFAEA">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如中标人在供应过程中所供石材不符合封样标准的：</w:t>
            </w:r>
          </w:p>
          <w:p w14:paraId="2A39C780">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1）采购人有权终止合同，没收履约保证金。</w:t>
            </w:r>
          </w:p>
          <w:p w14:paraId="31D047AC">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2）采购人有权依据合同约定进行处罚。</w:t>
            </w:r>
          </w:p>
          <w:p w14:paraId="4C65CD99">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3）采购人有权将未完成的供货部分移交给第三方实施，供应商应无条件配合相关移交工作。</w:t>
            </w:r>
          </w:p>
          <w:p w14:paraId="76455339">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000000" w:themeColor="text1"/>
                <w:kern w:val="2"/>
                <w:sz w:val="22"/>
                <w:szCs w:val="22"/>
                <w:highlight w:val="yellow"/>
                <w:lang w:val="en-US" w:eastAsia="zh-CN" w:bidi="ar-SA"/>
                <w14:textFill>
                  <w14:solidFill>
                    <w14:schemeClr w14:val="tx1"/>
                  </w14:solidFill>
                </w14:textFill>
              </w:rPr>
            </w:pP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14201207"/>
            <w:bookmarkStart w:id="43" w:name="_Toc9067720"/>
            <w:bookmarkStart w:id="44" w:name="_Toc26656938"/>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1.本项目后期有可能涉及部分产品的优化及深化设计，投标单位在投标报价时应充分考虑此部分的费用，根据自身因素、综合条件、市场风险自行报价，中标后不予调整。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7812AE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2FA3198">
            <w:pPr>
              <w:keepNext w:val="0"/>
              <w:keepLines w:val="0"/>
              <w:suppressLineNumbers w:val="0"/>
              <w:spacing w:before="0" w:beforeAutospacing="0" w:after="0" w:afterAutospacing="0"/>
              <w:ind w:left="0" w:leftChars="0" w:right="0" w:rightChars="0"/>
              <w:jc w:val="center"/>
              <w:rPr>
                <w:rFonts w:hint="default"/>
                <w:color w:val="auto"/>
                <w:sz w:val="22"/>
                <w:szCs w:val="21"/>
                <w:highlight w:val="yellow"/>
                <w:lang w:val="en-US" w:eastAsia="zh-CN"/>
              </w:rPr>
            </w:pPr>
            <w:r>
              <w:rPr>
                <w:rFonts w:hint="eastAsia"/>
                <w:b/>
                <w:bCs/>
                <w:color w:val="auto"/>
                <w:sz w:val="22"/>
                <w:szCs w:val="21"/>
                <w:highlight w:val="yellow"/>
                <w:lang w:val="en-US" w:eastAsia="zh-CN"/>
              </w:rPr>
              <w:t>53</w:t>
            </w:r>
          </w:p>
        </w:tc>
        <w:tc>
          <w:tcPr>
            <w:tcW w:w="8540" w:type="dxa"/>
            <w:gridSpan w:val="2"/>
            <w:vAlign w:val="center"/>
          </w:tcPr>
          <w:p w14:paraId="77EABC2C">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1.如乙方在本年度采购期内累计供货金额达800万以上的，应在甲方指定的交控建工集团任意开发或代建项目购买住宅、商业、写字楼、车位等。当年度累计供货金额达到800万及以上的购买住宅1套、车位1个；年度累计供货金额达到1600万及以上的购买住宅2套、车位2个；年度累计供货金额达到2400万及以上的购买住宅3套、车位3个。1套住宅+1个车位预估价为70万元，购买人可为乙方或乙方指定的购买人。</w:t>
            </w:r>
          </w:p>
          <w:p w14:paraId="626BDCC8">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2.房屋认购应在该年度采购履约期到期前完成，如乙方未在年度履约期内完成房屋认购的，乙方需向甲方支付该年度供货价款10%的违约金，甲方有权直接从乙方未支付的货款中直接扣除。</w:t>
            </w:r>
          </w:p>
          <w:p w14:paraId="4197EF50">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3.对于完成工抵的供应商获得下年度集采重点推荐资格；额外给予上年度合作额度10%的上浮空间；对合作供应商授予“战略合作伙伴"认证资质。</w:t>
            </w:r>
          </w:p>
        </w:tc>
      </w:tr>
      <w:tr w14:paraId="26A9C4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85" w:hRule="atLeast"/>
          <w:jc w:val="center"/>
        </w:trPr>
        <w:tc>
          <w:tcPr>
            <w:tcW w:w="827" w:type="dxa"/>
            <w:vAlign w:val="center"/>
          </w:tcPr>
          <w:p w14:paraId="233E76E2">
            <w:pPr>
              <w:keepNext w:val="0"/>
              <w:keepLines w:val="0"/>
              <w:suppressLineNumbers w:val="0"/>
              <w:spacing w:before="0" w:beforeAutospacing="0" w:after="0" w:afterAutospacing="0"/>
              <w:ind w:left="0" w:leftChars="0" w:right="0" w:rightChars="0"/>
              <w:jc w:val="center"/>
              <w:rPr>
                <w:rFonts w:hint="default"/>
                <w:b/>
                <w:bCs/>
                <w:color w:val="auto"/>
                <w:sz w:val="22"/>
                <w:szCs w:val="21"/>
                <w:highlight w:val="yellow"/>
                <w:lang w:val="en-US" w:eastAsia="zh-CN"/>
              </w:rPr>
            </w:pPr>
            <w:r>
              <w:rPr>
                <w:rFonts w:hint="eastAsia"/>
                <w:b/>
                <w:bCs/>
                <w:color w:val="auto"/>
                <w:sz w:val="22"/>
                <w:szCs w:val="21"/>
                <w:highlight w:val="yellow"/>
                <w:lang w:val="en-US" w:eastAsia="zh-CN"/>
              </w:rPr>
              <w:t>54</w:t>
            </w:r>
          </w:p>
        </w:tc>
        <w:tc>
          <w:tcPr>
            <w:tcW w:w="8540" w:type="dxa"/>
            <w:gridSpan w:val="2"/>
            <w:vAlign w:val="center"/>
          </w:tcPr>
          <w:p w14:paraId="572C9D68">
            <w:pPr>
              <w:keepNext w:val="0"/>
              <w:keepLines w:val="0"/>
              <w:suppressLineNumbers w:val="0"/>
              <w:spacing w:before="0" w:beforeAutospacing="0" w:after="0" w:afterAutospacing="0"/>
              <w:ind w:left="0" w:right="0" w:rightChars="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中标单位须承担本项目前期样板间制作费用共计人民币壹万伍仟元整(￥15,000.00)，投标报价时应充分考虑此部分的费用。</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noWrap w:val="0"/>
            <w:vAlign w:val="center"/>
          </w:tcPr>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具备独立法人资格，持有有效的营业执照。 </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8"/>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至少提供1个自20</w:t>
            </w:r>
            <w:r>
              <w:rPr>
                <w:rFonts w:hint="eastAsia"/>
                <w:color w:val="000000" w:themeColor="text1"/>
                <w:highlight w:val="none"/>
                <w:lang w:val="en-US" w:eastAsia="zh-CN"/>
                <w14:textFill>
                  <w14:solidFill>
                    <w14:schemeClr w14:val="tx1"/>
                  </w14:solidFill>
                </w14:textFill>
              </w:rPr>
              <w:t>22年1月1日以来，单项合同额不低于</w:t>
            </w:r>
            <w:r>
              <w:rPr>
                <w:rFonts w:hint="eastAsia"/>
                <w:color w:val="000000" w:themeColor="text1"/>
                <w:highlight w:val="none"/>
                <w:u w:val="none"/>
                <w:lang w:val="en-US" w:eastAsia="zh-CN"/>
                <w14:textFill>
                  <w14:solidFill>
                    <w14:schemeClr w14:val="tx1"/>
                  </w14:solidFill>
                </w14:textFill>
              </w:rPr>
              <w:t>200</w:t>
            </w:r>
            <w:r>
              <w:rPr>
                <w:rFonts w:hint="eastAsia"/>
                <w:color w:val="000000" w:themeColor="text1"/>
                <w:highlight w:val="none"/>
                <w:lang w:val="en-US" w:eastAsia="zh-CN"/>
                <w14:textFill>
                  <w14:solidFill>
                    <w14:schemeClr w14:val="tx1"/>
                  </w14:solidFill>
                </w14:textFill>
              </w:rPr>
              <w:t>万元的石材供应合</w:t>
            </w:r>
            <w:r>
              <w:rPr>
                <w:rFonts w:hint="eastAsia"/>
                <w:color w:val="auto"/>
                <w:highlight w:val="none"/>
                <w:lang w:val="en-US" w:eastAsia="zh-CN"/>
              </w:rPr>
              <w:t>同业绩（每个业绩至少提供不低于合同金额50%的增值税发票或收到业主转账的收款凭证，未提供，该业绩无效）。</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4"/>
        <w:rPr>
          <w:rFonts w:ascii="Times New Roman" w:hAnsi="Times New Roman" w:eastAsia="黑体" w:cs="Times New Roman"/>
          <w:bCs/>
          <w:color w:val="auto"/>
          <w:sz w:val="24"/>
          <w:szCs w:val="32"/>
          <w:highlight w:val="none"/>
        </w:rPr>
      </w:pPr>
    </w:p>
    <w:p w14:paraId="1BAF51CA">
      <w:pPr>
        <w:jc w:val="center"/>
        <w:rPr>
          <w:rFonts w:hint="eastAsia" w:ascii="黑体" w:eastAsia="黑体"/>
          <w:sz w:val="24"/>
          <w:szCs w:val="24"/>
          <w:highlight w:val="none"/>
        </w:rPr>
      </w:pPr>
    </w:p>
    <w:p w14:paraId="6368398A">
      <w:pPr>
        <w:jc w:val="center"/>
        <w:rPr>
          <w:rFonts w:hint="eastAsia" w:ascii="黑体" w:eastAsia="黑体"/>
          <w:color w:val="000000" w:themeColor="text1"/>
          <w:sz w:val="24"/>
          <w:szCs w:val="24"/>
          <w:highlight w:val="none"/>
          <w14:textFill>
            <w14:solidFill>
              <w14:schemeClr w14:val="tx1"/>
            </w14:solidFill>
          </w14:textFill>
        </w:rPr>
      </w:pPr>
      <w:r>
        <w:rPr>
          <w:rFonts w:hint="eastAsia" w:ascii="黑体" w:eastAsia="黑体"/>
          <w:color w:val="000000" w:themeColor="text1"/>
          <w:sz w:val="24"/>
          <w:szCs w:val="24"/>
          <w:highlight w:val="none"/>
          <w14:textFill>
            <w14:solidFill>
              <w14:schemeClr w14:val="tx1"/>
            </w14:solidFill>
          </w14:textFill>
        </w:rPr>
        <w:t>附录</w:t>
      </w:r>
      <w:r>
        <w:rPr>
          <w:rFonts w:hint="eastAsia" w:eastAsia="黑体"/>
          <w:color w:val="000000" w:themeColor="text1"/>
          <w:sz w:val="24"/>
          <w:szCs w:val="24"/>
          <w:highlight w:val="none"/>
          <w:lang w:val="en-US" w:eastAsia="zh-CN"/>
          <w14:textFill>
            <w14:solidFill>
              <w14:schemeClr w14:val="tx1"/>
            </w14:solidFill>
          </w14:textFill>
        </w:rPr>
        <w:t>4</w:t>
      </w:r>
      <w:r>
        <w:rPr>
          <w:rFonts w:hint="eastAsia" w:ascii="黑体" w:eastAsia="黑体"/>
          <w:color w:val="000000" w:themeColor="text1"/>
          <w:sz w:val="24"/>
          <w:szCs w:val="24"/>
          <w:highlight w:val="none"/>
          <w14:textFill>
            <w14:solidFill>
              <w14:schemeClr w14:val="tx1"/>
            </w14:solidFill>
          </w14:textFill>
        </w:rPr>
        <w:t>资格审查条件（</w:t>
      </w:r>
      <w:r>
        <w:rPr>
          <w:rFonts w:hint="eastAsia" w:ascii="黑体" w:eastAsia="黑体"/>
          <w:color w:val="000000" w:themeColor="text1"/>
          <w:sz w:val="24"/>
          <w:szCs w:val="24"/>
          <w:highlight w:val="none"/>
          <w:lang w:val="en-US" w:eastAsia="zh-CN"/>
          <w14:textFill>
            <w14:solidFill>
              <w14:schemeClr w14:val="tx1"/>
            </w14:solidFill>
          </w14:textFill>
        </w:rPr>
        <w:t>投标材料送样</w:t>
      </w:r>
      <w:r>
        <w:rPr>
          <w:rFonts w:hint="eastAsia" w:ascii="黑体" w:eastAsia="黑体"/>
          <w:color w:val="000000" w:themeColor="text1"/>
          <w:sz w:val="24"/>
          <w:szCs w:val="24"/>
          <w:highlight w:val="none"/>
          <w14:textFill>
            <w14:solidFill>
              <w14:schemeClr w14:val="tx1"/>
            </w14:solidFill>
          </w14:textFill>
        </w:rPr>
        <w:t>）</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77C0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0A624647">
            <w:pPr>
              <w:keepNext w:val="0"/>
              <w:keepLines w:val="0"/>
              <w:suppressLineNumbers w:val="0"/>
              <w:spacing w:before="0" w:beforeAutospacing="0" w:after="0" w:afterAutospacing="0"/>
              <w:ind w:left="0" w:right="0"/>
              <w:jc w:val="center"/>
              <w:rPr>
                <w:rFonts w:hint="default" w:eastAsiaTheme="minorEastAsia"/>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送 样 要 求</w:t>
            </w:r>
          </w:p>
        </w:tc>
      </w:tr>
      <w:tr w14:paraId="79D71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53A8F64C">
            <w:pPr>
              <w:keepNext w:val="0"/>
              <w:keepLines w:val="0"/>
              <w:suppressLineNumbers w:val="0"/>
              <w:spacing w:before="0" w:beforeAutospacing="0" w:after="0" w:afterAutospacing="0" w:line="276" w:lineRule="auto"/>
              <w:ind w:left="0" w:right="0" w:firstLine="210" w:firstLineChars="100"/>
              <w:jc w:val="center"/>
              <w:rPr>
                <w:rFonts w:hint="eastAsia" w:eastAsiaTheme="minorEastAsia"/>
                <w:color w:val="000000" w:themeColor="text1"/>
                <w:highlight w:val="none"/>
                <w:lang w:val="en-US" w:eastAsia="zh-CN"/>
                <w14:textFill>
                  <w14:solidFill>
                    <w14:schemeClr w14:val="tx1"/>
                  </w14:solidFill>
                </w14:textFill>
              </w:rPr>
            </w:pPr>
            <w:r>
              <w:rPr>
                <w:rFonts w:hint="eastAsia"/>
                <w:color w:val="auto"/>
                <w:highlight w:val="none"/>
                <w:lang w:val="en-US" w:eastAsia="zh-CN"/>
              </w:rPr>
              <w:t>/</w:t>
            </w:r>
          </w:p>
        </w:tc>
      </w:tr>
    </w:tbl>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不允许分包。</w:t>
      </w:r>
    </w:p>
    <w:p w14:paraId="1DBA1C2B">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1.</w:t>
      </w:r>
      <w:r>
        <w:rPr>
          <w:rFonts w:hint="eastAsia" w:ascii="Times New Roman" w:hAnsi="Times New Roman" w:eastAsia="黑体" w:cs="Times New Roman"/>
          <w:bCs/>
          <w:color w:val="000000" w:themeColor="text1"/>
          <w:sz w:val="24"/>
          <w:szCs w:val="32"/>
          <w:highlight w:val="none"/>
          <w14:textFill>
            <w14:solidFill>
              <w14:schemeClr w14:val="tx1"/>
            </w14:solidFill>
          </w14:textFill>
        </w:rPr>
        <w:t>8</w:t>
      </w:r>
      <w:r>
        <w:rPr>
          <w:rFonts w:ascii="Times New Roman" w:hAnsi="Times New Roman" w:eastAsia="黑体" w:cs="Times New Roman"/>
          <w:bCs/>
          <w:color w:val="000000" w:themeColor="text1"/>
          <w:sz w:val="24"/>
          <w:szCs w:val="32"/>
          <w:highlight w:val="none"/>
          <w14:textFill>
            <w14:solidFill>
              <w14:schemeClr w14:val="tx1"/>
            </w14:solidFill>
          </w14:textFill>
        </w:rPr>
        <w:t xml:space="preserve"> 偏</w:t>
      </w:r>
      <w:r>
        <w:rPr>
          <w:rFonts w:hint="eastAsia" w:ascii="Times New Roman" w:hAnsi="Times New Roman" w:eastAsia="黑体" w:cs="Times New Roman"/>
          <w:bCs/>
          <w:color w:val="000000" w:themeColor="text1"/>
          <w:sz w:val="24"/>
          <w:szCs w:val="32"/>
          <w:highlight w:val="none"/>
          <w14:textFill>
            <w14:solidFill>
              <w14:schemeClr w14:val="tx1"/>
            </w14:solidFill>
          </w14:textFill>
        </w:rPr>
        <w:t>差</w:t>
      </w:r>
    </w:p>
    <w:p w14:paraId="3D3ED440">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8</w:t>
      </w: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偏差包括重大偏差和细微偏差。</w:t>
      </w:r>
    </w:p>
    <w:p w14:paraId="673725BA">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8</w:t>
      </w:r>
      <w:r>
        <w:rPr>
          <w:rFonts w:ascii="Times New Roman" w:hAnsi="Times New Roman" w:cs="Times New Roman"/>
          <w:color w:val="000000" w:themeColor="text1"/>
          <w:highlight w:val="none"/>
          <w14:textFill>
            <w14:solidFill>
              <w14:schemeClr w14:val="tx1"/>
            </w14:solidFill>
          </w14:textFill>
        </w:rPr>
        <w:t>.2 响应文件存在“评审办法”中所列任一否决</w:t>
      </w:r>
      <w:r>
        <w:rPr>
          <w:rFonts w:hint="eastAsia" w:ascii="Times New Roman" w:hAnsi="Times New Roman" w:cs="Times New Roman"/>
          <w:color w:val="000000" w:themeColor="text1"/>
          <w:highlight w:val="none"/>
          <w14:textFill>
            <w14:solidFill>
              <w14:schemeClr w14:val="tx1"/>
            </w14:solidFill>
          </w14:textFill>
        </w:rPr>
        <w:t>响应文件</w:t>
      </w:r>
      <w:r>
        <w:rPr>
          <w:rFonts w:ascii="Times New Roman" w:hAnsi="Times New Roman" w:cs="Times New Roman"/>
          <w:color w:val="000000" w:themeColor="text1"/>
          <w:highlight w:val="none"/>
          <w14:textFill>
            <w14:solidFill>
              <w14:schemeClr w14:val="tx1"/>
            </w14:solidFill>
          </w14:textFill>
        </w:rPr>
        <w:t>情形的，均属于存在重大偏差</w:t>
      </w:r>
      <w:r>
        <w:rPr>
          <w:rFonts w:hint="eastAsia" w:ascii="Times New Roman" w:hAnsi="Times New Roman" w:cs="Times New Roman"/>
          <w:color w:val="000000" w:themeColor="text1"/>
          <w:highlight w:val="none"/>
          <w14:textFill>
            <w14:solidFill>
              <w14:schemeClr w14:val="tx1"/>
            </w14:solidFill>
          </w14:textFill>
        </w:rPr>
        <w:t>，响应文件将被否决</w:t>
      </w:r>
      <w:r>
        <w:rPr>
          <w:rFonts w:ascii="Times New Roman" w:hAnsi="Times New Roman" w:cs="Times New Roman"/>
          <w:color w:val="000000" w:themeColor="text1"/>
          <w:highlight w:val="none"/>
          <w14:textFill>
            <w14:solidFill>
              <w14:schemeClr w14:val="tx1"/>
            </w14:solidFill>
          </w14:textFill>
        </w:rPr>
        <w:t>。</w:t>
      </w:r>
    </w:p>
    <w:p w14:paraId="0A4E3786">
      <w:pPr>
        <w:keepNext/>
        <w:keepLines/>
        <w:spacing w:before="156" w:beforeLines="50" w:after="156" w:afterLines="50"/>
        <w:outlineLvl w:val="1"/>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2. 询比文件</w:t>
      </w:r>
    </w:p>
    <w:p w14:paraId="6B8D058C">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2.1 询比文件的组成</w:t>
      </w:r>
    </w:p>
    <w:p w14:paraId="459FA22E">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本询比文件包括：</w:t>
      </w:r>
    </w:p>
    <w:p w14:paraId="72491CED">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采购公告</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采购邀请书</w:t>
      </w:r>
      <w:r>
        <w:rPr>
          <w:rFonts w:ascii="Times New Roman" w:hAnsi="Times New Roman" w:cs="Times New Roman"/>
          <w:color w:val="000000" w:themeColor="text1"/>
          <w:highlight w:val="none"/>
          <w14:textFill>
            <w14:solidFill>
              <w14:schemeClr w14:val="tx1"/>
            </w14:solidFill>
          </w14:textFill>
        </w:rPr>
        <w:t>；</w:t>
      </w:r>
    </w:p>
    <w:p w14:paraId="1A876D84">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（2）供应商须知；</w:t>
      </w:r>
    </w:p>
    <w:p w14:paraId="34D24041">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（3）评审办法；</w:t>
      </w:r>
    </w:p>
    <w:p w14:paraId="5653FBF4">
      <w:pPr>
        <w:spacing w:line="440" w:lineRule="exact"/>
        <w:ind w:firstLine="420"/>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（4）合同内容</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14:paraId="1405627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供货要求</w:t>
      </w:r>
      <w:r>
        <w:rPr>
          <w:rFonts w:ascii="Times New Roman" w:hAnsi="Times New Roman" w:cs="Times New Roman"/>
          <w:color w:val="000000" w:themeColor="text1"/>
          <w:highlight w:val="none"/>
          <w14:textFill>
            <w14:solidFill>
              <w14:schemeClr w14:val="tx1"/>
            </w14:solidFill>
          </w14:textFill>
        </w:rPr>
        <w:t>；</w:t>
      </w:r>
    </w:p>
    <w:p w14:paraId="5673F0D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）采购需求及清单；</w:t>
      </w:r>
    </w:p>
    <w:p w14:paraId="2ACE918C">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7</w:t>
      </w:r>
      <w:r>
        <w:rPr>
          <w:rFonts w:ascii="Times New Roman" w:hAnsi="Times New Roman" w:cs="Times New Roman"/>
          <w:color w:val="000000" w:themeColor="text1"/>
          <w:highlight w:val="none"/>
          <w14:textFill>
            <w14:solidFill>
              <w14:schemeClr w14:val="tx1"/>
            </w14:solidFill>
          </w14:textFill>
        </w:rPr>
        <w:t>）响应文件格式</w:t>
      </w:r>
      <w:r>
        <w:rPr>
          <w:rFonts w:hint="eastAsia" w:ascii="Times New Roman" w:hAnsi="Times New Roman" w:cs="Times New Roman"/>
          <w:color w:val="000000" w:themeColor="text1"/>
          <w:highlight w:val="none"/>
          <w14:textFill>
            <w14:solidFill>
              <w14:schemeClr w14:val="tx1"/>
            </w14:solidFill>
          </w14:textFill>
        </w:rPr>
        <w:t>。</w:t>
      </w:r>
    </w:p>
    <w:p w14:paraId="4D3C1489">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根据本章对询比文件所作的澄清、修改，构成询比文件的组成部分。</w:t>
      </w:r>
    </w:p>
    <w:p w14:paraId="0EEC05BE">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2.2 询比文件的澄清</w:t>
      </w:r>
      <w:r>
        <w:rPr>
          <w:rFonts w:hint="eastAsia" w:ascii="Times New Roman" w:hAnsi="Times New Roman" w:eastAsia="黑体" w:cs="Times New Roman"/>
          <w:bCs/>
          <w:color w:val="000000" w:themeColor="text1"/>
          <w:sz w:val="24"/>
          <w:szCs w:val="32"/>
          <w:highlight w:val="none"/>
          <w14:textFill>
            <w14:solidFill>
              <w14:schemeClr w14:val="tx1"/>
            </w14:solidFill>
          </w14:textFill>
        </w:rPr>
        <w:t>与修改</w:t>
      </w:r>
    </w:p>
    <w:p w14:paraId="7D1E9CF5">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2.2.1</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供应商如有疑问，应在递交</w:t>
      </w:r>
      <w:r>
        <w:rPr>
          <w:rFonts w:hint="eastAsia" w:ascii="Times New Roman" w:hAnsi="Times New Roman" w:cs="Times New Roman"/>
          <w:color w:val="000000" w:themeColor="text1"/>
          <w:highlight w:val="none"/>
          <w14:textFill>
            <w14:solidFill>
              <w14:schemeClr w14:val="tx1"/>
            </w14:solidFill>
          </w14:textFill>
        </w:rPr>
        <w:t>响应</w:t>
      </w:r>
      <w:r>
        <w:rPr>
          <w:rFonts w:ascii="Times New Roman" w:hAnsi="Times New Roman" w:cs="Times New Roman"/>
          <w:color w:val="000000" w:themeColor="text1"/>
          <w:highlight w:val="none"/>
          <w14:textFill>
            <w14:solidFill>
              <w14:schemeClr w14:val="tx1"/>
            </w14:solidFill>
          </w14:textFill>
        </w:rPr>
        <w:t>文件的截止时间</w:t>
      </w:r>
      <w:r>
        <w:rPr>
          <w:rFonts w:hint="eastAsia" w:ascii="Times New Roman" w:hAnsi="Times New Roman" w:cs="Times New Roman"/>
          <w:color w:val="000000" w:themeColor="text1"/>
          <w:highlight w:val="none"/>
          <w14:textFill>
            <w14:solidFill>
              <w14:schemeClr w14:val="tx1"/>
            </w14:solidFill>
          </w14:textFill>
        </w:rPr>
        <w:t>前3日</w:t>
      </w:r>
      <w:r>
        <w:rPr>
          <w:rFonts w:hint="eastAsia" w:ascii="Times New Roman" w:hAnsi="Times New Roman" w:cs="Times New Roman"/>
          <w:color w:val="000000" w:themeColor="text1"/>
          <w:highlight w:val="none"/>
          <w:lang w:val="en-US" w:eastAsia="zh-CN"/>
          <w14:textFill>
            <w14:solidFill>
              <w14:schemeClr w14:val="tx1"/>
            </w14:solidFill>
          </w14:textFill>
        </w:rPr>
        <w:t>内</w:t>
      </w:r>
      <w:r>
        <w:rPr>
          <w:rFonts w:hint="eastAsia" w:ascii="Times New Roman" w:hAnsi="Times New Roman" w:cs="Times New Roman"/>
          <w:color w:val="000000" w:themeColor="text1"/>
          <w:highlight w:val="none"/>
          <w14:textFill>
            <w14:solidFill>
              <w14:schemeClr w14:val="tx1"/>
            </w14:solidFill>
          </w14:textFill>
        </w:rPr>
        <w:t>通过</w:t>
      </w:r>
      <w:r>
        <w:rPr>
          <w:rFonts w:hint="eastAsia" w:ascii="Times New Roman" w:hAnsi="Times New Roman" w:cs="Times New Roman"/>
          <w:color w:val="000000" w:themeColor="text1"/>
          <w:highlight w:val="none"/>
          <w:lang w:val="en-US" w:eastAsia="zh-CN"/>
          <w14:textFill>
            <w14:solidFill>
              <w14:schemeClr w14:val="tx1"/>
            </w14:solidFill>
          </w14:textFill>
        </w:rPr>
        <w:t>公告中的联系方式联系采购人</w:t>
      </w:r>
      <w:r>
        <w:rPr>
          <w:rFonts w:ascii="Times New Roman" w:hAnsi="Times New Roman" w:cs="Times New Roman"/>
          <w:color w:val="000000" w:themeColor="text1"/>
          <w:highlight w:val="none"/>
          <w14:textFill>
            <w14:solidFill>
              <w14:schemeClr w14:val="tx1"/>
            </w14:solidFill>
          </w14:textFill>
        </w:rPr>
        <w:t>对询比文件予以澄清</w:t>
      </w:r>
      <w:r>
        <w:rPr>
          <w:rFonts w:hint="eastAsia" w:ascii="Times New Roman" w:hAnsi="Times New Roman" w:cs="Times New Roman"/>
          <w:color w:val="000000" w:themeColor="text1"/>
          <w:highlight w:val="none"/>
          <w14:textFill>
            <w14:solidFill>
              <w14:schemeClr w14:val="tx1"/>
            </w14:solidFill>
          </w14:textFill>
        </w:rPr>
        <w:t>或修改</w:t>
      </w:r>
      <w:r>
        <w:rPr>
          <w:rFonts w:ascii="Times New Roman" w:hAnsi="Times New Roman" w:cs="Times New Roman"/>
          <w:color w:val="000000" w:themeColor="text1"/>
          <w:highlight w:val="none"/>
          <w14:textFill>
            <w14:solidFill>
              <w14:schemeClr w14:val="tx1"/>
            </w14:solidFill>
          </w14:textFill>
        </w:rPr>
        <w:t>。</w:t>
      </w:r>
    </w:p>
    <w:p w14:paraId="4F4B5C2A">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2.2.</w:t>
      </w:r>
      <w:r>
        <w:rPr>
          <w:rFonts w:hint="eastAsia" w:ascii="Times New Roman" w:hAnsi="Times New Roman" w:cs="Times New Roman"/>
          <w:color w:val="000000" w:themeColor="text1"/>
          <w:highlight w:val="none"/>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 xml:space="preserve"> 除非采购人认为确有必要答复，否则，采购人有权拒绝回复供应商在本章第2.2.1项规定的时间后提出的任何澄清</w:t>
      </w:r>
      <w:r>
        <w:rPr>
          <w:rFonts w:hint="eastAsia" w:ascii="Times New Roman" w:hAnsi="Times New Roman" w:cs="Times New Roman"/>
          <w:color w:val="000000" w:themeColor="text1"/>
          <w:highlight w:val="none"/>
          <w14:textFill>
            <w14:solidFill>
              <w14:schemeClr w14:val="tx1"/>
            </w14:solidFill>
          </w14:textFill>
        </w:rPr>
        <w:t>或修改</w:t>
      </w:r>
      <w:r>
        <w:rPr>
          <w:rFonts w:ascii="Times New Roman" w:hAnsi="Times New Roman" w:cs="Times New Roman"/>
          <w:color w:val="000000" w:themeColor="text1"/>
          <w:highlight w:val="none"/>
          <w14:textFill>
            <w14:solidFill>
              <w14:schemeClr w14:val="tx1"/>
            </w14:solidFill>
          </w14:textFill>
        </w:rPr>
        <w:t>要求。</w:t>
      </w:r>
    </w:p>
    <w:p w14:paraId="4812FE20">
      <w:pPr>
        <w:keepNext/>
        <w:keepLines/>
        <w:spacing w:before="156" w:beforeLines="50" w:after="156" w:afterLines="50"/>
        <w:outlineLvl w:val="1"/>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 响应文件</w:t>
      </w:r>
    </w:p>
    <w:p w14:paraId="06236155">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3.1响应文件的组成</w:t>
      </w:r>
    </w:p>
    <w:p w14:paraId="3B8667E7">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响应文件应包括下列内容：</w:t>
      </w:r>
    </w:p>
    <w:p w14:paraId="3A53D988">
      <w:pPr>
        <w:spacing w:line="440" w:lineRule="exact"/>
        <w:ind w:firstLine="420"/>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商务技术文件应包括下列内容：</w:t>
      </w:r>
    </w:p>
    <w:p w14:paraId="71EC1205">
      <w:pPr>
        <w:spacing w:line="440" w:lineRule="exact"/>
        <w:ind w:firstLine="42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响应函；</w:t>
      </w:r>
    </w:p>
    <w:p w14:paraId="6B5CBC33">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）法定代表人身份证明及授权委托书；</w:t>
      </w:r>
    </w:p>
    <w:p w14:paraId="58031DBA">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）供应商基本情况；</w:t>
      </w:r>
    </w:p>
    <w:p w14:paraId="3CB294D4">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）近年类似业绩情况；</w:t>
      </w:r>
    </w:p>
    <w:p w14:paraId="47C953A1">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）信誉情况；</w:t>
      </w:r>
    </w:p>
    <w:p w14:paraId="4B6C2BFB">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企业实力</w:t>
      </w:r>
      <w:r>
        <w:rPr>
          <w:rFonts w:hint="eastAsia" w:ascii="宋体" w:hAnsi="宋体" w:eastAsia="宋体" w:cs="宋体"/>
          <w:color w:val="000000" w:themeColor="text1"/>
          <w:highlight w:val="none"/>
          <w14:textFill>
            <w14:solidFill>
              <w14:schemeClr w14:val="tx1"/>
            </w14:solidFill>
          </w14:textFill>
        </w:rPr>
        <w:t>；</w:t>
      </w:r>
    </w:p>
    <w:p w14:paraId="60BB8235">
      <w:pPr>
        <w:spacing w:line="440" w:lineRule="exact"/>
        <w:ind w:firstLine="4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）供货方案</w:t>
      </w:r>
      <w:r>
        <w:rPr>
          <w:rFonts w:hint="eastAsia" w:ascii="宋体" w:hAnsi="宋体" w:eastAsia="宋体" w:cs="宋体"/>
          <w:color w:val="000000" w:themeColor="text1"/>
          <w:highlight w:val="none"/>
          <w:lang w:eastAsia="zh-CN"/>
          <w14:textFill>
            <w14:solidFill>
              <w14:schemeClr w14:val="tx1"/>
            </w14:solidFill>
          </w14:textFill>
        </w:rPr>
        <w:t>；</w:t>
      </w:r>
    </w:p>
    <w:p w14:paraId="623BF354">
      <w:pPr>
        <w:spacing w:line="440" w:lineRule="exact"/>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）售后服务方案</w:t>
      </w:r>
      <w:r>
        <w:rPr>
          <w:rFonts w:hint="eastAsia" w:ascii="宋体" w:hAnsi="宋体" w:eastAsia="宋体" w:cs="宋体"/>
          <w:color w:val="000000" w:themeColor="text1"/>
          <w:highlight w:val="none"/>
          <w:lang w:eastAsia="zh-CN"/>
          <w14:textFill>
            <w14:solidFill>
              <w14:schemeClr w14:val="tx1"/>
            </w14:solidFill>
          </w14:textFill>
        </w:rPr>
        <w:t>；</w:t>
      </w:r>
    </w:p>
    <w:p w14:paraId="2FE62E28">
      <w:pPr>
        <w:spacing w:line="440" w:lineRule="exact"/>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承诺书</w:t>
      </w:r>
      <w:r>
        <w:rPr>
          <w:rFonts w:hint="eastAsia" w:ascii="宋体" w:hAnsi="宋体" w:eastAsia="宋体" w:cs="宋体"/>
          <w:color w:val="000000" w:themeColor="text1"/>
          <w:highlight w:val="none"/>
          <w:lang w:eastAsia="zh-CN"/>
          <w14:textFill>
            <w14:solidFill>
              <w14:schemeClr w14:val="tx1"/>
            </w14:solidFill>
          </w14:textFill>
        </w:rPr>
        <w:t>；</w:t>
      </w:r>
    </w:p>
    <w:p w14:paraId="0593F931">
      <w:pPr>
        <w:spacing w:line="440" w:lineRule="exact"/>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其他材料。</w:t>
      </w:r>
    </w:p>
    <w:p w14:paraId="6E291C06">
      <w:pPr>
        <w:spacing w:line="440" w:lineRule="exact"/>
        <w:ind w:firstLine="420"/>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报价文件包括以下内容：</w:t>
      </w:r>
    </w:p>
    <w:p w14:paraId="1E28237F">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报价函</w:t>
      </w:r>
      <w:r>
        <w:rPr>
          <w:rFonts w:hint="eastAsia" w:ascii="宋体" w:hAnsi="宋体" w:eastAsia="宋体" w:cs="宋体"/>
          <w:color w:val="000000" w:themeColor="text1"/>
          <w:highlight w:val="none"/>
          <w14:textFill>
            <w14:solidFill>
              <w14:schemeClr w14:val="tx1"/>
            </w14:solidFill>
          </w14:textFill>
        </w:rPr>
        <w:t>；</w:t>
      </w:r>
    </w:p>
    <w:p w14:paraId="6D123A2F">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已标价的工程量清单</w:t>
      </w:r>
      <w:r>
        <w:rPr>
          <w:rFonts w:hint="eastAsia" w:ascii="宋体" w:hAnsi="宋体" w:eastAsia="宋体" w:cs="宋体"/>
          <w:color w:val="000000" w:themeColor="text1"/>
          <w:highlight w:val="none"/>
          <w14:textFill>
            <w14:solidFill>
              <w14:schemeClr w14:val="tx1"/>
            </w14:solidFill>
          </w14:textFill>
        </w:rPr>
        <w:t>；</w:t>
      </w:r>
    </w:p>
    <w:p w14:paraId="625EE505">
      <w:pPr>
        <w:spacing w:line="440" w:lineRule="exact"/>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响应报价需要说明的其他资料。（如有）</w:t>
      </w:r>
    </w:p>
    <w:p w14:paraId="483DBC90">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 xml:space="preserve">3.2 报价要求 </w:t>
      </w:r>
    </w:p>
    <w:p w14:paraId="10975D6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3.2.1 报价应包括国家规定的增值税税金。</w:t>
      </w:r>
    </w:p>
    <w:p w14:paraId="371123B0">
      <w:pPr>
        <w:spacing w:line="440" w:lineRule="exact"/>
        <w:ind w:firstLine="420"/>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 xml:space="preserve">3.2.2 </w:t>
      </w:r>
      <w:r>
        <w:rPr>
          <w:rFonts w:ascii="Times New Roman" w:hAnsi="Times New Roman" w:cs="Times New Roman"/>
          <w:color w:val="000000" w:themeColor="text1"/>
          <w:highlight w:val="none"/>
          <w14:textFill>
            <w14:solidFill>
              <w14:schemeClr w14:val="tx1"/>
            </w14:solidFill>
          </w14:textFill>
        </w:rPr>
        <w:t>供应商应按第六章“响应文件格式”的要求在报价函中进行报价并填写工程量清单相应表格</w:t>
      </w:r>
      <w:r>
        <w:rPr>
          <w:rFonts w:hint="eastAsia" w:ascii="Times New Roman" w:hAnsi="Times New Roman" w:cs="Times New Roman"/>
          <w:color w:val="000000" w:themeColor="text1"/>
          <w:highlight w:val="none"/>
          <w:lang w:val="en-US" w:eastAsia="zh-CN"/>
          <w14:textFill>
            <w14:solidFill>
              <w14:schemeClr w14:val="tx1"/>
            </w14:solidFill>
          </w14:textFill>
        </w:rPr>
        <w:t>。</w:t>
      </w:r>
    </w:p>
    <w:p w14:paraId="087A9C7E">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3.2.</w:t>
      </w:r>
      <w:r>
        <w:rPr>
          <w:rFonts w:hint="eastAsia" w:ascii="Times New Roman" w:hAnsi="Times New Roman" w:cs="Times New Roman"/>
          <w:color w:val="000000" w:themeColor="text1"/>
          <w:highlight w:val="none"/>
          <w14:textFill>
            <w14:solidFill>
              <w14:schemeClr w14:val="tx1"/>
            </w14:solidFill>
          </w14:textFill>
        </w:rPr>
        <w:t>3</w:t>
      </w:r>
      <w:r>
        <w:rPr>
          <w:rFonts w:ascii="Times New Roman" w:hAnsi="Times New Roman" w:cs="Times New Roman"/>
          <w:color w:val="000000" w:themeColor="text1"/>
          <w:highlight w:val="none"/>
          <w14:textFill>
            <w14:solidFill>
              <w14:schemeClr w14:val="tx1"/>
            </w14:solidFill>
          </w14:textFill>
        </w:rPr>
        <w:t xml:space="preserve"> 采购人设有最高限价的，供应商的报价不得超过最高限价，</w:t>
      </w:r>
      <w:r>
        <w:rPr>
          <w:rFonts w:hint="eastAsia" w:ascii="Times New Roman" w:hAnsi="Times New Roman" w:cs="Times New Roman"/>
          <w:color w:val="000000" w:themeColor="text1"/>
          <w:highlight w:val="none"/>
          <w14:textFill>
            <w14:solidFill>
              <w14:schemeClr w14:val="tx1"/>
            </w14:solidFill>
          </w14:textFill>
        </w:rPr>
        <w:t>否则其报价将被否决，</w:t>
      </w:r>
      <w:r>
        <w:rPr>
          <w:rFonts w:ascii="Times New Roman" w:hAnsi="Times New Roman" w:cs="Times New Roman"/>
          <w:color w:val="000000" w:themeColor="text1"/>
          <w:highlight w:val="none"/>
          <w14:textFill>
            <w14:solidFill>
              <w14:schemeClr w14:val="tx1"/>
            </w14:solidFill>
          </w14:textFill>
        </w:rPr>
        <w:t>最高限价</w:t>
      </w:r>
      <w:r>
        <w:rPr>
          <w:rFonts w:hint="eastAsia" w:ascii="Times New Roman" w:hAnsi="Times New Roman" w:cs="Times New Roman"/>
          <w:color w:val="000000" w:themeColor="text1"/>
          <w:highlight w:val="none"/>
          <w14:textFill>
            <w14:solidFill>
              <w14:schemeClr w14:val="tx1"/>
            </w14:solidFill>
          </w14:textFill>
        </w:rPr>
        <w:t>见第一章</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采购公告</w:t>
      </w:r>
      <w:r>
        <w:rPr>
          <w:rFonts w:ascii="Times New Roman" w:hAnsi="Times New Roman" w:cs="Times New Roman"/>
          <w:color w:val="000000" w:themeColor="text1"/>
          <w:szCs w:val="2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采购邀请书</w:t>
      </w:r>
      <w:r>
        <w:rPr>
          <w:rFonts w:ascii="Times New Roman" w:hAnsi="Times New Roman" w:cs="Times New Roman"/>
          <w:color w:val="000000" w:themeColor="text1"/>
          <w:highlight w:val="none"/>
          <w14:textFill>
            <w14:solidFill>
              <w14:schemeClr w14:val="tx1"/>
            </w14:solidFill>
          </w14:textFill>
        </w:rPr>
        <w:t>”。</w:t>
      </w:r>
    </w:p>
    <w:p w14:paraId="56ABAAD1">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3.2.4</w:t>
      </w:r>
      <w:r>
        <w:rPr>
          <w:rFonts w:ascii="Times New Roman" w:hAnsi="Times New Roman" w:cs="Times New Roman"/>
          <w:color w:val="000000" w:themeColor="text1"/>
          <w:highlight w:val="none"/>
          <w14:textFill>
            <w14:solidFill>
              <w14:schemeClr w14:val="tx1"/>
            </w14:solidFill>
          </w14:textFill>
        </w:rPr>
        <w:t>本项目的报价方式</w:t>
      </w:r>
      <w:r>
        <w:rPr>
          <w:rFonts w:hint="eastAsia" w:ascii="Times New Roman" w:hAnsi="Times New Roman" w:cs="Times New Roman"/>
          <w:color w:val="000000" w:themeColor="text1"/>
          <w:highlight w:val="none"/>
          <w14:textFill>
            <w14:solidFill>
              <w14:schemeClr w14:val="tx1"/>
            </w14:solidFill>
          </w14:textFill>
        </w:rPr>
        <w:t>为</w:t>
      </w:r>
      <w:r>
        <w:rPr>
          <w:rFonts w:hint="eastAsia" w:ascii="Times New Roman" w:hAnsi="Times New Roman" w:cs="Times New Roman"/>
          <w:color w:val="000000" w:themeColor="text1"/>
          <w:highlight w:val="none"/>
          <w:u w:val="single"/>
          <w14:textFill>
            <w14:solidFill>
              <w14:schemeClr w14:val="tx1"/>
            </w14:solidFill>
          </w14:textFill>
        </w:rPr>
        <w:t>见供应商须知前附表</w:t>
      </w:r>
      <w:r>
        <w:rPr>
          <w:rFonts w:ascii="Times New Roman" w:hAnsi="Times New Roman" w:cs="Times New Roman"/>
          <w:color w:val="000000" w:themeColor="text1"/>
          <w:highlight w:val="none"/>
          <w14:textFill>
            <w14:solidFill>
              <w14:schemeClr w14:val="tx1"/>
            </w14:solidFill>
          </w14:textFill>
        </w:rPr>
        <w:t>。</w:t>
      </w:r>
    </w:p>
    <w:p w14:paraId="6623A5B4">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3.2.</w:t>
      </w:r>
      <w:r>
        <w:rPr>
          <w:rFonts w:hint="eastAsia" w:ascii="Times New Roman" w:hAnsi="Times New Roman" w:cs="Times New Roman"/>
          <w:color w:val="000000" w:themeColor="text1"/>
          <w:highlight w:val="none"/>
          <w14:textFill>
            <w14:solidFill>
              <w14:schemeClr w14:val="tx1"/>
            </w14:solidFill>
          </w14:textFill>
        </w:rPr>
        <w:t>5</w:t>
      </w:r>
      <w:r>
        <w:rPr>
          <w:rFonts w:ascii="Times New Roman" w:hAnsi="Times New Roman" w:cs="Times New Roman"/>
          <w:color w:val="000000" w:themeColor="text1"/>
          <w:highlight w:val="none"/>
          <w14:textFill>
            <w14:solidFill>
              <w14:schemeClr w14:val="tx1"/>
            </w14:solidFill>
          </w14:textFill>
        </w:rPr>
        <w:t xml:space="preserve"> 报价的其他要求</w:t>
      </w:r>
      <w:r>
        <w:rPr>
          <w:rFonts w:hint="eastAsia"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szCs w:val="21"/>
          <w:highlight w:val="none"/>
          <w:u w:val="single"/>
          <w14:textFill>
            <w14:solidFill>
              <w14:schemeClr w14:val="tx1"/>
            </w14:solidFill>
          </w14:textFill>
        </w:rPr>
        <w:t>见供应商须知前附表</w:t>
      </w:r>
      <w:r>
        <w:rPr>
          <w:rFonts w:ascii="Times New Roman" w:hAnsi="Times New Roman" w:cs="Times New Roman"/>
          <w:color w:val="000000" w:themeColor="text1"/>
          <w:highlight w:val="none"/>
          <w14:textFill>
            <w14:solidFill>
              <w14:schemeClr w14:val="tx1"/>
            </w14:solidFill>
          </w14:textFill>
        </w:rPr>
        <w:t>。</w:t>
      </w:r>
    </w:p>
    <w:p w14:paraId="4CB7B67E">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3.3响应有效期</w:t>
      </w:r>
    </w:p>
    <w:p w14:paraId="52862C95">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3.3.1 响应有效期为</w:t>
      </w:r>
      <w:r>
        <w:rPr>
          <w:rFonts w:ascii="Times New Roman" w:hAnsi="Times New Roman" w:eastAsia="宋体" w:cs="Times New Roman"/>
          <w:color w:val="000000" w:themeColor="text1"/>
          <w:szCs w:val="21"/>
          <w:highlight w:val="none"/>
          <w14:textFill>
            <w14:solidFill>
              <w14:schemeClr w14:val="tx1"/>
            </w14:solidFill>
          </w14:textFill>
        </w:rPr>
        <w:t>自供应商递交响应文件截止之日起计算</w:t>
      </w:r>
      <w:r>
        <w:rPr>
          <w:rFonts w:hint="eastAsia" w:ascii="Times New Roman" w:hAnsi="Times New Roman" w:eastAsia="宋体" w:cs="Times New Roman"/>
          <w:color w:val="000000" w:themeColor="text1"/>
          <w:szCs w:val="21"/>
          <w:highlight w:val="none"/>
          <w14:textFill>
            <w14:solidFill>
              <w14:schemeClr w14:val="tx1"/>
            </w14:solidFill>
          </w14:textFill>
        </w:rPr>
        <w:t>9</w:t>
      </w:r>
      <w:r>
        <w:rPr>
          <w:rFonts w:ascii="Times New Roman" w:hAnsi="Times New Roman" w:eastAsia="宋体" w:cs="Times New Roman"/>
          <w:color w:val="000000" w:themeColor="text1"/>
          <w:szCs w:val="21"/>
          <w:highlight w:val="none"/>
          <w14:textFill>
            <w14:solidFill>
              <w14:schemeClr w14:val="tx1"/>
            </w14:solidFill>
          </w14:textFill>
        </w:rPr>
        <w:t>0</w:t>
      </w:r>
      <w:r>
        <w:rPr>
          <w:rFonts w:ascii="Times New Roman" w:hAnsi="Times New Roman" w:cs="Times New Roman"/>
          <w:color w:val="000000" w:themeColor="text1"/>
          <w:highlight w:val="none"/>
          <w14:textFill>
            <w14:solidFill>
              <w14:schemeClr w14:val="tx1"/>
            </w14:solidFill>
          </w14:textFill>
        </w:rPr>
        <w:t>日。</w:t>
      </w:r>
    </w:p>
    <w:p w14:paraId="51F44310">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3.4响应保证金</w:t>
      </w:r>
    </w:p>
    <w:p w14:paraId="078C90F4">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3.4.1 供应商在递交响应文件的同时，应按</w:t>
      </w:r>
      <w:r>
        <w:rPr>
          <w:rFonts w:hint="eastAsia" w:ascii="Times New Roman" w:hAnsi="Times New Roman" w:cs="Times New Roman"/>
          <w:color w:val="000000" w:themeColor="text1"/>
          <w:highlight w:val="none"/>
          <w14:textFill>
            <w14:solidFill>
              <w14:schemeClr w14:val="tx1"/>
            </w14:solidFill>
          </w14:textFill>
        </w:rPr>
        <w:t>第一章</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采购公告</w:t>
      </w:r>
      <w:r>
        <w:rPr>
          <w:rFonts w:ascii="Times New Roman" w:hAnsi="Times New Roman" w:cs="Times New Roman"/>
          <w:color w:val="000000" w:themeColor="text1"/>
          <w:szCs w:val="2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采购邀请书</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的要求</w:t>
      </w:r>
      <w:r>
        <w:rPr>
          <w:rFonts w:ascii="Times New Roman" w:hAnsi="Times New Roman" w:cs="Times New Roman"/>
          <w:color w:val="000000" w:themeColor="text1"/>
          <w:highlight w:val="none"/>
          <w14:textFill>
            <w14:solidFill>
              <w14:schemeClr w14:val="tx1"/>
            </w14:solidFill>
          </w14:textFill>
        </w:rPr>
        <w:t>递交响应保证金，并作为其响应文件的组成部分。</w:t>
      </w:r>
    </w:p>
    <w:p w14:paraId="79CBA474">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无论采取何种形式的响应保证金，响应保证金有效期均应与响应有效期一致。</w:t>
      </w:r>
    </w:p>
    <w:p w14:paraId="522DB684">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3.4.2 供应商不按本章第3.4.1项要求提交响应保证金的，</w:t>
      </w:r>
      <w:r>
        <w:rPr>
          <w:rFonts w:hint="eastAsia" w:ascii="Times New Roman" w:hAnsi="Times New Roman" w:cs="Times New Roman"/>
          <w:color w:val="000000" w:themeColor="text1"/>
          <w:highlight w:val="none"/>
          <w14:textFill>
            <w14:solidFill>
              <w14:schemeClr w14:val="tx1"/>
            </w14:solidFill>
          </w14:textFill>
        </w:rPr>
        <w:t>评审小组</w:t>
      </w:r>
      <w:r>
        <w:rPr>
          <w:rFonts w:ascii="Times New Roman" w:hAnsi="Times New Roman" w:cs="Times New Roman"/>
          <w:color w:val="000000" w:themeColor="text1"/>
          <w:highlight w:val="none"/>
          <w14:textFill>
            <w14:solidFill>
              <w14:schemeClr w14:val="tx1"/>
            </w14:solidFill>
          </w14:textFill>
        </w:rPr>
        <w:t>将否决其</w:t>
      </w:r>
      <w:r>
        <w:rPr>
          <w:rFonts w:hint="eastAsia" w:ascii="Times New Roman" w:hAnsi="Times New Roman" w:cs="Times New Roman"/>
          <w:color w:val="000000" w:themeColor="text1"/>
          <w:highlight w:val="none"/>
          <w14:textFill>
            <w14:solidFill>
              <w14:schemeClr w14:val="tx1"/>
            </w14:solidFill>
          </w14:textFill>
        </w:rPr>
        <w:t>响应文件</w:t>
      </w:r>
      <w:r>
        <w:rPr>
          <w:rFonts w:ascii="Times New Roman" w:hAnsi="Times New Roman" w:cs="Times New Roman"/>
          <w:color w:val="000000" w:themeColor="text1"/>
          <w:highlight w:val="none"/>
          <w14:textFill>
            <w14:solidFill>
              <w14:schemeClr w14:val="tx1"/>
            </w14:solidFill>
          </w14:textFill>
        </w:rPr>
        <w:t>。</w:t>
      </w:r>
    </w:p>
    <w:p w14:paraId="572C7A2A">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3.4.3 采购人在与成交人签订合同后5日内</w:t>
      </w:r>
      <w:r>
        <w:rPr>
          <w:rFonts w:hint="eastAsia" w:ascii="Times New Roman" w:hAnsi="Times New Roman" w:cs="Times New Roman"/>
          <w:color w:val="000000" w:themeColor="text1"/>
          <w:highlight w:val="none"/>
          <w:lang w:val="en-US" w:eastAsia="zh-CN"/>
          <w14:textFill>
            <w14:solidFill>
              <w14:schemeClr w14:val="tx1"/>
            </w14:solidFill>
          </w14:textFill>
        </w:rPr>
        <w:t>向未中标人办理</w:t>
      </w:r>
      <w:r>
        <w:rPr>
          <w:rFonts w:ascii="Times New Roman" w:hAnsi="Times New Roman" w:cs="Times New Roman"/>
          <w:color w:val="000000" w:themeColor="text1"/>
          <w:highlight w:val="none"/>
          <w14:textFill>
            <w14:solidFill>
              <w14:schemeClr w14:val="tx1"/>
            </w14:solidFill>
          </w14:textFill>
        </w:rPr>
        <w:t>退还响应保证金手续。</w:t>
      </w:r>
    </w:p>
    <w:p w14:paraId="5FCC4612">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3.4.4 有下列情形之一的，响应保证金将不予退还：</w:t>
      </w:r>
    </w:p>
    <w:p w14:paraId="695F4B00">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（1）供应商在规定的响应有效期内撤销其响应文件；</w:t>
      </w:r>
    </w:p>
    <w:p w14:paraId="0C6EA527">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w:t>
      </w:r>
      <w:r>
        <w:rPr>
          <w:rFonts w:hint="eastAsia" w:ascii="Times New Roman" w:hAnsi="Times New Roman" w:cs="Times New Roman"/>
          <w:color w:val="000000" w:themeColor="text1"/>
          <w:szCs w:val="21"/>
          <w:highlight w:val="none"/>
          <w14:textFill>
            <w14:solidFill>
              <w14:schemeClr w14:val="tx1"/>
            </w14:solidFill>
          </w14:textFill>
        </w:rPr>
        <w:t>供应商须知前附表规定的</w:t>
      </w:r>
      <w:r>
        <w:rPr>
          <w:rFonts w:ascii="Times New Roman" w:hAnsi="Times New Roman" w:cs="Times New Roman"/>
          <w:color w:val="000000" w:themeColor="text1"/>
          <w:szCs w:val="21"/>
          <w:highlight w:val="none"/>
          <w14:textFill>
            <w14:solidFill>
              <w14:schemeClr w14:val="tx1"/>
            </w14:solidFill>
          </w14:textFill>
        </w:rPr>
        <w:t>其他情形</w:t>
      </w:r>
      <w:r>
        <w:rPr>
          <w:rFonts w:ascii="Times New Roman" w:hAnsi="Times New Roman" w:cs="Times New Roman"/>
          <w:color w:val="000000" w:themeColor="text1"/>
          <w:highlight w:val="none"/>
          <w14:textFill>
            <w14:solidFill>
              <w14:schemeClr w14:val="tx1"/>
            </w14:solidFill>
          </w14:textFill>
        </w:rPr>
        <w:t>。</w:t>
      </w:r>
    </w:p>
    <w:p w14:paraId="3DF896D0">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3.5资格审查资料</w:t>
      </w:r>
    </w:p>
    <w:p w14:paraId="1857BB49">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供应商应按“响应文件格式”</w:t>
      </w:r>
      <w:r>
        <w:rPr>
          <w:rFonts w:hint="eastAsia" w:ascii="Times New Roman" w:hAnsi="Times New Roman" w:cs="Times New Roman"/>
          <w:color w:val="000000" w:themeColor="text1"/>
          <w:highlight w:val="none"/>
          <w14:textFill>
            <w14:solidFill>
              <w14:schemeClr w14:val="tx1"/>
            </w14:solidFill>
          </w14:textFill>
        </w:rPr>
        <w:t>的</w:t>
      </w:r>
      <w:r>
        <w:rPr>
          <w:rFonts w:ascii="Times New Roman" w:hAnsi="Times New Roman" w:cs="Times New Roman"/>
          <w:color w:val="000000" w:themeColor="text1"/>
          <w:highlight w:val="none"/>
          <w14:textFill>
            <w14:solidFill>
              <w14:schemeClr w14:val="tx1"/>
            </w14:solidFill>
          </w14:textFill>
        </w:rPr>
        <w:t>规定提供资格审查资料，以证明其满足本章第1.</w:t>
      </w:r>
      <w:r>
        <w:rPr>
          <w:rFonts w:hint="eastAsia" w:ascii="Times New Roman" w:hAnsi="Times New Roman" w:cs="Times New Roman"/>
          <w:color w:val="000000" w:themeColor="text1"/>
          <w:highlight w:val="none"/>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款规定的资质、</w:t>
      </w:r>
      <w:r>
        <w:rPr>
          <w:rFonts w:hint="eastAsia" w:ascii="Times New Roman" w:hAnsi="Times New Roman" w:cs="Times New Roman"/>
          <w:color w:val="000000" w:themeColor="text1"/>
          <w:highlight w:val="none"/>
          <w14:textFill>
            <w14:solidFill>
              <w14:schemeClr w14:val="tx1"/>
            </w14:solidFill>
          </w14:textFill>
        </w:rPr>
        <w:t>能力、</w:t>
      </w:r>
      <w:r>
        <w:rPr>
          <w:rFonts w:ascii="Times New Roman" w:hAnsi="Times New Roman" w:cs="Times New Roman"/>
          <w:color w:val="000000" w:themeColor="text1"/>
          <w:highlight w:val="none"/>
          <w14:textFill>
            <w14:solidFill>
              <w14:schemeClr w14:val="tx1"/>
            </w14:solidFill>
          </w14:textFill>
        </w:rPr>
        <w:t>信誉等要求。</w:t>
      </w:r>
    </w:p>
    <w:p w14:paraId="65ECD3E0">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w:t>
      </w:r>
      <w:r>
        <w:rPr>
          <w:rFonts w:hint="eastAsia" w:ascii="Times New Roman" w:hAnsi="Times New Roman" w:eastAsia="黑体" w:cs="Times New Roman"/>
          <w:bCs/>
          <w:color w:val="000000" w:themeColor="text1"/>
          <w:sz w:val="24"/>
          <w:szCs w:val="32"/>
          <w:highlight w:val="none"/>
          <w14:textFill>
            <w14:solidFill>
              <w14:schemeClr w14:val="tx1"/>
            </w14:solidFill>
          </w14:textFill>
        </w:rPr>
        <w:t>6</w:t>
      </w:r>
      <w:r>
        <w:rPr>
          <w:rFonts w:ascii="Times New Roman" w:hAnsi="Times New Roman" w:eastAsia="黑体" w:cs="Times New Roman"/>
          <w:bCs/>
          <w:color w:val="000000" w:themeColor="text1"/>
          <w:sz w:val="24"/>
          <w:szCs w:val="32"/>
          <w:highlight w:val="none"/>
          <w14:textFill>
            <w14:solidFill>
              <w14:schemeClr w14:val="tx1"/>
            </w14:solidFill>
          </w14:textFill>
        </w:rPr>
        <w:t>响应文件的编制</w:t>
      </w:r>
    </w:p>
    <w:p w14:paraId="3027999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w:t>
      </w:r>
      <w:r>
        <w:rPr>
          <w:rFonts w:hint="eastAsia" w:ascii="Times New Roman" w:hAnsi="Times New Roman" w:cs="Times New Roman"/>
          <w:color w:val="000000" w:themeColor="text1"/>
          <w:highlight w:val="none"/>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yellow"/>
          <w:lang w:val="en-US" w:eastAsia="zh-CN"/>
        </w:rPr>
      </w:pPr>
      <w:r>
        <w:rPr>
          <w:rFonts w:ascii="Times New Roman" w:hAnsi="Times New Roman" w:cs="Times New Roman"/>
          <w:color w:val="auto"/>
          <w:highlight w:val="yellow"/>
        </w:rPr>
        <w:t>7.4.1</w:t>
      </w:r>
      <w:r>
        <w:rPr>
          <w:rFonts w:hint="eastAsia" w:ascii="Times New Roman" w:hAnsi="Times New Roman" w:cs="Times New Roman"/>
          <w:color w:val="auto"/>
          <w:highlight w:val="yellow"/>
          <w:lang w:val="en-US" w:eastAsia="zh-CN"/>
        </w:rPr>
        <w:t>中标公示后，在合同签订前，乙方需向甲方支付合同总价10%的履约保证金或提供合同总价10%的见索即付银行保函。</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14201253"/>
      <w:bookmarkStart w:id="46" w:name="_Toc26656984"/>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9067727"/>
      <w:bookmarkStart w:id="48" w:name="_Toc26656988"/>
      <w:bookmarkStart w:id="49" w:name="_Toc14201257"/>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14201262"/>
      <w:bookmarkStart w:id="51" w:name="_Toc26656993"/>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26656994"/>
      <w:bookmarkStart w:id="53" w:name="_Toc9067731"/>
      <w:bookmarkStart w:id="54" w:name="_Toc14201263"/>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67F9845">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5AB5C0D9">
      <w:pPr>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br w:type="page"/>
      </w:r>
    </w:p>
    <w:p w14:paraId="6EE6A9DE">
      <w:pPr>
        <w:pStyle w:val="2"/>
        <w:spacing w:before="312" w:after="312"/>
        <w:rPr>
          <w:rFonts w:ascii="Times New Roman" w:hAnsi="Times New Roman" w:eastAsia="宋体" w:cs="Times New Roman"/>
          <w:color w:val="auto"/>
          <w:highlight w:val="none"/>
        </w:rPr>
      </w:pPr>
      <w:bookmarkStart w:id="55" w:name="_Toc12514"/>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8"/>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457482536"/>
      <w:bookmarkStart w:id="57" w:name="_Toc144974496"/>
      <w:bookmarkStart w:id="58" w:name="_Toc447808662"/>
      <w:bookmarkStart w:id="59" w:name="_Toc152045528"/>
      <w:bookmarkStart w:id="60" w:name="_Toc3834"/>
      <w:bookmarkStart w:id="61" w:name="_Toc152042304"/>
      <w:bookmarkStart w:id="62" w:name="_Toc14847"/>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8"/>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w:t>
            </w:r>
            <w:r>
              <w:rPr>
                <w:rFonts w:hint="eastAsia" w:asciiTheme="minorEastAsia" w:hAnsiTheme="minorEastAsia" w:cstheme="minorEastAsia"/>
                <w:color w:val="auto"/>
                <w:sz w:val="21"/>
                <w:szCs w:val="21"/>
                <w:highlight w:val="none"/>
                <w:vertAlign w:val="baseline"/>
                <w:lang w:val="en-US" w:eastAsia="zh-CN"/>
              </w:rPr>
              <w:t>N</w:t>
            </w:r>
            <w:r>
              <w:rPr>
                <w:rFonts w:hint="eastAsia" w:asciiTheme="minorEastAsia" w:hAnsiTheme="minorEastAsia" w:eastAsiaTheme="minorEastAsia" w:cstheme="minorEastAsia"/>
                <w:color w:val="auto"/>
                <w:sz w:val="21"/>
                <w:szCs w:val="21"/>
                <w:highlight w:val="none"/>
                <w:vertAlign w:val="baseline"/>
                <w:lang w:val="en-US" w:eastAsia="zh-CN"/>
              </w:rPr>
              <w:t>名值</w:t>
            </w:r>
            <w:r>
              <w:rPr>
                <w:rFonts w:hint="eastAsia" w:asciiTheme="minorEastAsia" w:hAnsiTheme="minorEastAsia" w:cstheme="minorEastAsia"/>
                <w:color w:val="auto"/>
                <w:sz w:val="21"/>
                <w:szCs w:val="21"/>
                <w:highlight w:val="none"/>
                <w:vertAlign w:val="baseline"/>
                <w:lang w:val="en-US" w:eastAsia="zh-CN"/>
              </w:rPr>
              <w:t>开报价</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cstheme="minorEastAsia"/>
                      <w:color w:val="auto"/>
                      <w:sz w:val="21"/>
                      <w:szCs w:val="21"/>
                      <w:highlight w:val="none"/>
                      <w:vertAlign w:val="baseline"/>
                      <w:lang w:val="en-US" w:eastAsia="zh-CN"/>
                    </w:rPr>
                    <w:t>T≥3</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说明：</w:t>
            </w:r>
            <w:r>
              <w:rPr>
                <w:rFonts w:hint="eastAsia" w:asciiTheme="minorEastAsia" w:hAnsiTheme="minorEastAsia" w:cstheme="minorEastAsia"/>
                <w:color w:val="auto"/>
                <w:kern w:val="0"/>
                <w:sz w:val="21"/>
                <w:szCs w:val="21"/>
                <w:highlight w:val="none"/>
                <w:lang w:val="en-US" w:eastAsia="zh-CN" w:bidi="ar"/>
              </w:rPr>
              <w:t>本项目仅对商务技术文件打分排名前三的开</w:t>
            </w:r>
            <w:r>
              <w:rPr>
                <w:rFonts w:hint="eastAsia" w:asciiTheme="minorEastAsia" w:hAnsiTheme="minorEastAsia" w:eastAsiaTheme="minorEastAsia" w:cstheme="minorEastAsia"/>
                <w:color w:val="auto"/>
                <w:kern w:val="0"/>
                <w:sz w:val="21"/>
                <w:szCs w:val="21"/>
                <w:highlight w:val="none"/>
                <w:lang w:val="en-US" w:eastAsia="zh-CN" w:bidi="ar"/>
              </w:rPr>
              <w:t xml:space="preserve">如出现 A 家投标人商务技术文件得分相同的情况，其名次并列为第 B 名，则排名在 A 家投标人之后的投标人的名次从第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（9）未放置盖章版的响应文件扫描件（PDF版本）。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（7）未放置电子版的报价清单。</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8"/>
        <w:numPr>
          <w:ilvl w:val="0"/>
          <w:numId w:val="0"/>
        </w:numPr>
        <w:spacing w:before="0"/>
        <w:outlineLvl w:val="9"/>
        <w:rPr>
          <w:rFonts w:hint="eastAsia" w:ascii="宋体" w:hAnsi="宋体" w:eastAsia="宋体" w:cs="宋体"/>
          <w:b/>
          <w:bCs/>
          <w:color w:val="auto"/>
          <w:szCs w:val="28"/>
          <w:highlight w:val="none"/>
        </w:rPr>
      </w:pPr>
    </w:p>
    <w:p w14:paraId="0ADDC629">
      <w:pPr>
        <w:pStyle w:val="38"/>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000000"/>
                <w:kern w:val="0"/>
                <w:sz w:val="22"/>
                <w:szCs w:val="22"/>
                <w:highlight w:val="none"/>
                <w:lang w:bidi="ar"/>
              </w:rPr>
              <w:t>成</w:t>
            </w:r>
            <w:r>
              <w:rPr>
                <w:rFonts w:hint="eastAsia" w:ascii="宋体" w:hAnsi="宋体" w:cs="宋体"/>
                <w:sz w:val="21"/>
                <w:szCs w:val="21"/>
                <w:highlight w:val="none"/>
              </w:rPr>
              <w:t>（总分100分）</w:t>
            </w:r>
          </w:p>
        </w:tc>
        <w:tc>
          <w:tcPr>
            <w:tcW w:w="6287" w:type="dxa"/>
            <w:vAlign w:val="center"/>
          </w:tcPr>
          <w:p w14:paraId="70DC34AD">
            <w:pPr>
              <w:keepNext w:val="0"/>
              <w:keepLines w:val="0"/>
              <w:suppressLineNumbers w:val="0"/>
              <w:adjustRightInd w:val="0"/>
              <w:spacing w:before="0" w:beforeLines="0" w:beforeAutospacing="0" w:after="0" w:afterLines="0" w:afterAutospacing="0"/>
              <w:ind w:left="0" w:right="0"/>
              <w:rPr>
                <w:rFonts w:hint="eastAsia" w:ascii="宋体" w:hAnsi="宋体" w:cs="宋体"/>
                <w:b/>
                <w:sz w:val="21"/>
                <w:szCs w:val="21"/>
                <w:highlight w:val="none"/>
              </w:rPr>
            </w:pPr>
            <w:r>
              <w:rPr>
                <w:rFonts w:hint="eastAsia" w:ascii="宋体" w:hAnsi="宋体" w:cs="宋体"/>
                <w:b/>
                <w:sz w:val="21"/>
                <w:szCs w:val="21"/>
                <w:highlight w:val="none"/>
              </w:rPr>
              <w:t>商务及技术文件评分分值构成：</w:t>
            </w:r>
            <w:r>
              <w:rPr>
                <w:rFonts w:hint="eastAsia" w:ascii="宋体" w:hAnsi="宋体" w:cs="宋体"/>
                <w:b/>
                <w:sz w:val="21"/>
                <w:szCs w:val="21"/>
                <w:highlight w:val="none"/>
                <w:u w:val="single"/>
              </w:rPr>
              <w:t xml:space="preserve"> 100 </w:t>
            </w:r>
            <w:r>
              <w:rPr>
                <w:rFonts w:hint="eastAsia" w:ascii="宋体" w:hAnsi="宋体" w:cs="宋体"/>
                <w:b/>
                <w:sz w:val="21"/>
                <w:szCs w:val="21"/>
                <w:highlight w:val="none"/>
              </w:rPr>
              <w:t>分</w:t>
            </w:r>
          </w:p>
          <w:p w14:paraId="3F619279">
            <w:pPr>
              <w:keepNext w:val="0"/>
              <w:keepLines w:val="0"/>
              <w:suppressLineNumbers w:val="0"/>
              <w:spacing w:before="0" w:beforeLines="0" w:beforeAutospacing="0" w:after="0" w:afterLines="0" w:afterAutospacing="0" w:line="240" w:lineRule="auto"/>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企业业绩：</w:t>
            </w:r>
            <w:r>
              <w:rPr>
                <w:rFonts w:hint="eastAsia" w:ascii="宋体" w:hAnsi="宋体" w:cs="宋体"/>
                <w:color w:val="000000" w:themeColor="text1"/>
                <w:sz w:val="21"/>
                <w:szCs w:val="24"/>
                <w:highlight w:val="none"/>
                <w:u w:val="single"/>
                <w14:textFill>
                  <w14:solidFill>
                    <w14:schemeClr w14:val="tx1"/>
                  </w14:solidFill>
                </w14:textFill>
              </w:rPr>
              <w:t xml:space="preserve">  </w:t>
            </w:r>
            <w:r>
              <w:rPr>
                <w:rFonts w:hint="eastAsia" w:ascii="宋体" w:hAnsi="宋体" w:cs="宋体"/>
                <w:color w:val="000000" w:themeColor="text1"/>
                <w:sz w:val="21"/>
                <w:szCs w:val="24"/>
                <w:highlight w:val="none"/>
                <w:u w:val="single"/>
                <w:lang w:val="en-US" w:eastAsia="zh-CN"/>
                <w14:textFill>
                  <w14:solidFill>
                    <w14:schemeClr w14:val="tx1"/>
                  </w14:solidFill>
                </w14:textFill>
              </w:rPr>
              <w:t>40</w:t>
            </w:r>
            <w:r>
              <w:rPr>
                <w:rFonts w:hint="eastAsia" w:ascii="宋体" w:hAnsi="宋体" w:cs="宋体"/>
                <w:color w:val="000000" w:themeColor="text1"/>
                <w:sz w:val="21"/>
                <w:szCs w:val="24"/>
                <w:highlight w:val="none"/>
                <w:u w:val="single"/>
                <w14:textFill>
                  <w14:solidFill>
                    <w14:schemeClr w14:val="tx1"/>
                  </w14:solidFill>
                </w14:textFill>
              </w:rPr>
              <w:t xml:space="preserve"> </w:t>
            </w:r>
            <w:r>
              <w:rPr>
                <w:rFonts w:hint="eastAsia" w:ascii="宋体" w:hAnsi="宋体" w:cs="宋体"/>
                <w:color w:val="000000" w:themeColor="text1"/>
                <w:sz w:val="21"/>
                <w:szCs w:val="24"/>
                <w:highlight w:val="none"/>
                <w14:textFill>
                  <w14:solidFill>
                    <w14:schemeClr w14:val="tx1"/>
                  </w14:solidFill>
                </w14:textFill>
              </w:rPr>
              <w:t>分</w:t>
            </w:r>
          </w:p>
          <w:p w14:paraId="651151A1">
            <w:pPr>
              <w:keepNext w:val="0"/>
              <w:keepLines w:val="0"/>
              <w:suppressLineNumbers w:val="0"/>
              <w:spacing w:before="0" w:beforeLines="0" w:beforeAutospacing="0" w:after="0" w:afterLines="0" w:afterAutospacing="0" w:line="240" w:lineRule="auto"/>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企业实力：</w:t>
            </w:r>
            <w:r>
              <w:rPr>
                <w:rFonts w:hint="eastAsia" w:ascii="宋体" w:hAnsi="宋体" w:cs="宋体"/>
                <w:color w:val="000000" w:themeColor="text1"/>
                <w:sz w:val="21"/>
                <w:szCs w:val="24"/>
                <w:highlight w:val="none"/>
                <w:u w:val="single"/>
                <w14:textFill>
                  <w14:solidFill>
                    <w14:schemeClr w14:val="tx1"/>
                  </w14:solidFill>
                </w14:textFill>
              </w:rPr>
              <w:t xml:space="preserve">  </w:t>
            </w:r>
            <w:r>
              <w:rPr>
                <w:rFonts w:hint="eastAsia" w:ascii="宋体" w:hAnsi="宋体" w:cs="宋体"/>
                <w:color w:val="000000" w:themeColor="text1"/>
                <w:sz w:val="21"/>
                <w:szCs w:val="24"/>
                <w:highlight w:val="none"/>
                <w:u w:val="single"/>
                <w:lang w:val="en-US" w:eastAsia="zh-CN"/>
                <w14:textFill>
                  <w14:solidFill>
                    <w14:schemeClr w14:val="tx1"/>
                  </w14:solidFill>
                </w14:textFill>
              </w:rPr>
              <w:t>30</w:t>
            </w:r>
            <w:r>
              <w:rPr>
                <w:rFonts w:hint="eastAsia" w:ascii="宋体" w:hAnsi="宋体" w:cs="宋体"/>
                <w:color w:val="000000" w:themeColor="text1"/>
                <w:sz w:val="21"/>
                <w:szCs w:val="24"/>
                <w:highlight w:val="none"/>
                <w:u w:val="single"/>
                <w14:textFill>
                  <w14:solidFill>
                    <w14:schemeClr w14:val="tx1"/>
                  </w14:solidFill>
                </w14:textFill>
              </w:rPr>
              <w:t xml:space="preserve">  </w:t>
            </w:r>
            <w:r>
              <w:rPr>
                <w:rFonts w:hint="eastAsia" w:ascii="宋体" w:hAnsi="宋体" w:cs="宋体"/>
                <w:color w:val="000000" w:themeColor="text1"/>
                <w:sz w:val="21"/>
                <w:szCs w:val="24"/>
                <w:highlight w:val="none"/>
                <w14:textFill>
                  <w14:solidFill>
                    <w14:schemeClr w14:val="tx1"/>
                  </w14:solidFill>
                </w14:textFill>
              </w:rPr>
              <w:t>分</w:t>
            </w:r>
          </w:p>
          <w:p w14:paraId="2144FC41">
            <w:pPr>
              <w:keepNext w:val="0"/>
              <w:keepLines w:val="0"/>
              <w:suppressLineNumbers w:val="0"/>
              <w:spacing w:before="0" w:beforeLines="0" w:beforeAutospacing="0" w:after="0" w:afterLines="0" w:afterAutospacing="0" w:line="240" w:lineRule="auto"/>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供货方案：</w:t>
            </w:r>
            <w:r>
              <w:rPr>
                <w:rFonts w:hint="eastAsia" w:ascii="宋体" w:hAnsi="宋体" w:cs="宋体"/>
                <w:color w:val="000000" w:themeColor="text1"/>
                <w:sz w:val="21"/>
                <w:szCs w:val="24"/>
                <w:highlight w:val="none"/>
                <w:u w:val="single"/>
                <w14:textFill>
                  <w14:solidFill>
                    <w14:schemeClr w14:val="tx1"/>
                  </w14:solidFill>
                </w14:textFill>
              </w:rPr>
              <w:t xml:space="preserve">  </w:t>
            </w:r>
            <w:r>
              <w:rPr>
                <w:rFonts w:hint="eastAsia" w:ascii="宋体" w:hAnsi="宋体" w:cs="宋体"/>
                <w:color w:val="000000" w:themeColor="text1"/>
                <w:sz w:val="21"/>
                <w:szCs w:val="24"/>
                <w:highlight w:val="none"/>
                <w:u w:val="single"/>
                <w:lang w:val="en-US" w:eastAsia="zh-CN"/>
                <w14:textFill>
                  <w14:solidFill>
                    <w14:schemeClr w14:val="tx1"/>
                  </w14:solidFill>
                </w14:textFill>
              </w:rPr>
              <w:t xml:space="preserve">15 </w:t>
            </w:r>
            <w:r>
              <w:rPr>
                <w:rFonts w:hint="eastAsia" w:ascii="宋体" w:hAnsi="宋体" w:cs="宋体"/>
                <w:color w:val="000000" w:themeColor="text1"/>
                <w:sz w:val="21"/>
                <w:szCs w:val="24"/>
                <w:highlight w:val="none"/>
                <w:u w:val="single"/>
                <w14:textFill>
                  <w14:solidFill>
                    <w14:schemeClr w14:val="tx1"/>
                  </w14:solidFill>
                </w14:textFill>
              </w:rPr>
              <w:t xml:space="preserve"> </w:t>
            </w:r>
            <w:r>
              <w:rPr>
                <w:rFonts w:hint="eastAsia" w:ascii="宋体" w:hAnsi="宋体" w:cs="宋体"/>
                <w:color w:val="000000" w:themeColor="text1"/>
                <w:sz w:val="21"/>
                <w:szCs w:val="24"/>
                <w:highlight w:val="none"/>
                <w14:textFill>
                  <w14:solidFill>
                    <w14:schemeClr w14:val="tx1"/>
                  </w14:solidFill>
                </w14:textFill>
              </w:rPr>
              <w:t>分</w:t>
            </w:r>
          </w:p>
          <w:p w14:paraId="1C7AD2CD">
            <w:pPr>
              <w:keepNext w:val="0"/>
              <w:keepLines w:val="0"/>
              <w:suppressLineNumbers w:val="0"/>
              <w:spacing w:before="0" w:beforeLines="0" w:beforeAutospacing="0" w:after="0" w:afterLines="0" w:afterAutospacing="0" w:line="240" w:lineRule="auto"/>
              <w:ind w:left="0" w:right="0"/>
              <w:rPr>
                <w:rFonts w:hint="eastAsia"/>
                <w:lang w:val="en-US" w:eastAsia="zh-CN"/>
              </w:rPr>
            </w:pPr>
            <w:r>
              <w:rPr>
                <w:rFonts w:hint="eastAsia" w:ascii="宋体" w:hAnsi="宋体" w:cs="宋体"/>
                <w:color w:val="000000" w:themeColor="text1"/>
                <w:sz w:val="21"/>
                <w:szCs w:val="24"/>
                <w:highlight w:val="none"/>
                <w:lang w:eastAsia="zh-CN"/>
                <w14:textFill>
                  <w14:solidFill>
                    <w14:schemeClr w14:val="tx1"/>
                  </w14:solidFill>
                </w14:textFill>
              </w:rPr>
              <w:t>售后服务方案</w:t>
            </w:r>
            <w:r>
              <w:rPr>
                <w:rFonts w:hint="eastAsia" w:ascii="宋体" w:hAnsi="宋体" w:cs="宋体"/>
                <w:color w:val="000000" w:themeColor="text1"/>
                <w:sz w:val="21"/>
                <w:szCs w:val="24"/>
                <w:highlight w:val="none"/>
                <w:u w:val="none"/>
                <w14:textFill>
                  <w14:solidFill>
                    <w14:schemeClr w14:val="tx1"/>
                  </w14:solidFill>
                </w14:textFill>
              </w:rPr>
              <w:t>：</w:t>
            </w:r>
            <w:r>
              <w:rPr>
                <w:rFonts w:hint="eastAsia" w:ascii="宋体" w:hAnsi="宋体" w:cs="宋体"/>
                <w:color w:val="000000" w:themeColor="text1"/>
                <w:sz w:val="21"/>
                <w:szCs w:val="24"/>
                <w:highlight w:val="none"/>
                <w:u w:val="single"/>
                <w:lang w:val="en-US" w:eastAsia="zh-CN"/>
                <w14:textFill>
                  <w14:solidFill>
                    <w14:schemeClr w14:val="tx1"/>
                  </w14:solidFill>
                </w14:textFill>
              </w:rPr>
              <w:t>15</w:t>
            </w:r>
            <w:r>
              <w:rPr>
                <w:rFonts w:hint="eastAsia" w:ascii="宋体" w:hAnsi="宋体" w:cs="宋体"/>
                <w:color w:val="000000" w:themeColor="text1"/>
                <w:sz w:val="21"/>
                <w:szCs w:val="24"/>
                <w:highlight w:val="none"/>
                <w:u w:val="single"/>
                <w14:textFill>
                  <w14:solidFill>
                    <w14:schemeClr w14:val="tx1"/>
                  </w14:solidFill>
                </w14:textFill>
              </w:rPr>
              <w:t xml:space="preserve"> </w:t>
            </w:r>
            <w:r>
              <w:rPr>
                <w:rFonts w:hint="eastAsia" w:ascii="宋体" w:hAnsi="宋体" w:cs="宋体"/>
                <w:color w:val="000000" w:themeColor="text1"/>
                <w:sz w:val="21"/>
                <w:szCs w:val="24"/>
                <w:highlight w:val="none"/>
                <w:lang w:val="en-US" w:eastAsia="zh-CN"/>
                <w14:textFill>
                  <w14:solidFill>
                    <w14:schemeClr w14:val="tx1"/>
                  </w14:solidFill>
                </w14:textFill>
              </w:rPr>
              <w:t xml:space="preserve"> </w:t>
            </w:r>
            <w:r>
              <w:rPr>
                <w:rFonts w:hint="eastAsia" w:ascii="宋体" w:hAnsi="宋体" w:cs="宋体"/>
                <w:color w:val="000000" w:themeColor="text1"/>
                <w:sz w:val="21"/>
                <w:szCs w:val="24"/>
                <w:highlight w:val="none"/>
                <w14:textFill>
                  <w14:solidFill>
                    <w14:schemeClr w14:val="tx1"/>
                  </w14:solidFill>
                </w14:textFill>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的评审结果，并开启进入第二个信封评审的投标人的报价文件。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除按第二章“投标人须知”规定开标现场被宣布为不进入评标基准价计算的投标报价之外，投标人的评标价的算术平均值为评标价平均值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①如投标人的评标价低于评标价平均值的90%时，采购人可以在评标现场要求该投标人作出情况说明并提供相应降低工程造价的相关证明材料，参照附表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②异常低价或不平衡报价，采购人有权作废标处理。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6731446D">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7"/>
        <w:gridCol w:w="933"/>
        <w:gridCol w:w="1662"/>
        <w:gridCol w:w="5393"/>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5" w:type="pct"/>
            <w:vAlign w:val="center"/>
          </w:tcPr>
          <w:p w14:paraId="159E5634">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41" w:type="pct"/>
            <w:vAlign w:val="center"/>
          </w:tcPr>
          <w:p w14:paraId="3868DF9F">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92" w:hRule="atLeast"/>
          <w:jc w:val="center"/>
        </w:trPr>
        <w:tc>
          <w:tcPr>
            <w:tcW w:w="495" w:type="pct"/>
            <w:vMerge w:val="restart"/>
            <w:vAlign w:val="center"/>
          </w:tcPr>
          <w:p w14:paraId="572DA4A5">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2.2.4</w:t>
            </w:r>
          </w:p>
          <w:p w14:paraId="5BC79124">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restart"/>
            <w:vAlign w:val="center"/>
          </w:tcPr>
          <w:p w14:paraId="2B8AF269">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商务及技术文件</w:t>
            </w:r>
          </w:p>
        </w:tc>
        <w:tc>
          <w:tcPr>
            <w:tcW w:w="937" w:type="pct"/>
            <w:vAlign w:val="center"/>
          </w:tcPr>
          <w:p w14:paraId="62D7CE1F">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企业业绩</w:t>
            </w:r>
          </w:p>
          <w:p w14:paraId="35898049">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（满分</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4</w:t>
            </w:r>
            <w:r>
              <w:rPr>
                <w:rFonts w:hint="eastAsia" w:ascii="宋体" w:hAnsi="宋体" w:cs="宋体"/>
                <w:color w:val="000000" w:themeColor="text1"/>
                <w:sz w:val="21"/>
                <w:szCs w:val="21"/>
                <w:highlight w:val="none"/>
                <w:u w:val="single"/>
                <w14:textFill>
                  <w14:solidFill>
                    <w14:schemeClr w14:val="tx1"/>
                  </w14:solidFill>
                </w14:textFill>
              </w:rPr>
              <w:t xml:space="preserve">0 </w:t>
            </w:r>
            <w:r>
              <w:rPr>
                <w:rFonts w:hint="eastAsia" w:ascii="宋体" w:hAnsi="宋体" w:cs="宋体"/>
                <w:color w:val="000000" w:themeColor="text1"/>
                <w:sz w:val="21"/>
                <w:szCs w:val="21"/>
                <w:highlight w:val="none"/>
                <w14:textFill>
                  <w14:solidFill>
                    <w14:schemeClr w14:val="tx1"/>
                  </w14:solidFill>
                </w14:textFill>
              </w:rPr>
              <w:t>分）</w:t>
            </w:r>
          </w:p>
        </w:tc>
        <w:tc>
          <w:tcPr>
            <w:tcW w:w="3041" w:type="pct"/>
            <w:vAlign w:val="center"/>
          </w:tcPr>
          <w:p w14:paraId="003C586F">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202</w:t>
            </w:r>
            <w:r>
              <w:rPr>
                <w:rFonts w:hint="eastAsia" w:ascii="宋体" w:hAnsi="宋体" w:cs="宋体"/>
                <w:color w:val="000000" w:themeColor="text1"/>
                <w:sz w:val="21"/>
                <w:szCs w:val="24"/>
                <w:highlight w:val="none"/>
                <w:lang w:val="en-US" w:eastAsia="zh-CN"/>
                <w14:textFill>
                  <w14:solidFill>
                    <w14:schemeClr w14:val="tx1"/>
                  </w14:solidFill>
                </w14:textFill>
              </w:rPr>
              <w:t>2</w:t>
            </w:r>
            <w:r>
              <w:rPr>
                <w:rFonts w:hint="eastAsia" w:ascii="宋体" w:hAnsi="宋体" w:cs="宋体"/>
                <w:color w:val="000000" w:themeColor="text1"/>
                <w:sz w:val="21"/>
                <w:szCs w:val="24"/>
                <w:highlight w:val="none"/>
                <w14:textFill>
                  <w14:solidFill>
                    <w14:schemeClr w14:val="tx1"/>
                  </w14:solidFill>
                </w14:textFill>
              </w:rPr>
              <w:t xml:space="preserve"> 年 1月1 日以来（以合同签订时间为准），除供应商资审条件要求的业绩得</w:t>
            </w:r>
            <w:r>
              <w:rPr>
                <w:rFonts w:hint="eastAsia" w:ascii="宋体" w:hAnsi="宋体" w:cs="宋体"/>
                <w:color w:val="000000" w:themeColor="text1"/>
                <w:sz w:val="21"/>
                <w:szCs w:val="24"/>
                <w:highlight w:val="none"/>
                <w:lang w:val="en-US" w:eastAsia="zh-CN"/>
                <w14:textFill>
                  <w14:solidFill>
                    <w14:schemeClr w14:val="tx1"/>
                  </w14:solidFill>
                </w14:textFill>
              </w:rPr>
              <w:t>25</w:t>
            </w:r>
            <w:r>
              <w:rPr>
                <w:rFonts w:hint="eastAsia" w:ascii="宋体" w:hAnsi="宋体" w:cs="宋体"/>
                <w:color w:val="000000" w:themeColor="text1"/>
                <w:sz w:val="21"/>
                <w:szCs w:val="24"/>
                <w:highlight w:val="none"/>
                <w14:textFill>
                  <w14:solidFill>
                    <w14:schemeClr w14:val="tx1"/>
                  </w14:solidFill>
                </w14:textFill>
              </w:rPr>
              <w:t>分，近三年来具有</w:t>
            </w:r>
            <w:r>
              <w:rPr>
                <w:rFonts w:hint="eastAsia" w:ascii="宋体" w:hAnsi="宋体" w:cs="宋体"/>
                <w:color w:val="000000" w:themeColor="text1"/>
                <w:sz w:val="21"/>
                <w:szCs w:val="24"/>
                <w:highlight w:val="none"/>
                <w:lang w:val="en-US" w:eastAsia="zh-CN"/>
                <w14:textFill>
                  <w14:solidFill>
                    <w14:schemeClr w14:val="tx1"/>
                  </w14:solidFill>
                </w14:textFill>
              </w:rPr>
              <w:t>200万</w:t>
            </w:r>
            <w:r>
              <w:rPr>
                <w:rFonts w:hint="eastAsia" w:ascii="宋体" w:hAnsi="宋体" w:cs="宋体"/>
                <w:color w:val="000000" w:themeColor="text1"/>
                <w:sz w:val="21"/>
                <w:szCs w:val="24"/>
                <w:highlight w:val="none"/>
                <w14:textFill>
                  <w14:solidFill>
                    <w14:schemeClr w14:val="tx1"/>
                  </w14:solidFill>
                </w14:textFill>
              </w:rPr>
              <w:t>及以上的</w:t>
            </w:r>
            <w:r>
              <w:rPr>
                <w:rFonts w:hint="eastAsia" w:ascii="宋体" w:hAnsi="宋体" w:cs="宋体"/>
                <w:color w:val="000000" w:themeColor="text1"/>
                <w:sz w:val="21"/>
                <w:szCs w:val="24"/>
                <w:highlight w:val="none"/>
                <w:lang w:val="en-US" w:eastAsia="zh-CN"/>
                <w14:textFill>
                  <w14:solidFill>
                    <w14:schemeClr w14:val="tx1"/>
                  </w14:solidFill>
                </w14:textFill>
              </w:rPr>
              <w:t>石材</w:t>
            </w:r>
            <w:r>
              <w:rPr>
                <w:rFonts w:hint="eastAsia" w:ascii="宋体" w:hAnsi="宋体" w:cs="宋体"/>
                <w:color w:val="000000" w:themeColor="text1"/>
                <w:sz w:val="21"/>
                <w:szCs w:val="24"/>
                <w:highlight w:val="none"/>
                <w:u w:val="none"/>
                <w14:textFill>
                  <w14:solidFill>
                    <w14:schemeClr w14:val="tx1"/>
                  </w14:solidFill>
                </w14:textFill>
              </w:rPr>
              <w:t>供应的</w:t>
            </w:r>
            <w:r>
              <w:rPr>
                <w:rFonts w:hint="eastAsia" w:ascii="宋体" w:hAnsi="宋体" w:cs="宋体"/>
                <w:color w:val="000000" w:themeColor="text1"/>
                <w:sz w:val="21"/>
                <w:szCs w:val="24"/>
                <w:highlight w:val="none"/>
                <w14:textFill>
                  <w14:solidFill>
                    <w14:schemeClr w14:val="tx1"/>
                  </w14:solidFill>
                </w14:textFill>
              </w:rPr>
              <w:t>业绩，每多提供一个业绩得5分，满分40分。</w:t>
            </w:r>
          </w:p>
          <w:p w14:paraId="1679D332">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000000" w:themeColor="text1"/>
                <w:sz w:val="21"/>
                <w:szCs w:val="24"/>
                <w:highlight w:val="none"/>
                <w:lang w:val="en-US" w:eastAsia="zh-CN"/>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（1）</w:t>
            </w:r>
            <w:r>
              <w:rPr>
                <w:rFonts w:hint="eastAsia" w:ascii="宋体" w:hAnsi="宋体" w:cs="宋体"/>
                <w:color w:val="000000" w:themeColor="text1"/>
                <w:sz w:val="21"/>
                <w:szCs w:val="24"/>
                <w:highlight w:val="none"/>
                <w:lang w:val="en-US" w:eastAsia="zh-CN"/>
                <w14:textFill>
                  <w14:solidFill>
                    <w14:schemeClr w14:val="tx1"/>
                  </w14:solidFill>
                </w14:textFill>
              </w:rPr>
              <w:t>投标人</w:t>
            </w:r>
            <w:r>
              <w:rPr>
                <w:rFonts w:hint="eastAsia" w:ascii="宋体" w:hAnsi="宋体" w:cs="宋体"/>
                <w:color w:val="000000" w:themeColor="text1"/>
                <w:sz w:val="21"/>
                <w:szCs w:val="24"/>
                <w:highlight w:val="none"/>
                <w14:textFill>
                  <w14:solidFill>
                    <w14:schemeClr w14:val="tx1"/>
                  </w14:solidFill>
                </w14:textFill>
              </w:rPr>
              <w:t>业绩合同应提供包含项目名称、合同总金额、合同签订时间、合同签字盖章页等关键内容的关键页的扫描件；</w:t>
            </w:r>
            <w:r>
              <w:rPr>
                <w:rFonts w:hint="eastAsia" w:ascii="宋体" w:hAnsi="宋体" w:cs="宋体"/>
                <w:color w:val="000000" w:themeColor="text1"/>
                <w:sz w:val="21"/>
                <w:szCs w:val="24"/>
                <w:highlight w:val="none"/>
                <w:lang w:val="en-US" w:eastAsia="zh-CN"/>
                <w14:textFill>
                  <w14:solidFill>
                    <w14:schemeClr w14:val="tx1"/>
                  </w14:solidFill>
                </w14:textFill>
              </w:rPr>
              <w:t>（每个业绩至少提供不低于合同金额50%的增值税发票或收到业主转账的收款凭证，未提供，该业绩无效，未提供，该业绩无效）</w:t>
            </w:r>
          </w:p>
          <w:p w14:paraId="71881B33">
            <w:pPr>
              <w:pStyle w:val="8"/>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5" w:type="pct"/>
            <w:vMerge w:val="continue"/>
            <w:vAlign w:val="center"/>
          </w:tcPr>
          <w:p w14:paraId="15F3468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continue"/>
            <w:vAlign w:val="center"/>
          </w:tcPr>
          <w:p w14:paraId="6271DD0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37" w:type="pct"/>
            <w:vAlign w:val="center"/>
          </w:tcPr>
          <w:p w14:paraId="2BCA433A">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（满分</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30</w:t>
            </w:r>
            <w:r>
              <w:rPr>
                <w:rFonts w:hint="eastAsia" w:ascii="宋体" w:hAnsi="宋体" w:cs="宋体"/>
                <w:color w:val="000000" w:themeColor="text1"/>
                <w:sz w:val="21"/>
                <w:szCs w:val="21"/>
                <w:highlight w:val="none"/>
                <w14:textFill>
                  <w14:solidFill>
                    <w14:schemeClr w14:val="tx1"/>
                  </w14:solidFill>
                </w14:textFill>
              </w:rPr>
              <w:t>分）</w:t>
            </w:r>
          </w:p>
        </w:tc>
        <w:tc>
          <w:tcPr>
            <w:tcW w:w="3041" w:type="pct"/>
            <w:vAlign w:val="center"/>
          </w:tcPr>
          <w:p w14:paraId="142D53F5">
            <w:pPr>
              <w:pStyle w:val="18"/>
              <w:keepNext w:val="0"/>
              <w:keepLines w:val="0"/>
              <w:suppressLineNumbers w:val="0"/>
              <w:spacing w:before="0" w:beforeLines="0" w:beforeAutospacing="0" w:after="0" w:afterLines="0" w:afterAutospacing="0"/>
              <w:ind w:left="0" w:right="0" w:firstLine="210" w:firstLineChars="100"/>
              <w:jc w:val="both"/>
              <w:rPr>
                <w:rFonts w:hint="eastAsia" w:asciiTheme="minorEastAsia" w:hAnsiTheme="minorEastAsia" w:eastAsiaTheme="minorEastAsia" w:cstheme="minorEastAsia"/>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bidi="ar"/>
                <w14:textFill>
                  <w14:solidFill>
                    <w14:schemeClr w14:val="tx1"/>
                  </w14:solidFill>
                </w14:textFill>
              </w:rPr>
              <w:t>企业实力</w:t>
            </w:r>
            <w:r>
              <w:rPr>
                <w:rFonts w:hint="eastAsia" w:asciiTheme="minorEastAsia" w:hAnsiTheme="minorEastAsia" w:eastAsiaTheme="minorEastAsia" w:cstheme="minorEastAsia"/>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bidi="ar"/>
                <w14:textFill>
                  <w14:solidFill>
                    <w14:schemeClr w14:val="tx1"/>
                  </w14:solidFill>
                </w14:textFill>
              </w:rPr>
              <w:t>：</w:t>
            </w:r>
          </w:p>
          <w:p w14:paraId="0B7DADC9">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b/>
                <w:color w:val="000000" w:themeColor="text1"/>
                <w:kern w:val="0"/>
                <w:sz w:val="21"/>
                <w:szCs w:val="21"/>
                <w:highlight w:val="none"/>
                <w:lang w:bidi="ar"/>
                <w14:textFill>
                  <w14:solidFill>
                    <w14:schemeClr w14:val="tx1"/>
                  </w14:solidFill>
                </w14:textFill>
              </w:rPr>
              <w:t>.厂区规模情况</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须提供</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投标产品生产加工厂的相关资料，包括但不限于工厂具体定位（百度地图定位截图）、</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厂区</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加工车间照片、房屋购买租赁合同协议书等，自有或租赁厂房须明确证明材料</w:t>
            </w:r>
            <w:r>
              <w:rPr>
                <w:rFonts w:hint="eastAsia" w:ascii="宋体" w:hAnsi="宋体" w:eastAsia="宋体" w:cs="宋体"/>
                <w:color w:val="000000" w:themeColor="text1"/>
                <w:kern w:val="0"/>
                <w:sz w:val="21"/>
                <w:szCs w:val="21"/>
                <w:highlight w:val="none"/>
                <w:lang w:bidi="ar"/>
                <w14:textFill>
                  <w14:solidFill>
                    <w14:schemeClr w14:val="tx1"/>
                  </w14:solidFill>
                </w14:textFill>
              </w:rPr>
              <w:t>），评委根据上述证明材料综合评审，优秀的得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1"/>
                <w:szCs w:val="21"/>
                <w:highlight w:val="none"/>
                <w:lang w:bidi="ar"/>
                <w14:textFill>
                  <w14:solidFill>
                    <w14:schemeClr w14:val="tx1"/>
                  </w14:solidFill>
                </w14:textFill>
              </w:rPr>
              <w:t>分；一般的得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1"/>
                <w:szCs w:val="21"/>
                <w:highlight w:val="none"/>
                <w:lang w:bidi="ar"/>
                <w14:textFill>
                  <w14:solidFill>
                    <w14:schemeClr w14:val="tx1"/>
                  </w14:solidFill>
                </w14:textFill>
              </w:rPr>
              <w:t>分，较差得基础分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1"/>
                <w:szCs w:val="21"/>
                <w:highlight w:val="none"/>
                <w:lang w:bidi="ar"/>
                <w14:textFill>
                  <w14:solidFill>
                    <w14:schemeClr w14:val="tx1"/>
                  </w14:solidFill>
                </w14:textFill>
              </w:rPr>
              <w:t>分，未提供不得分</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p>
          <w:p w14:paraId="39C1D5BD">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2.机械设备情况</w:t>
            </w:r>
            <w:r>
              <w:rPr>
                <w:rFonts w:hint="eastAsia" w:ascii="宋体" w:hAnsi="宋体" w:eastAsia="宋体" w:cs="宋体"/>
                <w:color w:val="000000" w:themeColor="text1"/>
                <w:kern w:val="0"/>
                <w:sz w:val="21"/>
                <w:szCs w:val="21"/>
                <w:highlight w:val="none"/>
                <w:lang w:bidi="ar"/>
                <w14:textFill>
                  <w14:solidFill>
                    <w14:schemeClr w14:val="tx1"/>
                  </w14:solidFill>
                </w14:textFill>
              </w:rPr>
              <w:t>（须提供自有设备照片、采购租赁合同协议书等，自有或租赁设备须明确证明材料），评委根据上述证明材料综合评审，优秀的得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1"/>
                <w:szCs w:val="21"/>
                <w:highlight w:val="none"/>
                <w:lang w:bidi="ar"/>
                <w14:textFill>
                  <w14:solidFill>
                    <w14:schemeClr w14:val="tx1"/>
                  </w14:solidFill>
                </w14:textFill>
              </w:rPr>
              <w:t>分；一般的得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1"/>
                <w:szCs w:val="21"/>
                <w:highlight w:val="none"/>
                <w:lang w:bidi="ar"/>
                <w14:textFill>
                  <w14:solidFill>
                    <w14:schemeClr w14:val="tx1"/>
                  </w14:solidFill>
                </w14:textFill>
              </w:rPr>
              <w:t>分，较差得基础分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1"/>
                <w:szCs w:val="21"/>
                <w:highlight w:val="none"/>
                <w:lang w:bidi="ar"/>
                <w14:textFill>
                  <w14:solidFill>
                    <w14:schemeClr w14:val="tx1"/>
                  </w14:solidFill>
                </w14:textFill>
              </w:rPr>
              <w:t>分，未提供不得分</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p>
          <w:p w14:paraId="33943130">
            <w:pPr>
              <w:pStyle w:val="18"/>
              <w:keepNext w:val="0"/>
              <w:keepLines w:val="0"/>
              <w:suppressLineNumbers w:val="0"/>
              <w:spacing w:before="0" w:beforeLines="0" w:beforeAutospacing="0" w:after="0" w:afterLines="0" w:afterAutospacing="0"/>
              <w:ind w:left="0" w:leftChars="0" w:right="0" w:rightChars="0" w:firstLine="211" w:firstLineChars="100"/>
              <w:jc w:val="both"/>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b/>
                <w:color w:val="000000" w:themeColor="text1"/>
                <w:kern w:val="0"/>
                <w:sz w:val="21"/>
                <w:szCs w:val="21"/>
                <w:highlight w:val="none"/>
                <w:lang w:bidi="ar"/>
                <w14:textFill>
                  <w14:solidFill>
                    <w14:schemeClr w14:val="tx1"/>
                  </w14:solidFill>
                </w14:textFill>
              </w:rPr>
              <w:t>.人员情况</w:t>
            </w:r>
            <w:r>
              <w:rPr>
                <w:rFonts w:hint="eastAsia" w:ascii="宋体" w:hAnsi="宋体" w:eastAsia="宋体" w:cs="宋体"/>
                <w:color w:val="000000" w:themeColor="text1"/>
                <w:kern w:val="0"/>
                <w:sz w:val="21"/>
                <w:szCs w:val="21"/>
                <w:highlight w:val="none"/>
                <w:lang w:bidi="ar"/>
                <w14:textFill>
                  <w14:solidFill>
                    <w14:schemeClr w14:val="tx1"/>
                  </w14:solidFill>
                </w14:textFill>
              </w:rPr>
              <w:t>（生产人员、售后</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等</w:t>
            </w:r>
            <w:r>
              <w:rPr>
                <w:rFonts w:hint="eastAsia" w:ascii="宋体" w:hAnsi="宋体" w:eastAsia="宋体" w:cs="宋体"/>
                <w:color w:val="000000" w:themeColor="text1"/>
                <w:kern w:val="0"/>
                <w:sz w:val="21"/>
                <w:szCs w:val="21"/>
                <w:highlight w:val="none"/>
                <w:lang w:bidi="ar"/>
                <w14:textFill>
                  <w14:solidFill>
                    <w14:schemeClr w14:val="tx1"/>
                  </w14:solidFill>
                </w14:textFill>
              </w:rPr>
              <w:t>人员情况，可提供公司社保名录等证明材料），评委根据上述证明材料综合评审，优秀的得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1"/>
                <w:szCs w:val="21"/>
                <w:highlight w:val="none"/>
                <w:lang w:bidi="ar"/>
                <w14:textFill>
                  <w14:solidFill>
                    <w14:schemeClr w14:val="tx1"/>
                  </w14:solidFill>
                </w14:textFill>
              </w:rPr>
              <w:t>分；一般的得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1"/>
                <w:szCs w:val="21"/>
                <w:highlight w:val="none"/>
                <w:lang w:bidi="ar"/>
                <w14:textFill>
                  <w14:solidFill>
                    <w14:schemeClr w14:val="tx1"/>
                  </w14:solidFill>
                </w14:textFill>
              </w:rPr>
              <w:t>分，较差得基础分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1"/>
                <w:szCs w:val="21"/>
                <w:highlight w:val="none"/>
                <w:lang w:bidi="ar"/>
                <w14:textFill>
                  <w14:solidFill>
                    <w14:schemeClr w14:val="tx1"/>
                  </w14:solidFill>
                </w14:textFill>
              </w:rPr>
              <w:t>分，未提供不得分</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p>
          <w:p w14:paraId="4A57E4ED">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本项累计</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21</w:t>
            </w:r>
            <w:r>
              <w:rPr>
                <w:rFonts w:hint="eastAsia" w:ascii="宋体" w:hAnsi="宋体" w:eastAsia="宋体" w:cs="宋体"/>
                <w:color w:val="000000" w:themeColor="text1"/>
                <w:kern w:val="0"/>
                <w:sz w:val="21"/>
                <w:szCs w:val="21"/>
                <w:highlight w:val="none"/>
                <w:lang w:bidi="ar"/>
                <w14:textFill>
                  <w14:solidFill>
                    <w14:schemeClr w14:val="tx1"/>
                  </w14:solidFill>
                </w14:textFill>
              </w:rPr>
              <w:t>分。</w:t>
            </w:r>
            <w:r>
              <w:rPr>
                <w:rFonts w:hint="eastAsia" w:ascii="宋体" w:hAnsi="宋体" w:eastAsia="宋体" w:cs="宋体"/>
                <w:b/>
                <w:color w:val="000000" w:themeColor="text1"/>
                <w:kern w:val="0"/>
                <w:sz w:val="21"/>
                <w:szCs w:val="21"/>
                <w:highlight w:val="none"/>
                <w:lang w:bidi="ar"/>
                <w14:textFill>
                  <w14:solidFill>
                    <w14:schemeClr w14:val="tx1"/>
                  </w14:solidFill>
                </w14:textFill>
              </w:rPr>
              <w:t>（如采购人发现响应人提供的资料弄虚作假，采购人有权取消中标资格，已签合同的可随时解除合同）</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5" w:type="pct"/>
            <w:vMerge w:val="continue"/>
            <w:vAlign w:val="center"/>
          </w:tcPr>
          <w:p w14:paraId="249875D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continue"/>
            <w:vAlign w:val="center"/>
          </w:tcPr>
          <w:p w14:paraId="36F98C2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37" w:type="pct"/>
            <w:shd w:val="clear" w:color="auto" w:fill="auto"/>
            <w:vAlign w:val="center"/>
          </w:tcPr>
          <w:p w14:paraId="0FFC4C0C">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供货方案</w:t>
            </w:r>
          </w:p>
          <w:p w14:paraId="4CD1C9F8">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（满分</w:t>
            </w:r>
            <w:r>
              <w:rPr>
                <w:rFonts w:hint="eastAsia" w:ascii="宋体" w:hAnsi="宋体" w:cs="宋体"/>
                <w:color w:val="000000" w:themeColor="text1"/>
                <w:sz w:val="21"/>
                <w:szCs w:val="21"/>
                <w:highlight w:val="none"/>
                <w:u w:val="single"/>
                <w14:textFill>
                  <w14:solidFill>
                    <w14:schemeClr w14:val="tx1"/>
                  </w14:solidFill>
                </w14:textFill>
              </w:rPr>
              <w:t xml:space="preserve"> 1</w:t>
            </w:r>
            <w:r>
              <w:rPr>
                <w:rFonts w:hint="eastAsia" w:ascii="宋体" w:hAnsi="宋体" w:cs="宋体"/>
                <w:color w:val="000000" w:themeColor="text1"/>
                <w:sz w:val="21"/>
                <w:szCs w:val="21"/>
                <w:highlight w:val="none"/>
                <w:u w:val="single"/>
                <w:lang w:val="en-US" w:eastAsia="zh-CN"/>
                <w14:textFill>
                  <w14:solidFill>
                    <w14:schemeClr w14:val="tx1"/>
                  </w14:solidFill>
                </w14:textFill>
              </w:rPr>
              <w:t>5</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分）</w:t>
            </w:r>
          </w:p>
        </w:tc>
        <w:tc>
          <w:tcPr>
            <w:tcW w:w="3041" w:type="pct"/>
            <w:shd w:val="clear" w:color="auto" w:fill="auto"/>
            <w:vAlign w:val="center"/>
          </w:tcPr>
          <w:p w14:paraId="0C475E43">
            <w:pPr>
              <w:pStyle w:val="8"/>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供货方案合理,对项目关键技术主要施工艺有深入的表述,对重点、难点问题有合理化建议解决方案完整、经济、安全、切实可行,措施得力，评委综合评分，优秀的得15-10分；一般的得9-4分，较差得基础分3分，未提供不得分。</w:t>
            </w:r>
            <w:r>
              <w:rPr>
                <w:rFonts w:hint="eastAsia" w:ascii="宋体" w:hAnsi="宋体" w:cs="宋体"/>
                <w:color w:val="000000" w:themeColor="text1"/>
                <w:sz w:val="21"/>
                <w:szCs w:val="21"/>
                <w:highlight w:val="none"/>
                <w:lang w:bidi="ar"/>
                <w14:textFill>
                  <w14:solidFill>
                    <w14:schemeClr w14:val="tx1"/>
                  </w14:solidFill>
                </w14:textFill>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5" w:type="pct"/>
            <w:vMerge w:val="continue"/>
            <w:vAlign w:val="center"/>
          </w:tcPr>
          <w:p w14:paraId="1728D70F">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continue"/>
            <w:vAlign w:val="center"/>
          </w:tcPr>
          <w:p w14:paraId="2CE56D02">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37" w:type="pct"/>
            <w:shd w:val="clear" w:color="auto" w:fill="auto"/>
            <w:vAlign w:val="center"/>
          </w:tcPr>
          <w:p w14:paraId="06E7F4D4">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售后服务方案</w:t>
            </w:r>
          </w:p>
          <w:p w14:paraId="308209DC">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满分</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15 </w:t>
            </w:r>
            <w:r>
              <w:rPr>
                <w:rFonts w:hint="eastAsia" w:ascii="宋体" w:hAnsi="宋体" w:cs="宋体"/>
                <w:color w:val="000000" w:themeColor="text1"/>
                <w:sz w:val="21"/>
                <w:szCs w:val="21"/>
                <w:highlight w:val="none"/>
                <w:lang w:val="en-US" w:eastAsia="zh-CN"/>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3041" w:type="pct"/>
            <w:shd w:val="clear" w:color="auto" w:fill="auto"/>
            <w:vAlign w:val="center"/>
          </w:tcPr>
          <w:p w14:paraId="3686DE7B">
            <w:pPr>
              <w:pStyle w:val="1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4"/>
                <w:highlight w:val="none"/>
                <w:lang w:val="en-US" w:eastAsia="zh-CN"/>
                <w14:textFill>
                  <w14:solidFill>
                    <w14:schemeClr w14:val="tx1"/>
                  </w14:solidFill>
                </w14:textFill>
              </w:rPr>
              <w:t>根据投标人售后服务方案及增值服务进行综合评审。评委综合评分，优秀的得15-10分；一般的得9-4分，较差得基础分3分，未提供不得分。</w:t>
            </w:r>
          </w:p>
        </w:tc>
      </w:tr>
    </w:tbl>
    <w:p w14:paraId="1ECDBBD4">
      <w:pPr>
        <w:pStyle w:val="38"/>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000000" w:themeColor="text1"/>
          <w:szCs w:val="28"/>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本次评审采用技术评分最低价法。评审委员会对通过初步评审的投标人的商务及技术文件进行评分，按得分由高到低排序确定前</w:t>
      </w:r>
      <w:r>
        <w:rPr>
          <w:rFonts w:hint="eastAsia" w:ascii="Times New Roman" w:hAnsi="Times New Roman"/>
          <w:color w:val="auto"/>
          <w:sz w:val="21"/>
          <w:szCs w:val="24"/>
          <w:highlight w:val="none"/>
          <w:lang w:val="en-US" w:eastAsia="zh-CN"/>
        </w:rPr>
        <w:t>3</w:t>
      </w:r>
      <w:r>
        <w:rPr>
          <w:rFonts w:hint="eastAsia" w:ascii="Times New Roman" w:hAnsi="Times New Roman"/>
          <w:color w:val="auto"/>
          <w:sz w:val="21"/>
          <w:szCs w:val="24"/>
          <w:highlight w:val="none"/>
        </w:rPr>
        <w:t>名。对排名前</w:t>
      </w:r>
      <w:r>
        <w:rPr>
          <w:rFonts w:hint="eastAsia" w:ascii="Times New Roman" w:hAnsi="Times New Roman"/>
          <w:color w:val="auto"/>
          <w:sz w:val="21"/>
          <w:szCs w:val="24"/>
          <w:highlight w:val="none"/>
          <w:lang w:val="en-US" w:eastAsia="zh-CN"/>
        </w:rPr>
        <w:t>3</w:t>
      </w:r>
      <w:r>
        <w:rPr>
          <w:rFonts w:hint="eastAsia" w:ascii="Times New Roman" w:hAnsi="Times New Roman"/>
          <w:color w:val="auto"/>
          <w:sz w:val="21"/>
          <w:szCs w:val="24"/>
          <w:highlight w:val="none"/>
        </w:rPr>
        <w:t>名的投标人的报价文件进行评审，按照评标价由低到高的顺序推荐3名中标候选人。</w:t>
      </w:r>
    </w:p>
    <w:p w14:paraId="21C01D69">
      <w:pPr>
        <w:spacing w:line="440" w:lineRule="exact"/>
        <w:ind w:firstLine="420"/>
        <w:rPr>
          <w:rFonts w:hint="eastAsia" w:ascii="Times New Roman" w:hAnsi="Times New Roman" w:eastAsiaTheme="minorEastAsia"/>
          <w:color w:val="auto"/>
          <w:sz w:val="21"/>
          <w:szCs w:val="24"/>
          <w:highlight w:val="none"/>
          <w:lang w:eastAsia="zh-CN"/>
        </w:rPr>
      </w:pPr>
      <w:r>
        <w:rPr>
          <w:rFonts w:hint="eastAsia" w:ascii="Times New Roman" w:hAnsi="Times New Roman" w:eastAsiaTheme="minorEastAsia"/>
          <w:color w:val="auto"/>
          <w:sz w:val="21"/>
          <w:szCs w:val="24"/>
          <w:highlight w:val="none"/>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none"/>
          <w:lang w:eastAsia="zh-CN"/>
        </w:rPr>
      </w:pPr>
      <w:r>
        <w:rPr>
          <w:rFonts w:hint="eastAsia" w:ascii="Times New Roman" w:hAnsi="Times New Roman"/>
          <w:b/>
          <w:bCs/>
          <w:color w:val="auto"/>
          <w:sz w:val="21"/>
          <w:szCs w:val="24"/>
          <w:highlight w:val="none"/>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采购人可以按照评审小组提出的成交候选供应商名单排序依次确定其他成交候选供应商为成交供应商（重新确定成交供应商的，采购人有权与其二次谈判价格）。依次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5FEF92A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5CDC8F99">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38E12168">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397DC17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7B110645">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2E8C59B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077D1C5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00DD0452">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7203CD0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（五）需要说明的其他事项</w:t>
      </w:r>
    </w:p>
    <w:p w14:paraId="1D401B32">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（六）评审附表</w:t>
      </w:r>
    </w:p>
    <w:p w14:paraId="54AED4A2">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、响应文件开启记录表</w:t>
      </w:r>
    </w:p>
    <w:p w14:paraId="6C31EB9F">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、评审表格</w:t>
      </w:r>
    </w:p>
    <w:p w14:paraId="5F2BE14C">
      <w:pPr>
        <w:spacing w:line="440" w:lineRule="exact"/>
        <w:ind w:firstLine="420"/>
        <w:rPr>
          <w:rFonts w:hint="eastAsia" w:ascii="Times New Roman" w:hAnsi="Times New Roman"/>
          <w:color w:val="auto"/>
          <w:sz w:val="21"/>
          <w:szCs w:val="24"/>
          <w:highlight w:val="none"/>
        </w:rPr>
      </w:pPr>
    </w:p>
    <w:p w14:paraId="1BF28788">
      <w:pPr>
        <w:spacing w:line="440" w:lineRule="exact"/>
        <w:ind w:firstLine="420"/>
        <w:rPr>
          <w:rFonts w:hint="eastAsia" w:ascii="Times New Roman" w:hAnsi="Times New Roman"/>
          <w:color w:val="auto"/>
          <w:sz w:val="21"/>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F9EE705">
      <w:pPr>
        <w:pStyle w:val="2"/>
        <w:numPr>
          <w:ilvl w:val="0"/>
          <w:numId w:val="0"/>
        </w:numPr>
        <w:spacing w:before="312" w:after="312"/>
        <w:ind w:leftChars="0"/>
        <w:jc w:val="center"/>
        <w:rPr>
          <w:rFonts w:ascii="Times New Roman" w:hAnsi="Times New Roman" w:eastAsia="宋体" w:cs="Times New Roman"/>
          <w:color w:val="auto"/>
          <w:highlight w:val="none"/>
        </w:rPr>
      </w:pPr>
      <w:bookmarkStart w:id="63" w:name="_Toc604"/>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4"/>
        <w:rPr>
          <w:rFonts w:hint="eastAsia" w:ascii="Times New Roman" w:hAnsi="Times New Roman" w:eastAsia="宋体" w:cs="Times New Roman"/>
          <w:color w:val="auto"/>
          <w:highlight w:val="none"/>
        </w:rPr>
      </w:pPr>
    </w:p>
    <w:p w14:paraId="0E6FDAD6">
      <w:pPr>
        <w:pStyle w:val="34"/>
        <w:rPr>
          <w:rFonts w:hint="eastAsia" w:ascii="Times New Roman" w:hAnsi="Times New Roman" w:eastAsia="宋体" w:cs="Times New Roman"/>
          <w:color w:val="auto"/>
          <w:highlight w:val="none"/>
        </w:rPr>
      </w:pPr>
    </w:p>
    <w:p w14:paraId="58CDC6FF">
      <w:pPr>
        <w:pStyle w:val="34"/>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br w:type="page"/>
      </w:r>
    </w:p>
    <w:p w14:paraId="6256DB39">
      <w:pPr>
        <w:spacing w:beforeLines="0" w:afterLines="0" w:line="560" w:lineRule="exact"/>
        <w:jc w:val="center"/>
        <w:rPr>
          <w:rFonts w:hint="eastAsia" w:ascii="宋体" w:hAnsi="宋体" w:cs="宋体"/>
          <w:color w:val="auto"/>
          <w:sz w:val="44"/>
          <w:szCs w:val="44"/>
          <w:highlight w:val="none"/>
        </w:rPr>
      </w:pPr>
      <w:permStart w:id="0" w:edGrp="everyone"/>
      <w:r>
        <w:rPr>
          <w:rFonts w:hint="eastAsia" w:ascii="方正小标宋简体" w:hAnsi="方正小标宋简体" w:eastAsia="方正小标宋简体" w:cs="方正小标宋简体"/>
          <w:color w:val="auto"/>
          <w:sz w:val="44"/>
          <w:szCs w:val="44"/>
          <w:highlight w:val="none"/>
          <w:u w:val="single"/>
        </w:rPr>
        <w:t xml:space="preserve">          </w:t>
      </w:r>
      <w:r>
        <w:rPr>
          <w:rFonts w:hint="eastAsia" w:ascii="方正小标宋简体" w:hAnsi="方正小标宋简体" w:eastAsia="方正小标宋简体" w:cs="方正小标宋简体"/>
          <w:color w:val="auto"/>
          <w:sz w:val="44"/>
          <w:szCs w:val="44"/>
          <w:highlight w:val="none"/>
        </w:rPr>
        <w:t>项目</w:t>
      </w:r>
      <w:r>
        <w:rPr>
          <w:rFonts w:hint="eastAsia" w:ascii="方正小标宋简体" w:hAnsi="方正小标宋简体" w:eastAsia="方正小标宋简体" w:cs="方正小标宋简体"/>
          <w:color w:val="auto"/>
          <w:sz w:val="44"/>
          <w:szCs w:val="44"/>
          <w:highlight w:val="none"/>
          <w:u w:val="single"/>
        </w:rPr>
        <w:t xml:space="preserve">       </w:t>
      </w:r>
      <w:r>
        <w:rPr>
          <w:rFonts w:hint="eastAsia" w:ascii="方正小标宋简体" w:hAnsi="方正小标宋简体" w:eastAsia="方正小标宋简体" w:cs="方正小标宋简体"/>
          <w:color w:val="auto"/>
          <w:sz w:val="44"/>
          <w:szCs w:val="44"/>
          <w:highlight w:val="none"/>
        </w:rPr>
        <w:t>采购合同</w:t>
      </w:r>
    </w:p>
    <w:permEnd w:id="0"/>
    <w:p w14:paraId="3563C92A">
      <w:pPr>
        <w:spacing w:beforeLines="0" w:afterLines="0" w:line="560" w:lineRule="exact"/>
        <w:ind w:left="5880" w:firstLine="560" w:firstLineChars="200"/>
        <w:rPr>
          <w:rFonts w:hint="eastAsia" w:ascii="宋体" w:hAnsi="宋体" w:cs="宋体"/>
          <w:color w:val="auto"/>
          <w:sz w:val="28"/>
          <w:szCs w:val="28"/>
        </w:rPr>
      </w:pPr>
      <w:r>
        <w:rPr>
          <w:rFonts w:hint="eastAsia" w:ascii="宋体" w:hAnsi="宋体" w:cs="宋体"/>
          <w:color w:val="auto"/>
          <w:sz w:val="28"/>
          <w:szCs w:val="28"/>
        </w:rPr>
        <w:t xml:space="preserve">                                                 </w:t>
      </w:r>
    </w:p>
    <w:p w14:paraId="23A120CF">
      <w:pPr>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甲方（采购方）：</w:t>
      </w:r>
      <w:permStart w:id="1" w:edGrp="everyone"/>
      <w:r>
        <w:rPr>
          <w:rFonts w:hint="eastAsia" w:ascii="仿宋_GB2312" w:hAnsi="仿宋_GB2312" w:eastAsia="仿宋_GB2312" w:cs="仿宋_GB2312"/>
          <w:color w:val="auto"/>
          <w:sz w:val="28"/>
          <w:szCs w:val="28"/>
          <w:u w:val="single"/>
        </w:rPr>
        <w:t xml:space="preserve"> 安徽省经工物资有限公司 </w:t>
      </w:r>
      <w:r>
        <w:rPr>
          <w:rFonts w:hint="eastAsia" w:ascii="仿宋_GB2312" w:hAnsi="仿宋_GB2312" w:eastAsia="仿宋_GB2312" w:cs="仿宋_GB2312"/>
          <w:color w:val="auto"/>
          <w:sz w:val="28"/>
          <w:szCs w:val="28"/>
        </w:rPr>
        <w:t>（以</w:t>
      </w:r>
      <w:permEnd w:id="1"/>
      <w:r>
        <w:rPr>
          <w:rFonts w:hint="eastAsia" w:ascii="仿宋_GB2312" w:hAnsi="仿宋_GB2312" w:eastAsia="仿宋_GB2312" w:cs="仿宋_GB2312"/>
          <w:color w:val="auto"/>
          <w:sz w:val="28"/>
          <w:szCs w:val="28"/>
        </w:rPr>
        <w:t>下简称甲方）</w:t>
      </w:r>
    </w:p>
    <w:p w14:paraId="33CC0D3B">
      <w:pPr>
        <w:tabs>
          <w:tab w:val="left" w:pos="5370"/>
        </w:tabs>
        <w:spacing w:beforeLines="0" w:afterLines="0" w:line="560" w:lineRule="exact"/>
        <w:rPr>
          <w:rFonts w:hint="eastAsia" w:ascii="仿宋_GB2312" w:hAnsi="仿宋_GB2312" w:eastAsia="仿宋_GB2312" w:cs="仿宋_GB2312"/>
          <w:color w:val="auto"/>
          <w:sz w:val="28"/>
          <w:szCs w:val="28"/>
        </w:rPr>
      </w:pPr>
      <w:permStart w:id="2" w:edGrp="everyone"/>
      <w:r>
        <w:rPr>
          <w:rFonts w:hint="eastAsia" w:ascii="仿宋_GB2312" w:hAnsi="仿宋_GB2312" w:eastAsia="仿宋_GB2312" w:cs="仿宋_GB2312"/>
          <w:color w:val="auto"/>
          <w:sz w:val="28"/>
          <w:szCs w:val="28"/>
        </w:rPr>
        <w:t>乙方（供应方）：</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（以下简称乙方） </w:t>
      </w:r>
      <w:permEnd w:id="2"/>
      <w:r>
        <w:rPr>
          <w:rFonts w:hint="eastAsia" w:ascii="仿宋_GB2312" w:hAnsi="仿宋_GB2312" w:eastAsia="仿宋_GB2312" w:cs="仿宋_GB2312"/>
          <w:color w:val="auto"/>
          <w:sz w:val="28"/>
          <w:szCs w:val="28"/>
        </w:rPr>
        <w:t xml:space="preserve"> </w:t>
      </w:r>
    </w:p>
    <w:p w14:paraId="680F95E3">
      <w:pPr>
        <w:widowControl/>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依据《中华人民共和国民法典》及有关规定，甲、乙双方经过友好协商，</w:t>
      </w:r>
      <w:permStart w:id="3" w:edGrp="everyone"/>
      <w:r>
        <w:rPr>
          <w:rFonts w:hint="eastAsia" w:ascii="仿宋_GB2312" w:hAnsi="仿宋_GB2312" w:eastAsia="仿宋_GB2312" w:cs="仿宋_GB2312"/>
          <w:color w:val="auto"/>
          <w:sz w:val="28"/>
          <w:szCs w:val="28"/>
        </w:rPr>
        <w:t>现就甲方向乙方购买</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用于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项目有关事宜，达成如下一致条款，以资双方共同遵照执行：</w:t>
      </w:r>
    </w:p>
    <w:p w14:paraId="5BB5F688">
      <w:pPr>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第一条  合同价款</w:t>
      </w:r>
    </w:p>
    <w:p w14:paraId="38F4BBBF">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1.本合同总价人民币大写：</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ermEnd w:id="3"/>
    <w:p w14:paraId="226F259D">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265C4EE4">
      <w:pPr>
        <w:spacing w:beforeLines="0" w:afterLines="0" w:line="560" w:lineRule="exact"/>
        <w:ind w:firstLine="560" w:firstLineChars="200"/>
        <w:rPr>
          <w:rFonts w:hint="eastAsia" w:ascii="宋体" w:hAnsi="宋体" w:cs="宋体"/>
          <w:b/>
          <w:color w:val="auto"/>
          <w:sz w:val="22"/>
          <w:szCs w:val="22"/>
        </w:rPr>
      </w:pPr>
      <w:r>
        <w:rPr>
          <w:rFonts w:hint="eastAsia" w:ascii="黑体" w:hAnsi="黑体" w:eastAsia="黑体" w:cs="黑体"/>
          <w:color w:val="auto"/>
          <w:sz w:val="28"/>
          <w:szCs w:val="28"/>
        </w:rPr>
        <w:t>第二条  交货方式、时间及地点</w:t>
      </w:r>
    </w:p>
    <w:p w14:paraId="6DA0A62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1.交货方式：乙方负责运送至甲方指定地点。</w:t>
      </w:r>
    </w:p>
    <w:p w14:paraId="7BF5BDE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2.交货地点：甲方指定地点，乙方负责运送至甲方指定现场，并按甲方指定地点卸货。货物在验收合格并交付给甲方前的毁损、灭失，损失由乙方全额承担。</w:t>
      </w:r>
    </w:p>
    <w:p w14:paraId="6EE0C02A">
      <w:pPr>
        <w:widowControl/>
        <w:wordWrap w:val="0"/>
        <w:topLinePunct/>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sz w:val="28"/>
          <w:szCs w:val="28"/>
        </w:rPr>
        <w:t>乙方确</w:t>
      </w:r>
    </w:p>
    <w:p w14:paraId="50C85F1B">
      <w:pPr>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认其有效联系人姓名</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，电话为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，联系地址为：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4"/>
      <w:r>
        <w:rPr>
          <w:rFonts w:hint="eastAsia" w:ascii="仿宋_GB2312" w:hAnsi="仿宋_GB2312" w:eastAsia="仿宋_GB2312" w:cs="仿宋_GB2312"/>
          <w:color w:val="auto"/>
          <w:sz w:val="28"/>
          <w:szCs w:val="28"/>
        </w:rPr>
        <w:t>甲方以上述任一方式发出的通知均为合法有效的通知。</w:t>
      </w:r>
    </w:p>
    <w:p w14:paraId="1CAFC977">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第三条  验收</w:t>
      </w:r>
    </w:p>
    <w:p w14:paraId="494369F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1.乙方按约将货物送至现场后，需将货物卸至甲方指定地点，并经甲方签收确认。甲方指定</w:t>
      </w:r>
      <w:permStart w:id="5"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（联系方式为：</w:t>
      </w:r>
      <w:r>
        <w:rPr>
          <w:rFonts w:hint="eastAsia" w:ascii="仿宋_GB2312" w:hAnsi="仿宋_GB2312" w:eastAsia="仿宋_GB2312" w:cs="仿宋_GB2312"/>
          <w:color w:val="auto"/>
          <w:sz w:val="28"/>
          <w:szCs w:val="28"/>
          <w:u w:val="single"/>
        </w:rPr>
        <w:t xml:space="preserve">           </w:t>
      </w:r>
      <w:permEnd w:id="5"/>
      <w:r>
        <w:rPr>
          <w:rFonts w:hint="eastAsia" w:ascii="仿宋_GB2312" w:hAnsi="仿宋_GB2312" w:eastAsia="仿宋_GB2312" w:cs="仿宋_GB2312"/>
          <w:color w:val="auto"/>
          <w:sz w:val="28"/>
          <w:szCs w:val="28"/>
        </w:rPr>
        <w:t>）为货物签收确认人，并由其指定现场人员对货物进行签收。如果现场签收人员发生变更，甲方会通知乙方重新指定。</w:t>
      </w:r>
    </w:p>
    <w:p w14:paraId="457C8D8F">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AC5FFFB">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3.在乙方将货物送至现场后，甲方有权在现场车上或货物堆放在指定地点后按物品的特性及行业惯例进行验收。如甲方认为乙方送货的数量与送货单记载数量不符的，则可以随时抽检。</w:t>
      </w:r>
    </w:p>
    <w:p w14:paraId="2E9E5727">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rPr>
        <w:t xml:space="preserve"> 5 </w:t>
      </w:r>
      <w:r>
        <w:rPr>
          <w:rFonts w:hint="eastAsia" w:ascii="仿宋_GB2312" w:hAnsi="仿宋_GB2312" w:eastAsia="仿宋_GB2312" w:cs="仿宋_GB2312"/>
          <w:color w:val="auto"/>
          <w:sz w:val="28"/>
          <w:szCs w:val="28"/>
        </w:rPr>
        <w:t>日内，异议经核实乙方应无条件补足或换货。</w:t>
      </w:r>
    </w:p>
    <w:p w14:paraId="1C0323D8">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第四条 产品质量和包装</w:t>
      </w:r>
    </w:p>
    <w:p w14:paraId="6830229C">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rPr>
        <w:t xml:space="preserve"> 2 </w:t>
      </w:r>
      <w:permEnd w:id="6"/>
      <w:r>
        <w:rPr>
          <w:rFonts w:hint="eastAsia" w:ascii="仿宋_GB2312" w:hAnsi="仿宋_GB2312" w:eastAsia="仿宋_GB2312" w:cs="仿宋_GB2312"/>
          <w:color w:val="auto"/>
          <w:sz w:val="28"/>
          <w:szCs w:val="28"/>
          <w:highlight w:val="none"/>
        </w:rPr>
        <w:t>年，质量保证期（以下简称质保期）为交工验收合格后</w:t>
      </w:r>
      <w:r>
        <w:rPr>
          <w:rFonts w:hint="eastAsia" w:ascii="仿宋_GB2312" w:hAnsi="仿宋_GB2312" w:eastAsia="仿宋_GB2312" w:cs="仿宋_GB2312"/>
          <w:color w:val="auto"/>
          <w:sz w:val="28"/>
          <w:szCs w:val="28"/>
          <w:highlight w:val="none"/>
          <w:u w:val="single"/>
        </w:rPr>
        <w:t xml:space="preserve"> </w:t>
      </w:r>
      <w:permStart w:id="7" w:edGrp="everyone"/>
      <w:r>
        <w:rPr>
          <w:rFonts w:hint="eastAsia" w:ascii="仿宋_GB2312" w:hAnsi="仿宋_GB2312" w:eastAsia="仿宋_GB2312" w:cs="仿宋_GB2312"/>
          <w:color w:val="auto"/>
          <w:sz w:val="28"/>
          <w:szCs w:val="28"/>
          <w:highlight w:val="none"/>
          <w:u w:val="single"/>
        </w:rPr>
        <w:t xml:space="preserve"> 2  </w:t>
      </w:r>
      <w:permEnd w:id="7"/>
      <w:r>
        <w:rPr>
          <w:rFonts w:hint="eastAsia" w:ascii="仿宋_GB2312" w:hAnsi="仿宋_GB2312" w:eastAsia="仿宋_GB2312" w:cs="仿宋_GB2312"/>
          <w:color w:val="auto"/>
          <w:sz w:val="28"/>
          <w:szCs w:val="28"/>
          <w:highlight w:val="none"/>
        </w:rPr>
        <w:t>年，若乙方在响应文件中承诺质保期更长的，质保期从其承诺。质保期内乙方进行质量“三包”，质量三包不包括因不可抗力因素和人为因素造</w:t>
      </w:r>
      <w:r>
        <w:rPr>
          <w:rFonts w:hint="eastAsia" w:ascii="仿宋_GB2312" w:hAnsi="仿宋_GB2312" w:eastAsia="仿宋_GB2312" w:cs="仿宋_GB2312"/>
          <w:color w:val="auto"/>
          <w:sz w:val="28"/>
          <w:szCs w:val="28"/>
        </w:rPr>
        <w:t>成的损坏。乙方供应产品质量必须满足国家或本行业现行的技术标准并满足该项目需要。甲方对产品技术标准另有要求的，必须达到甲方指定标准。对于特殊产品需要提供质量外检服务的，费用由乙方承担。</w:t>
      </w:r>
    </w:p>
    <w:p w14:paraId="0B643174">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2.质保期满后，若有零部件或货物出现故障，经鉴定属于寿命异常问题（明显短于该零部件或货物正常寿命）时，则由乙方负责免费更换维修。质保期满后，乙方以优惠价格向甲方提供所需的零配件或货物。</w:t>
      </w:r>
    </w:p>
    <w:p w14:paraId="3219A47F">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3.乙方必须提供合同标的中所有产品的合格证、产品说明书、检测报告、第三方检测报告（如有）、随机附件、工具（如有），货到现场后交给现场的收货人员。</w:t>
      </w:r>
    </w:p>
    <w:p w14:paraId="66F75FE3">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4.合同标的中若有进口产品，则乙方必须提供原产地证明、单机产品序列号、原生产厂商质量保证书、报关单等证明材料。</w:t>
      </w:r>
    </w:p>
    <w:p w14:paraId="7A757907">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5.产品包装应符合国家标准。乙方应承担由于其包装或其防护措施不妥而引起货物锈蚀、损坏和丢失等任何损失的责任或费用。产品在卸货后剥离包装物同时负责回收或送到包装清理指定地点。</w:t>
      </w:r>
    </w:p>
    <w:p w14:paraId="3786604D">
      <w:pPr>
        <w:wordWrap w:val="0"/>
        <w:spacing w:beforeLines="0" w:afterLines="0" w:line="560" w:lineRule="exact"/>
        <w:ind w:firstLine="560" w:firstLineChars="200"/>
        <w:rPr>
          <w:rFonts w:hint="eastAsia" w:ascii="仿宋_GB2312" w:hAnsi="仿宋_GB2312" w:eastAsia="黑体" w:cs="仿宋_GB2312"/>
          <w:color w:val="auto"/>
          <w:sz w:val="28"/>
          <w:szCs w:val="28"/>
        </w:rPr>
      </w:pPr>
      <w:r>
        <w:rPr>
          <w:rFonts w:hint="eastAsia" w:ascii="黑体" w:hAnsi="黑体" w:eastAsia="黑体" w:cs="黑体"/>
          <w:color w:val="auto"/>
          <w:sz w:val="28"/>
          <w:szCs w:val="28"/>
        </w:rPr>
        <w:t>第五条  结算方式及期限</w:t>
      </w:r>
    </w:p>
    <w:p w14:paraId="5B0CB9AB">
      <w:pPr>
        <w:wordWrap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1.货到工地经甲方指定签收人验收合格并签收，当货物金额达到合同金额的50%后办理第一批货款支付，支付已供货物价款的70%。</w:t>
      </w:r>
    </w:p>
    <w:p w14:paraId="63FE45C5">
      <w:pPr>
        <w:wordWrap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2.产品全部供货到现场经甲方指定验收人验收合格并办理完成结算手续后，甲方向乙方支付至结算价的97%。</w:t>
      </w:r>
    </w:p>
    <w:p w14:paraId="59F2F2D0">
      <w:pPr>
        <w:wordWrap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3.剩余3%作为质保金，在缺陷责任期结束后，无质量问题一次性无息支付。</w:t>
      </w:r>
    </w:p>
    <w:p w14:paraId="39CD3125">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4.乙方供货后15日内将所送货物的送货单(需为经甲方指定签收人签字确认的有效送货单)汇总后向甲方提交书面对账清单，经甲方确认后方可作为价款结算和付款依据。若因乙方迟延提交对账清单，</w:t>
      </w:r>
      <w:r>
        <w:rPr>
          <w:rFonts w:hint="eastAsia" w:ascii="仿宋_GB2312" w:hAnsi="仿宋_GB2312" w:eastAsia="仿宋_GB2312" w:cs="仿宋_GB2312"/>
          <w:color w:val="auto"/>
          <w:sz w:val="28"/>
          <w:szCs w:val="28"/>
          <w:highlight w:val="none"/>
        </w:rPr>
        <w:t>因此造成的损失由乙方自行承担。</w:t>
      </w:r>
    </w:p>
    <w:p w14:paraId="05C6BA71">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中标公示后，在合同签订前，乙方需向甲方支付合同总价10%的履约保证金或提供合同总价10%的见索即付银行保函</w:t>
      </w:r>
      <w:r>
        <w:rPr>
          <w:rFonts w:hint="eastAsia" w:ascii="仿宋_GB2312" w:hAnsi="仿宋_GB2312" w:eastAsia="仿宋_GB2312" w:cs="仿宋_GB2312"/>
          <w:color w:val="auto"/>
          <w:sz w:val="28"/>
          <w:szCs w:val="28"/>
          <w:highlight w:val="none"/>
        </w:rPr>
        <w:t>，合同履行完成无违约行为并经甲方认定同意后28天内无息退还。</w:t>
      </w:r>
    </w:p>
    <w:p w14:paraId="250CBC2B">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6.乙方提供符合采购人财务要求的</w:t>
      </w:r>
      <w:r>
        <w:rPr>
          <w:rFonts w:hint="eastAsia" w:ascii="仿宋_GB2312" w:hAnsi="仿宋_GB2312" w:eastAsia="仿宋_GB2312" w:cs="仿宋_GB2312"/>
          <w:color w:val="auto"/>
          <w:sz w:val="28"/>
          <w:szCs w:val="28"/>
        </w:rPr>
        <w:t>国家税务局13%增值税专用发票后办理结算，发票需要做到“三流一致”，也即“货物、劳务及应税服务流”、“资金流”、“发票流”必须都是同一受票方。</w:t>
      </w:r>
    </w:p>
    <w:p w14:paraId="0C5F544F">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第六条  违约责任</w:t>
      </w:r>
    </w:p>
    <w:p w14:paraId="5FAB7C1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5BCA13C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6514D766">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3.乙方违反合同约定的其他自身义务时，给甲方造成损失的，甲方均有权解除合同，并有权要求乙方按上述第1、2项规定承担赔偿责任，支付违约金。</w:t>
      </w:r>
    </w:p>
    <w:p w14:paraId="3D51AC1D">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4.对于乙方因违反本合同约定需支付的违约金，甲方有权在应付货款中直接予以扣除。</w:t>
      </w:r>
    </w:p>
    <w:p w14:paraId="444849B6">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5.禁止转包分包</w:t>
      </w:r>
    </w:p>
    <w:p w14:paraId="0154A4DD">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鉴于保护合同双方权益及确保工程质量和进度，双方明确以下转包分包相关事项:</w:t>
      </w:r>
    </w:p>
    <w:p w14:paraId="54DDB04E">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（1）乙方不得将本合同项下的任何部分工程转包或分包给任何第三方。如有特殊情况，必须经甲方书面同意。</w:t>
      </w:r>
    </w:p>
    <w:p w14:paraId="6F911519">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（2）若乙方未经甲方同意擅自转包或分包 ,甲方有权立即终止本合同并要求乙方承担由此造成的一切损失。</w:t>
      </w:r>
    </w:p>
    <w:p w14:paraId="21258437">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（3）乙方与任何第三方签订的与本合同相关的协议或承诺书 ,对甲方不具有法律约束力，除非得到甲方的书面确认。</w:t>
      </w:r>
    </w:p>
    <w:p w14:paraId="1CB2999F">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（4）甲方有权对乙方的工程实施情况进行监督 ,乙方应配合并提供必要的便利条件。如发现乙方存在违法转包分包行为，甲方有权采取法律手段维护自身权益。</w:t>
      </w:r>
    </w:p>
    <w:p w14:paraId="2A592823">
      <w:pPr>
        <w:numPr>
          <w:ilvl w:val="0"/>
          <w:numId w:val="0"/>
        </w:numPr>
        <w:spacing w:beforeLines="0" w:afterLines="0" w:line="560" w:lineRule="exact"/>
        <w:ind w:firstLine="560" w:firstLineChars="200"/>
        <w:rPr>
          <w:rFonts w:hint="eastAsia" w:ascii="黑体" w:hAnsi="黑体" w:eastAsia="黑体" w:cs="黑体"/>
          <w:color w:val="auto"/>
          <w:sz w:val="28"/>
          <w:szCs w:val="28"/>
        </w:rPr>
      </w:pPr>
      <w:r>
        <w:rPr>
          <w:rFonts w:hint="eastAsia" w:ascii="仿宋_GB2312" w:hAnsi="仿宋_GB2312" w:eastAsia="仿宋_GB2312" w:cs="仿宋_GB2312"/>
          <w:color w:val="auto"/>
          <w:sz w:val="28"/>
          <w:szCs w:val="28"/>
        </w:rPr>
        <w:t xml:space="preserve"> </w:t>
      </w:r>
      <w:r>
        <w:rPr>
          <w:rFonts w:hint="eastAsia" w:ascii="黑体" w:hAnsi="黑体" w:eastAsia="黑体" w:cs="黑体"/>
          <w:color w:val="auto"/>
          <w:sz w:val="28"/>
          <w:szCs w:val="28"/>
        </w:rPr>
        <w:t>第七条  其他约定</w:t>
      </w:r>
    </w:p>
    <w:p w14:paraId="5AC672EA">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1.乙方送货车辆到甲方现场后，在行驶和卸货过程中，乙方驾驶人员应自行察看周围地形，乙方车辆在甲方现场若出现事故产生损失或造成对第三人侵权等其他情形，一切损失和责任均由乙方自行承担。</w:t>
      </w:r>
    </w:p>
    <w:p w14:paraId="62377A72">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2.乙方必须服从甲方指定项目部的全面协调管理工作，乙方在装卸中，严格遵守执行安全操作规范、防火规定、工艺规范等规范规定以及质量标准。</w:t>
      </w:r>
    </w:p>
    <w:p w14:paraId="017696E1">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0BA4500B">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C137B31">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第八条  争议解决方式</w:t>
      </w:r>
    </w:p>
    <w:p w14:paraId="556FD8F0">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在履行合同期间发生</w:t>
      </w:r>
      <w:r>
        <w:rPr>
          <w:rFonts w:hint="eastAsia" w:ascii="仿宋_GB2312" w:hAnsi="仿宋_GB2312" w:eastAsia="仿宋_GB2312" w:cs="仿宋_GB2312"/>
          <w:color w:val="auto"/>
          <w:sz w:val="28"/>
          <w:szCs w:val="28"/>
          <w:lang w:val="en-US" w:eastAsia="zh-CN"/>
        </w:rPr>
        <w:t>纠纷</w:t>
      </w:r>
      <w:r>
        <w:rPr>
          <w:rFonts w:hint="eastAsia" w:ascii="仿宋_GB2312" w:hAnsi="仿宋_GB2312" w:eastAsia="仿宋_GB2312" w:cs="仿宋_GB2312"/>
          <w:color w:val="auto"/>
          <w:sz w:val="28"/>
          <w:szCs w:val="28"/>
        </w:rPr>
        <w:t>，先由双方协商解决，协商不成，双方约定向甲方所在地人民法院提起诉讼。</w:t>
      </w:r>
    </w:p>
    <w:p w14:paraId="10816575">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第九条</w:t>
      </w:r>
    </w:p>
    <w:p w14:paraId="3067A004">
      <w:pPr>
        <w:numPr>
          <w:ilvl w:val="0"/>
          <w:numId w:val="0"/>
        </w:num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1.本合同未尽事宜，由双方另行协商解决并签订补充协议。</w:t>
      </w:r>
    </w:p>
    <w:p w14:paraId="371A161F">
      <w:pPr>
        <w:numPr>
          <w:ilvl w:val="0"/>
          <w:numId w:val="0"/>
        </w:num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2.本合同自甲乙双方签字盖章之日起生效。</w:t>
      </w:r>
    </w:p>
    <w:p w14:paraId="4D27F355">
      <w:pPr>
        <w:pStyle w:val="8"/>
        <w:spacing w:beforeLines="0" w:after="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 xml:space="preserve"> 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651B71E9">
      <w:pPr>
        <w:spacing w:beforeLines="0" w:afterLines="0"/>
        <w:rPr>
          <w:rFonts w:hint="eastAsia"/>
          <w:color w:val="auto"/>
          <w:sz w:val="21"/>
          <w:szCs w:val="24"/>
        </w:rPr>
      </w:pPr>
    </w:p>
    <w:p w14:paraId="3944C186">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附件：1.廉政合同</w:t>
      </w:r>
    </w:p>
    <w:p w14:paraId="62026D4A">
      <w:pPr>
        <w:pStyle w:val="20"/>
        <w:spacing w:beforeLines="0" w:afterLines="0" w:line="560" w:lineRule="exact"/>
        <w:ind w:left="0" w:leftChars="0" w:firstLine="1400" w:firstLineChars="500"/>
        <w:rPr>
          <w:rFonts w:hint="default"/>
          <w:color w:val="auto"/>
          <w:sz w:val="21"/>
          <w:szCs w:val="22"/>
        </w:rPr>
      </w:pPr>
      <w:r>
        <w:rPr>
          <w:rFonts w:hint="eastAsia" w:ascii="仿宋_GB2312" w:hAnsi="仿宋_GB2312" w:eastAsia="仿宋_GB2312" w:cs="仿宋_GB2312"/>
          <w:color w:val="auto"/>
          <w:sz w:val="28"/>
          <w:szCs w:val="28"/>
        </w:rPr>
        <w:t>2.安全生产合同</w:t>
      </w:r>
    </w:p>
    <w:p w14:paraId="5B5686BB">
      <w:pPr>
        <w:pStyle w:val="20"/>
        <w:spacing w:beforeLines="0" w:afterLines="0" w:line="560" w:lineRule="exact"/>
        <w:ind w:left="0" w:leftChars="0" w:firstLine="1400" w:firstLineChars="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3.报价清单</w:t>
      </w:r>
    </w:p>
    <w:p w14:paraId="1ACD2457">
      <w:pPr>
        <w:spacing w:beforeLines="0" w:afterLines="0" w:line="56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（以下无正文）</w:t>
      </w:r>
    </w:p>
    <w:p w14:paraId="53A80BF1">
      <w:pPr>
        <w:spacing w:beforeLines="0" w:afterLines="0"/>
        <w:rPr>
          <w:rFonts w:hint="eastAsia"/>
          <w:color w:val="auto"/>
          <w:sz w:val="21"/>
          <w:szCs w:val="24"/>
        </w:rPr>
      </w:pPr>
    </w:p>
    <w:p w14:paraId="345B6559">
      <w:pPr>
        <w:spacing w:beforeLines="0" w:afterLines="0"/>
        <w:rPr>
          <w:rFonts w:hint="eastAsia"/>
          <w:color w:val="auto"/>
          <w:sz w:val="21"/>
          <w:szCs w:val="24"/>
        </w:rPr>
      </w:pPr>
    </w:p>
    <w:p w14:paraId="0ADE9669">
      <w:pPr>
        <w:pStyle w:val="4"/>
        <w:rPr>
          <w:rFonts w:hint="eastAsia"/>
          <w:color w:val="auto"/>
          <w:sz w:val="21"/>
          <w:szCs w:val="24"/>
        </w:rPr>
      </w:pPr>
    </w:p>
    <w:p w14:paraId="613D13EA">
      <w:pPr>
        <w:rPr>
          <w:rFonts w:hint="eastAsia"/>
          <w:color w:val="auto"/>
          <w:sz w:val="21"/>
          <w:szCs w:val="24"/>
        </w:rPr>
      </w:pPr>
    </w:p>
    <w:p w14:paraId="53CD4931">
      <w:pPr>
        <w:pStyle w:val="4"/>
        <w:rPr>
          <w:rFonts w:hint="eastAsia"/>
          <w:color w:val="auto"/>
          <w:sz w:val="21"/>
          <w:szCs w:val="24"/>
        </w:rPr>
      </w:pPr>
    </w:p>
    <w:p w14:paraId="692D130A">
      <w:pPr>
        <w:rPr>
          <w:rFonts w:hint="eastAsia"/>
          <w:color w:val="auto"/>
          <w:sz w:val="21"/>
          <w:szCs w:val="24"/>
        </w:rPr>
      </w:pPr>
    </w:p>
    <w:p w14:paraId="43526E19">
      <w:pPr>
        <w:pStyle w:val="4"/>
        <w:rPr>
          <w:rFonts w:hint="eastAsia"/>
        </w:rPr>
      </w:pPr>
    </w:p>
    <w:p w14:paraId="122E676B">
      <w:pPr>
        <w:wordWrap w:val="0"/>
        <w:spacing w:beforeLines="0" w:afterLines="0" w:line="560" w:lineRule="exact"/>
        <w:rPr>
          <w:rFonts w:hint="default"/>
          <w:color w:val="auto"/>
          <w:sz w:val="21"/>
          <w:szCs w:val="24"/>
        </w:rPr>
      </w:pPr>
      <w:permStart w:id="8" w:edGrp="everyone"/>
      <w:r>
        <w:rPr>
          <w:rFonts w:hint="eastAsia" w:ascii="仿宋_GB2312" w:hAnsi="仿宋_GB2312" w:eastAsia="仿宋_GB2312" w:cs="仿宋_GB2312"/>
          <w:color w:val="auto"/>
          <w:sz w:val="28"/>
          <w:szCs w:val="28"/>
        </w:rPr>
        <w:t xml:space="preserve">甲方：安徽省经工物资有限公司       乙方：  </w:t>
      </w:r>
    </w:p>
    <w:p w14:paraId="32F74587">
      <w:pPr>
        <w:wordWrap w:val="0"/>
        <w:spacing w:beforeLines="0" w:afterLines="0" w:line="560" w:lineRule="exact"/>
        <w:ind w:firstLine="2800" w:firstLineChars="10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（盖章）                          （盖章）</w:t>
      </w:r>
    </w:p>
    <w:p w14:paraId="326FB331">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法定代表人或</w:t>
      </w:r>
    </w:p>
    <w:p w14:paraId="1C0DC21C">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5807330D">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纳税识别号：91340100MA2MY6GA6E     纳税识别号:</w:t>
      </w:r>
    </w:p>
    <w:p w14:paraId="335731CA">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地址：安徽省合肥市蜀山区甘泉路     地址：</w:t>
      </w:r>
    </w:p>
    <w:p w14:paraId="1D38C4F7">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398号                               </w:t>
      </w:r>
    </w:p>
    <w:p w14:paraId="56B596DB">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开户银行：工行合肥蜀山支行       开户银行：</w:t>
      </w:r>
    </w:p>
    <w:p w14:paraId="01056A25">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账号：1302012119200034038          账号：</w:t>
      </w:r>
    </w:p>
    <w:p w14:paraId="69EFB4ED">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2D2E16F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14:paraId="65A69AC7">
      <w:pPr>
        <w:pStyle w:val="8"/>
        <w:spacing w:beforeLines="0" w:afterLines="0" w:line="560" w:lineRule="exact"/>
        <w:ind w:firstLine="420" w:firstLineChars="200"/>
        <w:rPr>
          <w:rFonts w:hint="eastAsia"/>
          <w:color w:val="auto"/>
          <w:sz w:val="21"/>
          <w:szCs w:val="24"/>
        </w:rPr>
        <w:sectPr>
          <w:headerReference r:id="rId11" w:type="default"/>
          <w:footerReference r:id="rId12" w:type="default"/>
          <w:pgSz w:w="11906" w:h="16838"/>
          <w:pgMar w:top="1440" w:right="1800" w:bottom="1440" w:left="1800" w:header="851" w:footer="992" w:gutter="0"/>
          <w:lnNumType w:countBy="0" w:distance="360"/>
          <w:pgNumType w:fmt="decimal"/>
          <w:cols w:space="720" w:num="1"/>
          <w:docGrid w:type="lines" w:linePitch="312" w:charSpace="0"/>
        </w:sectPr>
      </w:pPr>
    </w:p>
    <w:permEnd w:id="8"/>
    <w:p w14:paraId="7FA41C25">
      <w:pPr>
        <w:numPr>
          <w:ilvl w:val="0"/>
          <w:numId w:val="0"/>
        </w:numPr>
        <w:spacing w:beforeLines="0" w:afterLines="0" w:line="56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附件1：</w:t>
      </w:r>
    </w:p>
    <w:p w14:paraId="3767ADAE">
      <w:pPr>
        <w:numPr>
          <w:ilvl w:val="0"/>
          <w:numId w:val="0"/>
        </w:numPr>
        <w:spacing w:beforeLines="0" w:afterLines="0" w:line="56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廉 政 合 同</w:t>
      </w:r>
    </w:p>
    <w:p w14:paraId="3EFD3064">
      <w:pPr>
        <w:pStyle w:val="8"/>
        <w:spacing w:beforeLines="0" w:afterLines="0" w:line="560" w:lineRule="exact"/>
        <w:ind w:firstLine="422" w:firstLineChars="200"/>
        <w:rPr>
          <w:rFonts w:hint="eastAsia"/>
          <w:b/>
          <w:color w:val="auto"/>
          <w:sz w:val="21"/>
          <w:szCs w:val="24"/>
        </w:rPr>
      </w:pPr>
    </w:p>
    <w:p w14:paraId="6A99AB53">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9"/>
      <w:r>
        <w:rPr>
          <w:rFonts w:hint="eastAsia" w:ascii="仿宋_GB2312" w:hAnsi="仿宋_GB2312" w:eastAsia="仿宋_GB2312" w:cs="仿宋_GB2312"/>
          <w:color w:val="auto"/>
          <w:sz w:val="28"/>
          <w:szCs w:val="28"/>
        </w:rPr>
        <w:t>项目名称）的采购人</w:t>
      </w:r>
      <w:permStart w:id="10" w:edGrp="everyone"/>
      <w:r>
        <w:rPr>
          <w:rFonts w:hint="eastAsia" w:ascii="仿宋_GB2312" w:hAnsi="仿宋_GB2312" w:eastAsia="仿宋_GB2312" w:cs="仿宋_GB2312"/>
          <w:color w:val="auto"/>
          <w:sz w:val="28"/>
          <w:szCs w:val="28"/>
          <w:u w:val="single"/>
        </w:rPr>
        <w:t xml:space="preserve"> 安徽省经工物资有限公司  </w:t>
      </w:r>
      <w:permEnd w:id="10"/>
      <w:r>
        <w:rPr>
          <w:rFonts w:hint="eastAsia" w:ascii="仿宋_GB2312" w:hAnsi="仿宋_GB2312" w:eastAsia="仿宋_GB2312" w:cs="仿宋_GB2312"/>
          <w:color w:val="auto"/>
          <w:sz w:val="28"/>
          <w:szCs w:val="28"/>
        </w:rPr>
        <w:t>（采购人名称，以下简称甲方）与该项目的供货商</w:t>
      </w:r>
      <w:permStart w:id="11" w:edGrp="everyone"/>
      <w:r>
        <w:rPr>
          <w:rFonts w:hint="eastAsia" w:ascii="仿宋_GB2312" w:hAnsi="仿宋_GB2312" w:eastAsia="仿宋_GB2312" w:cs="仿宋_GB2312"/>
          <w:color w:val="auto"/>
          <w:sz w:val="28"/>
          <w:szCs w:val="28"/>
          <w:u w:val="single"/>
        </w:rPr>
        <w:t xml:space="preserve">               </w:t>
      </w:r>
      <w:permEnd w:id="11"/>
      <w:r>
        <w:rPr>
          <w:rFonts w:hint="eastAsia" w:ascii="仿宋_GB2312" w:hAnsi="仿宋_GB2312" w:eastAsia="仿宋_GB2312" w:cs="仿宋_GB2312"/>
          <w:color w:val="auto"/>
          <w:sz w:val="28"/>
          <w:szCs w:val="28"/>
        </w:rPr>
        <w:t>（供货商名称，以下简称乙方），特订立如下合同。</w:t>
      </w:r>
    </w:p>
    <w:p w14:paraId="631D0CC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1.甲乙双方的权利和义务</w:t>
      </w:r>
    </w:p>
    <w:p w14:paraId="0C55E326">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（1）严格遵守党的政策和国家有关法律法规的有关规定。</w:t>
      </w:r>
    </w:p>
    <w:p w14:paraId="455EB75B">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（2）严格执行</w:t>
      </w:r>
      <w:permStart w:id="12" w:edGrp="everyone"/>
      <w:r>
        <w:rPr>
          <w:rFonts w:hint="eastAsia" w:ascii="仿宋_GB2312" w:hAnsi="仿宋_GB2312" w:eastAsia="仿宋_GB2312" w:cs="仿宋_GB2312"/>
          <w:color w:val="auto"/>
          <w:sz w:val="28"/>
          <w:szCs w:val="28"/>
          <w:u w:val="single"/>
        </w:rPr>
        <w:t xml:space="preserve">                             </w:t>
      </w:r>
      <w:permEnd w:id="12"/>
      <w:r>
        <w:rPr>
          <w:rFonts w:hint="eastAsia" w:ascii="仿宋_GB2312" w:hAnsi="仿宋_GB2312" w:eastAsia="仿宋_GB2312" w:cs="仿宋_GB2312"/>
          <w:color w:val="auto"/>
          <w:sz w:val="28"/>
          <w:szCs w:val="28"/>
        </w:rPr>
        <w:t>（合同文件名称）合同文件，自觉按合同办事。</w:t>
      </w:r>
    </w:p>
    <w:p w14:paraId="01DEB90B">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（3）双方的业务活动坚持公开、公正、诚信、透明的原则（法律认定的商业秘密和合同文件另有规定除外），不得损害国家和集体利益。</w:t>
      </w:r>
    </w:p>
    <w:p w14:paraId="167E75D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（4）建立健全廉政制度，开展廉政教育和廉洁文化建设，公布举报电话，监督并认真查处违规违纪违法行为。</w:t>
      </w:r>
    </w:p>
    <w:p w14:paraId="5B103D9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（5）发现对方在业务活动中有违反廉政规定的行为，有及时提醒对方纠正的权利和义务。</w:t>
      </w:r>
    </w:p>
    <w:p w14:paraId="102E0ED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（6）发现对方严重违反本合同义务条款的行为，有向有关部门举报、建议给予处理并要求告知处理结果的权利。</w:t>
      </w:r>
    </w:p>
    <w:p w14:paraId="4D20B0C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2.甲方的义务</w:t>
      </w:r>
    </w:p>
    <w:p w14:paraId="7E06196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（1）甲方及其工作人员不得利用职务之便索要或接受乙方的礼品、礼金、消费卡和有价证券、股权、其他金融产品等财物。</w:t>
      </w:r>
    </w:p>
    <w:p w14:paraId="40082E16">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（2）甲方及其工作人员不得在利用职务之便为乙方谋取利益之前或之后，约定在其离职后收受乙方财物，并在离职后收受。</w:t>
      </w:r>
    </w:p>
    <w:p w14:paraId="695AC1D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（3）甲方及其工作人员不得在乙方报销应由甲方或个人支付的费用等。</w:t>
      </w:r>
    </w:p>
    <w:p w14:paraId="6A32C75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（4）甲方及其工作人员不得要求或者接受乙方可能影响公正执行公务的宴请以及旅游、健身、娱乐等活动安排，不得要求和接受乙方提供的交通工具、通讯工具、高档办公用品等。</w:t>
      </w:r>
    </w:p>
    <w:p w14:paraId="671FA687">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80A8BF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（6）甲方及其工作人员不得要求乙方购买合同规定外的材料和设备。    </w:t>
      </w:r>
    </w:p>
    <w:p w14:paraId="2FE7180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（7）甲方及其工作人员不得有其他可能影响廉洁从业的行为。</w:t>
      </w:r>
    </w:p>
    <w:p w14:paraId="326B45C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3.乙方的义务</w:t>
      </w:r>
    </w:p>
    <w:p w14:paraId="7CD924E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（1）乙方及其工作人员不得以任何形式向甲方及其工作人员行贿或馈赠礼品、礼金、消费卡和有价证券、股权、其他金融产品等财物，以及回扣、好处费、感谢费等。</w:t>
      </w:r>
    </w:p>
    <w:p w14:paraId="6610A9E9">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（2）乙方及其工作人员不得与甲方及其工作人员约定，甲方及其工作人员利用职务之便为乙方谋取利益，乙方在其离职后给予财物。</w:t>
      </w:r>
    </w:p>
    <w:p w14:paraId="26AD880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（3）乙方不得以任何名义为甲方及其工作人员报销由甲方单位或个人支付的任何费用。</w:t>
      </w:r>
    </w:p>
    <w:p w14:paraId="13A91A8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（4）乙方及其工作人员不得以任何理由邀请甲方工作人员参与可能影响公正执行公务的宴请以及旅游、健身、娱乐等活动。不得为甲方单位和个人购置或提供通讯工具、交通工具和高档办公用品等。</w:t>
      </w:r>
    </w:p>
    <w:p w14:paraId="2DA306E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（5）乙方及其工作人员不得为甲方工作人员住房装修、婚丧嫁娶、出国出境、旅游等提供方便；不得为甲方工作人员的特定关系人以安排工作为名，使其不实际工作却获取薪酬。</w:t>
      </w:r>
    </w:p>
    <w:p w14:paraId="46E3A177">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（6）乙方及其工作人员不得有其他可能影响廉洁从业的行为。</w:t>
      </w:r>
    </w:p>
    <w:p w14:paraId="2277F35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4.违约责任</w:t>
      </w:r>
    </w:p>
    <w:p w14:paraId="63D466D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（1）甲方及其工作人员违反本合同第1、2条，按管理权限，依据有关规定给予党纪政务处分和组织处理；涉嫌犯罪的，移交司法机关追究刑事责任；给乙方单位造成经济损失的，应予以赔偿。</w:t>
      </w:r>
    </w:p>
    <w:p w14:paraId="15B1810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（2）乙方及其工作人员违反本合同第1、3条，按管理权限，依据有关规定，给予相关处理；给甲方单位造成经济损失的，应予以赔偿。</w:t>
      </w:r>
    </w:p>
    <w:p w14:paraId="3BF0ED6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5.本合同有效期为甲乙双方签署之日起至该供货合同履行完毕后止。</w:t>
      </w:r>
    </w:p>
    <w:p w14:paraId="08947E17">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6.本合同作为</w:t>
      </w:r>
      <w:permStart w:id="13" w:edGrp="everyone"/>
      <w:r>
        <w:rPr>
          <w:rFonts w:hint="eastAsia" w:ascii="仿宋_GB2312" w:hAnsi="仿宋_GB2312" w:eastAsia="仿宋_GB2312" w:cs="仿宋_GB2312"/>
          <w:color w:val="auto"/>
          <w:sz w:val="28"/>
          <w:szCs w:val="28"/>
          <w:u w:val="single"/>
        </w:rPr>
        <w:t xml:space="preserve">                             </w:t>
      </w:r>
      <w:permEnd w:id="13"/>
      <w:r>
        <w:rPr>
          <w:rFonts w:hint="eastAsia" w:ascii="仿宋_GB2312" w:hAnsi="仿宋_GB2312" w:eastAsia="仿宋_GB2312" w:cs="仿宋_GB2312"/>
          <w:color w:val="auto"/>
          <w:sz w:val="28"/>
          <w:szCs w:val="28"/>
        </w:rPr>
        <w:t>（合同文件名称）的附件，与采购合同具有同等的法律效力，经合同双方签署立即生效。</w:t>
      </w:r>
    </w:p>
    <w:p w14:paraId="3709BF42">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6FB758F0">
      <w:pPr>
        <w:pStyle w:val="8"/>
        <w:spacing w:beforeLines="0" w:afterLines="0"/>
        <w:rPr>
          <w:rFonts w:hint="eastAsia" w:ascii="仿宋_GB2312" w:hAnsi="仿宋_GB2312" w:eastAsia="仿宋_GB2312" w:cs="仿宋_GB2312"/>
          <w:color w:val="auto"/>
          <w:sz w:val="28"/>
          <w:szCs w:val="28"/>
        </w:rPr>
      </w:pPr>
    </w:p>
    <w:p w14:paraId="56A32439">
      <w:pPr>
        <w:spacing w:beforeLines="0" w:afterLines="0"/>
        <w:rPr>
          <w:rFonts w:hint="eastAsia"/>
          <w:color w:val="auto"/>
          <w:sz w:val="21"/>
          <w:szCs w:val="24"/>
        </w:rPr>
      </w:pPr>
    </w:p>
    <w:p w14:paraId="270CBAF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                  乙方（盖章）：</w:t>
      </w:r>
    </w:p>
    <w:p w14:paraId="7A92C25D">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w:t>
      </w:r>
      <w:r>
        <w:rPr>
          <w:rFonts w:hint="eastAsia" w:ascii="仿宋_GB2312" w:hAnsi="仿宋_GB2312" w:eastAsia="仿宋_GB2312" w:cs="仿宋_GB2312"/>
          <w:color w:val="auto"/>
          <w:sz w:val="28"/>
          <w:szCs w:val="28"/>
          <w:lang w:val="en-US" w:eastAsia="zh-CN"/>
        </w:rPr>
        <w:t>人</w:t>
      </w:r>
      <w:r>
        <w:rPr>
          <w:rFonts w:hint="eastAsia" w:ascii="仿宋_GB2312" w:hAnsi="仿宋_GB2312" w:eastAsia="仿宋_GB2312" w:cs="仿宋_GB2312"/>
          <w:color w:val="auto"/>
          <w:sz w:val="28"/>
          <w:szCs w:val="28"/>
        </w:rPr>
        <w:t>或</w:t>
      </w:r>
    </w:p>
    <w:p w14:paraId="155654C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6E19CC8F">
      <w:pPr>
        <w:spacing w:beforeLines="0" w:afterLines="0" w:line="56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6774B86D">
      <w:pPr>
        <w:spacing w:beforeLines="0" w:afterLines="0" w:line="560" w:lineRule="exact"/>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br w:type="textWrapping"/>
      </w:r>
    </w:p>
    <w:p w14:paraId="363D4365">
      <w:pPr>
        <w:spacing w:beforeLines="0" w:afterLines="0" w:line="56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附件2：</w:t>
      </w:r>
    </w:p>
    <w:p w14:paraId="5CCB79CA">
      <w:pPr>
        <w:spacing w:beforeLines="0" w:afterLines="0" w:line="56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75347F21">
      <w:pPr>
        <w:pStyle w:val="8"/>
        <w:spacing w:beforeLines="0" w:afterLines="0" w:line="560" w:lineRule="exact"/>
        <w:ind w:firstLine="420" w:firstLineChars="200"/>
        <w:rPr>
          <w:rFonts w:hint="eastAsia"/>
          <w:color w:val="auto"/>
          <w:sz w:val="21"/>
          <w:szCs w:val="24"/>
        </w:rPr>
      </w:pPr>
    </w:p>
    <w:p w14:paraId="7E43EDC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permStart w:id="14" w:edGrp="everyone"/>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14"/>
      <w:r>
        <w:rPr>
          <w:rFonts w:hint="eastAsia" w:ascii="仿宋_GB2312" w:hAnsi="仿宋_GB2312" w:eastAsia="仿宋_GB2312" w:cs="仿宋_GB2312"/>
          <w:color w:val="auto"/>
          <w:sz w:val="28"/>
          <w:szCs w:val="28"/>
        </w:rPr>
        <w:t xml:space="preserve">项目名称）的实施过程中创造安全、高效的施工环境，切实搞好本项目的安全管理工作，本项目采购人 </w:t>
      </w:r>
      <w:permStart w:id="15" w:edGrp="everyone"/>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安徽省经工物资有限公司    </w:t>
      </w:r>
      <w:permEnd w:id="15"/>
      <w:r>
        <w:rPr>
          <w:rFonts w:hint="eastAsia" w:ascii="仿宋_GB2312" w:hAnsi="仿宋_GB2312" w:eastAsia="仿宋_GB2312" w:cs="仿宋_GB2312"/>
          <w:color w:val="auto"/>
          <w:sz w:val="28"/>
          <w:szCs w:val="28"/>
        </w:rPr>
        <w:t>（采购人名称，以下简称甲方）与该项目的供货商</w:t>
      </w:r>
      <w:permStart w:id="16" w:edGrp="everyone"/>
      <w:r>
        <w:rPr>
          <w:rFonts w:hint="eastAsia" w:ascii="仿宋_GB2312" w:hAnsi="仿宋_GB2312" w:eastAsia="仿宋_GB2312" w:cs="仿宋_GB2312"/>
          <w:color w:val="auto"/>
          <w:sz w:val="28"/>
          <w:szCs w:val="28"/>
          <w:u w:val="single"/>
        </w:rPr>
        <w:t xml:space="preserve">              </w:t>
      </w:r>
      <w:permEnd w:id="16"/>
      <w:r>
        <w:rPr>
          <w:rFonts w:hint="eastAsia" w:ascii="仿宋_GB2312" w:hAnsi="仿宋_GB2312" w:eastAsia="仿宋_GB2312" w:cs="仿宋_GB2312"/>
          <w:color w:val="auto"/>
          <w:sz w:val="28"/>
          <w:szCs w:val="28"/>
        </w:rPr>
        <w:t>（供货商名称，以下简称乙方）特此签订此安全生产合同：</w:t>
      </w:r>
    </w:p>
    <w:p w14:paraId="5963FDE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防止和减少安全事故，保障人民群众生命和财产安全，有效促进双方全面履行经营合同，维护双方的合法权益，依据《中华人民共和国民法典》、《中华人民共和</w:t>
      </w:r>
      <w:r>
        <w:rPr>
          <w:rFonts w:hint="eastAsia" w:ascii="仿宋_GB2312" w:hAnsi="仿宋_GB2312" w:eastAsia="仿宋_GB2312" w:cs="仿宋_GB2312"/>
          <w:color w:val="auto"/>
          <w:sz w:val="28"/>
          <w:szCs w:val="28"/>
          <w:lang w:val="en-US" w:eastAsia="zh-CN"/>
        </w:rPr>
        <w:t>国</w:t>
      </w:r>
      <w:r>
        <w:rPr>
          <w:rFonts w:hint="eastAsia" w:ascii="仿宋_GB2312" w:hAnsi="仿宋_GB2312" w:eastAsia="仿宋_GB2312" w:cs="仿宋_GB2312"/>
          <w:color w:val="auto"/>
          <w:sz w:val="28"/>
          <w:szCs w:val="28"/>
        </w:rPr>
        <w:t>道路交通安全法》、《中华人民共和国安全生产法》、《中华人民共和国环境保护法》等相关安全法律、行政法规和规章，在平等、自愿、公平和诚实信用的原则下，双方就材料供应、运输安全事项协商一致，双方达成如下协议：</w:t>
      </w:r>
    </w:p>
    <w:p w14:paraId="4C17F116">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236CD0BD">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二、甲方负责提供材料堆放场地，乙方负责供应及运输。</w:t>
      </w:r>
    </w:p>
    <w:p w14:paraId="562A84F4">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三、在甲方运输区域，乙方运输车辆必须服从甲方的统一管理、调度和指挥，严格遵守交通规则，保证道路的畅通和运输安全，不得乱停、乱靠、乱装、乱卸，不得争道抢行，不得超速超载。</w:t>
      </w:r>
    </w:p>
    <w:p w14:paraId="046249CB">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四、乙方对提供的运输车辆应当已取得国家道路运输的许可证，并确保车辆性能符合安全技术标准、防止带病上路运行，已依照国家法律政策规定购齐有关车辆保险。</w:t>
      </w:r>
    </w:p>
    <w:p w14:paraId="1AEC4397">
      <w:pPr>
        <w:pStyle w:val="8"/>
        <w:spacing w:beforeLines="0" w:afterLines="0"/>
        <w:rPr>
          <w:rFonts w:hint="eastAsia"/>
          <w:color w:val="auto"/>
          <w:sz w:val="21"/>
          <w:szCs w:val="24"/>
        </w:rPr>
      </w:pPr>
    </w:p>
    <w:p w14:paraId="1841B558">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五、乙方应当设立安全管理人员，配备有专业知识、技能的人员并明确责任，建立、健全安全规章制度，为其雇佣的从业人员提供安全法规知识、安全规章制度、安全操作规程和安全操作技能教育和培训。</w:t>
      </w:r>
    </w:p>
    <w:p w14:paraId="60F6B7D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六、乙方应确保货物在卸载过程中，装卸工有安全防护措施，发现不安全因素，及时处理。在甲方区域，禁止出现无证操作、无证驾驶现象。</w:t>
      </w:r>
    </w:p>
    <w:p w14:paraId="4E54FB02">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E391B2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八、乙方在履行合同过程中，必须确保货物运输及供应安全，如发生各类人身、财产事故，造成的一切损失均由乙方负责承担，甲方概不负责。</w:t>
      </w:r>
    </w:p>
    <w:p w14:paraId="6A817C4F">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九、争议的解决 </w:t>
      </w:r>
    </w:p>
    <w:p w14:paraId="70D833A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本合同在履行中如发生争议，双方应及时协商解决。协商不成的，任何一方均有权将合同争议事项向甲方公司注册所在地人民法院提起诉讼，通过法定程序解决。</w:t>
      </w:r>
    </w:p>
    <w:p w14:paraId="4594E65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十、本协议一式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 xml:space="preserve">份，甲方执 </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62BF0EEC">
      <w:pPr>
        <w:spacing w:beforeLines="0" w:afterLines="0" w:line="560" w:lineRule="exact"/>
        <w:ind w:firstLine="560" w:firstLineChars="200"/>
        <w:rPr>
          <w:rFonts w:hint="eastAsia" w:ascii="仿宋_GB2312" w:hAnsi="仿宋_GB2312" w:eastAsia="仿宋_GB2312" w:cs="仿宋_GB2312"/>
          <w:color w:val="auto"/>
          <w:sz w:val="28"/>
          <w:szCs w:val="28"/>
        </w:rPr>
      </w:pPr>
    </w:p>
    <w:p w14:paraId="4D5D92E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乙方（盖章）：</w:t>
      </w:r>
    </w:p>
    <w:p w14:paraId="2EFD33C9">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                      法定代表人</w:t>
      </w:r>
    </w:p>
    <w:p w14:paraId="1D91E5D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或授权委托人（签字）：          或授权委托人（签字）：</w:t>
      </w:r>
    </w:p>
    <w:p w14:paraId="340A417C">
      <w:pPr>
        <w:spacing w:beforeLines="0" w:afterLines="0" w:line="56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4E516E8A">
      <w:pPr>
        <w:pStyle w:val="11"/>
        <w:adjustRightInd w:val="0"/>
        <w:snapToGrid w:val="0"/>
        <w:spacing w:beforeLines="0" w:afterLines="0"/>
        <w:jc w:val="left"/>
        <w:rPr>
          <w:rFonts w:hint="eastAsia" w:ascii="仿宋_GB2312" w:hAnsi="仿宋_GB2312" w:eastAsia="仿宋_GB2312" w:cs="仿宋_GB2312"/>
          <w:b/>
          <w:color w:val="auto"/>
          <w:sz w:val="28"/>
          <w:szCs w:val="28"/>
        </w:rPr>
      </w:pPr>
    </w:p>
    <w:p w14:paraId="08910F88">
      <w:pPr>
        <w:pStyle w:val="11"/>
        <w:adjustRightInd w:val="0"/>
        <w:snapToGrid w:val="0"/>
        <w:jc w:val="left"/>
        <w:rPr>
          <w:rFonts w:hint="default" w:ascii="Times New Roman" w:hAnsi="Times New Roman" w:eastAsia="华文中宋" w:cs="Times New Roman"/>
          <w:b/>
          <w:smallCaps/>
          <w:color w:val="auto"/>
          <w:sz w:val="24"/>
          <w:szCs w:val="24"/>
          <w:highlight w:val="none"/>
          <w:lang w:val="en-US" w:eastAsia="zh-CN"/>
        </w:rPr>
      </w:pPr>
      <w:r>
        <w:rPr>
          <w:rFonts w:hint="eastAsia" w:ascii="仿宋_GB2312" w:hAnsi="仿宋_GB2312" w:eastAsia="仿宋_GB2312" w:cs="仿宋_GB2312"/>
          <w:b/>
          <w:color w:val="auto"/>
          <w:sz w:val="28"/>
          <w:szCs w:val="28"/>
          <w:highlight w:val="none"/>
          <w:lang w:val="en-US" w:eastAsia="zh-CN"/>
        </w:rPr>
        <w:t>附件3：后附报价清单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lang w:val="en-US" w:eastAsia="zh-CN"/>
        </w:rPr>
      </w:pPr>
    </w:p>
    <w:p w14:paraId="44C7AAEA">
      <w:pPr>
        <w:pStyle w:val="9"/>
        <w:bidi w:val="0"/>
        <w:rPr>
          <w:rFonts w:hint="eastAsia"/>
          <w:color w:val="auto"/>
          <w:highlight w:val="none"/>
        </w:rPr>
      </w:pPr>
    </w:p>
    <w:p w14:paraId="57FD5F42">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0D1130A1">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316DFA0D">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2033EE4E">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12E9AE00">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2F26F749">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582EACC5">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09840CA3">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4992CA58">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69DC150F">
      <w:pPr>
        <w:pStyle w:val="34"/>
        <w:jc w:val="center"/>
        <w:rPr>
          <w:rFonts w:hint="eastAsia" w:ascii="宋体" w:hAnsi="宋体" w:eastAsia="宋体" w:cs="宋体"/>
          <w:b/>
          <w:bCs/>
          <w:color w:val="auto"/>
          <w:sz w:val="28"/>
          <w:szCs w:val="28"/>
          <w:highlight w:val="none"/>
          <w:lang w:val="en-US" w:eastAsia="zh-CN"/>
        </w:rPr>
      </w:pPr>
    </w:p>
    <w:p w14:paraId="56324A43">
      <w:pPr>
        <w:pStyle w:val="34"/>
        <w:jc w:val="center"/>
        <w:rPr>
          <w:rFonts w:hint="eastAsia" w:ascii="宋体" w:hAnsi="宋体" w:eastAsia="宋体" w:cs="宋体"/>
          <w:b/>
          <w:bCs/>
          <w:color w:val="auto"/>
          <w:sz w:val="28"/>
          <w:szCs w:val="28"/>
          <w:highlight w:val="none"/>
          <w:lang w:val="en-US" w:eastAsia="zh-CN"/>
        </w:rPr>
      </w:pPr>
    </w:p>
    <w:p w14:paraId="40178912">
      <w:pPr>
        <w:pStyle w:val="34"/>
        <w:jc w:val="center"/>
        <w:rPr>
          <w:rFonts w:hint="eastAsia" w:ascii="宋体" w:hAnsi="宋体" w:eastAsia="宋体" w:cs="宋体"/>
          <w:b/>
          <w:bCs/>
          <w:color w:val="auto"/>
          <w:sz w:val="28"/>
          <w:szCs w:val="28"/>
          <w:highlight w:val="none"/>
          <w:lang w:val="en-US" w:eastAsia="zh-CN"/>
        </w:rPr>
      </w:pPr>
    </w:p>
    <w:p w14:paraId="3D9FB0D6">
      <w:pPr>
        <w:pStyle w:val="34"/>
        <w:jc w:val="center"/>
        <w:rPr>
          <w:rFonts w:hint="eastAsia" w:ascii="宋体" w:hAnsi="宋体" w:eastAsia="宋体" w:cs="宋体"/>
          <w:b/>
          <w:bCs/>
          <w:color w:val="auto"/>
          <w:sz w:val="28"/>
          <w:szCs w:val="28"/>
          <w:highlight w:val="none"/>
          <w:lang w:val="en-US" w:eastAsia="zh-CN"/>
        </w:rPr>
      </w:pPr>
    </w:p>
    <w:p w14:paraId="2A3C4900">
      <w:pPr>
        <w:pStyle w:val="34"/>
        <w:jc w:val="center"/>
        <w:rPr>
          <w:rFonts w:hint="eastAsia" w:ascii="宋体" w:hAnsi="宋体" w:eastAsia="宋体" w:cs="宋体"/>
          <w:b/>
          <w:bCs/>
          <w:color w:val="auto"/>
          <w:sz w:val="28"/>
          <w:szCs w:val="28"/>
          <w:highlight w:val="none"/>
          <w:lang w:val="en-US" w:eastAsia="zh-CN"/>
        </w:rPr>
      </w:pPr>
    </w:p>
    <w:p w14:paraId="297C38F8">
      <w:pPr>
        <w:pStyle w:val="2"/>
        <w:numPr>
          <w:ilvl w:val="255"/>
          <w:numId w:val="0"/>
        </w:numPr>
        <w:spacing w:before="312" w:after="312"/>
        <w:ind w:left="402"/>
        <w:rPr>
          <w:rFonts w:ascii="Times New Roman" w:hAnsi="Times New Roman" w:eastAsia="宋体" w:cs="Times New Roman"/>
          <w:color w:val="auto"/>
          <w:highlight w:val="none"/>
        </w:rPr>
      </w:pPr>
      <w:bookmarkStart w:id="64" w:name="_Toc30707"/>
      <w:r>
        <w:rPr>
          <w:rFonts w:hint="eastAsia" w:ascii="Times New Roman" w:hAnsi="Times New Roman" w:eastAsia="宋体" w:cs="Times New Roman"/>
          <w:color w:val="auto"/>
          <w:highlight w:val="none"/>
          <w:lang w:val="en-US" w:eastAsia="zh-CN"/>
        </w:rPr>
        <w:t>第五章</w:t>
      </w:r>
      <w:r>
        <w:rPr>
          <w:rFonts w:hint="eastAsia" w:ascii="Times New Roman" w:hAnsi="Times New Roman" w:eastAsia="宋体" w:cs="Times New Roman"/>
          <w:color w:val="FF0000"/>
          <w:highlight w:val="none"/>
          <w:lang w:val="en-US" w:eastAsia="zh-CN"/>
        </w:rPr>
        <w:t xml:space="preserve"> </w:t>
      </w:r>
      <w:bookmarkStart w:id="65" w:name="_Toc25485"/>
      <w:bookmarkStart w:id="66" w:name="_Toc31285"/>
      <w:r>
        <w:rPr>
          <w:rFonts w:hint="eastAsia" w:ascii="Times New Roman" w:hAnsi="Times New Roman" w:eastAsia="宋体" w:cs="Times New Roman"/>
          <w:color w:val="000000" w:themeColor="text1"/>
          <w:highlight w:val="none"/>
          <w:lang w:val="en-US" w:eastAsia="zh-CN"/>
          <w14:textFill>
            <w14:solidFill>
              <w14:schemeClr w14:val="tx1"/>
            </w14:solidFill>
          </w14:textFill>
        </w:rPr>
        <w:t>采购需求及清单</w:t>
      </w:r>
      <w:bookmarkEnd w:id="64"/>
      <w:bookmarkEnd w:id="65"/>
      <w:bookmarkEnd w:id="66"/>
    </w:p>
    <w:tbl>
      <w:tblPr>
        <w:tblStyle w:val="21"/>
        <w:tblW w:w="10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2"/>
      </w:tblGrid>
      <w:tr w14:paraId="596A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jc w:val="center"/>
        </w:trPr>
        <w:tc>
          <w:tcPr>
            <w:tcW w:w="10502" w:type="dxa"/>
            <w:tcBorders>
              <w:top w:val="nil"/>
              <w:left w:val="nil"/>
              <w:bottom w:val="nil"/>
              <w:right w:val="nil"/>
            </w:tcBorders>
            <w:shd w:val="clear" w:color="auto" w:fill="FFFFFF"/>
            <w:noWrap/>
            <w:vAlign w:val="center"/>
          </w:tcPr>
          <w:p w14:paraId="744614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清单编制说明</w:t>
            </w:r>
          </w:p>
        </w:tc>
      </w:tr>
      <w:tr w14:paraId="449B3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5BC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1、招标形式：综合单价包干形式，结算时综合单价不作调整，本工程量为暂定工程量，工程量按实结；</w:t>
            </w:r>
          </w:p>
        </w:tc>
      </w:tr>
      <w:tr w14:paraId="2214B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502" w:type="dxa"/>
            <w:tcBorders>
              <w:top w:val="nil"/>
              <w:left w:val="single" w:color="000000" w:sz="4" w:space="0"/>
              <w:bottom w:val="single" w:color="000000" w:sz="4" w:space="0"/>
              <w:right w:val="single" w:color="000000" w:sz="4" w:space="0"/>
            </w:tcBorders>
            <w:shd w:val="clear" w:color="auto" w:fill="FFFFFF"/>
            <w:vAlign w:val="center"/>
          </w:tcPr>
          <w:p w14:paraId="7AD38A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综合单价包含成品、包装、运输装卸费、运输损耗、劳务费、样品费、税金、管理费、检测费、货到工地负责堆放至需方指定地点（车到甲方指定地点至卸货）等到工地仓库交货前的所有费用及完成约定保修期所有约定保修工作，还包括因质量问题引起的维修、更换、技术指导和培训等费用；该单价中应综合考虑了在合同有效期内的材料等所有市场价格波动的风险，在合同有效期内不做任何调整。同时，不随供货量做价格调整；</w:t>
            </w:r>
          </w:p>
        </w:tc>
      </w:tr>
      <w:tr w14:paraId="21E3D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0502" w:type="dxa"/>
            <w:tcBorders>
              <w:top w:val="nil"/>
              <w:left w:val="single" w:color="000000" w:sz="4" w:space="0"/>
              <w:bottom w:val="single" w:color="000000" w:sz="4" w:space="0"/>
              <w:right w:val="single" w:color="000000" w:sz="4" w:space="0"/>
            </w:tcBorders>
            <w:shd w:val="clear" w:color="auto" w:fill="FFFFFF"/>
            <w:vAlign w:val="center"/>
          </w:tcPr>
          <w:p w14:paraId="6DA3EC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3、石材样品由乙方提供，不另行计算费用；</w:t>
            </w:r>
          </w:p>
        </w:tc>
      </w:tr>
      <w:tr w14:paraId="26C9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02" w:type="dxa"/>
            <w:tcBorders>
              <w:top w:val="nil"/>
              <w:left w:val="single" w:color="000000" w:sz="4" w:space="0"/>
              <w:bottom w:val="single" w:color="000000" w:sz="4" w:space="0"/>
              <w:right w:val="single" w:color="000000" w:sz="4" w:space="0"/>
            </w:tcBorders>
            <w:shd w:val="clear" w:color="auto" w:fill="FFFFFF"/>
            <w:vAlign w:val="center"/>
          </w:tcPr>
          <w:p w14:paraId="60E5F8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4、材料以甲方提供或确认的样品颜色、品牌采购；</w:t>
            </w:r>
          </w:p>
        </w:tc>
      </w:tr>
      <w:tr w14:paraId="08BB7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502" w:type="dxa"/>
            <w:tcBorders>
              <w:top w:val="nil"/>
              <w:left w:val="single" w:color="000000" w:sz="4" w:space="0"/>
              <w:bottom w:val="single" w:color="000000" w:sz="4" w:space="0"/>
              <w:right w:val="single" w:color="000000" w:sz="4" w:space="0"/>
            </w:tcBorders>
            <w:shd w:val="clear" w:color="auto" w:fill="FFFFFF"/>
            <w:vAlign w:val="center"/>
          </w:tcPr>
          <w:p w14:paraId="0BD083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加工工艺费：根据加工工艺的不同，石材背部开孔开槽，异性石材加工，石材面层加工费，石材拉槽，磨圆边，磨直边，倒角切割，钻孔以及配合幕墙单位进行石材加工等综合在单价中，不再计取其它任何费用；</w:t>
            </w:r>
          </w:p>
        </w:tc>
      </w:tr>
      <w:tr w14:paraId="51FEE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jc w:val="center"/>
        </w:trPr>
        <w:tc>
          <w:tcPr>
            <w:tcW w:w="10502" w:type="dxa"/>
            <w:tcBorders>
              <w:top w:val="nil"/>
              <w:left w:val="single" w:color="000000" w:sz="4" w:space="0"/>
              <w:bottom w:val="single" w:color="000000" w:sz="4" w:space="0"/>
              <w:right w:val="single" w:color="000000" w:sz="4" w:space="0"/>
            </w:tcBorders>
            <w:shd w:val="clear" w:color="auto" w:fill="FFFFFF"/>
            <w:vAlign w:val="center"/>
          </w:tcPr>
          <w:p w14:paraId="3118B7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6、投标综合单价已对招标文件和合同条款中的承包范围、质量标准等要求进行了充分考虑。</w:t>
            </w:r>
          </w:p>
        </w:tc>
      </w:tr>
      <w:tr w14:paraId="47CC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1E6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7、乙方在投标及签订本合同前已清楚并考虑工地周围环境、交通道路、现场地质资料、周围地下管网、现场条件、招标文件、承包范围，并已考虑检验检测、施工技术措施、安全文明施工措施等因素；</w:t>
            </w:r>
          </w:p>
        </w:tc>
      </w:tr>
      <w:tr w14:paraId="35B86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C95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投标综合单价已按招标文件和合同条款中的承包范围、质量标准、工期等要求充分考虑了人工、材料、机械、包装运输、管理、利润、规费、税金、以及合同有效期内材料、人工市场价格波动等各项因素的全部费用，并考虑验收及配合甲方组织业主开放日、保修等费用；</w:t>
            </w:r>
          </w:p>
        </w:tc>
      </w:tr>
      <w:tr w14:paraId="2BAA0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9、清单各项规格尺寸见各清单明细、图纸等，石材厚度、长宽、背栓孔的孔深、平整度、不允许有偏差；</w:t>
            </w:r>
          </w:p>
        </w:tc>
      </w:tr>
      <w:tr w14:paraId="5479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09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石材按照现场排版图预先排版并编号，按照排版图对所加工石材统一包装统一打包（石材建议带护角），需保证运送到现场的石材满足甲方要求，缺角、破损及不满足要求的石材不予接受并退回重新制送；如具体下单时根据图纸确认材质、面层肌理（荔枝面/光面等）、倒角和LOGO；</w:t>
            </w:r>
          </w:p>
        </w:tc>
      </w:tr>
      <w:tr w14:paraId="6F56C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64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11、所有的石材阳角大小块拼接都需石材厂家按图加工、开孔、并配套提供内置L型刚性材料加强连接、背栓转角连接件，保证石材的阳角牢固不破损。</w:t>
            </w:r>
          </w:p>
        </w:tc>
      </w:tr>
      <w:tr w14:paraId="3A07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33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12、乙方必须开具正规的增值税专用发票。如果乙方不能提供增值税专用发票、或不能提供与所对应清单中增值税税率一致的增值税专用发票，由此造成甲方增加的税金全部由乙方承担；</w:t>
            </w:r>
          </w:p>
        </w:tc>
      </w:tr>
      <w:tr w14:paraId="5B4BA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F0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投标人需谨慎、客观对待每一项清单的各项价格填报，对于最后中标单位，甲方有权利根据合理有据的依据对投标方的不平衡报价在总价不变的前提下进行调整，同时如果发生后期正式预算工程量（非甲方原因）发生大的变化，中标单位不得以任何借口或认为报价错误而拒绝履行或部分履行，同时也不得以任何理由否认甲方调整的不平衡报价；</w:t>
            </w:r>
          </w:p>
        </w:tc>
      </w:tr>
      <w:tr w14:paraId="354D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62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14、若招标清单的回标报价中存在漏报价格，则视为漏项的相关费用已包含在其他回标报价之中；</w:t>
            </w:r>
          </w:p>
        </w:tc>
      </w:tr>
      <w:tr w14:paraId="719C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62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15、投标人不得对招标文件进行任何实质性修改，一切以招标人发布的招标文件为准；</w:t>
            </w:r>
          </w:p>
        </w:tc>
      </w:tr>
      <w:tr w14:paraId="426E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F7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16、现场需做实体样板，对样板房、示范单位等进行少量供货，或维保期内的少量更换等，供应综合单价仍按清单中的单价执行。</w:t>
            </w:r>
          </w:p>
        </w:tc>
      </w:tr>
      <w:tr w14:paraId="61BF5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DDD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17、本工程所有单价不因政府调价性文件、市场价格波动等因素进行调整，请投标单位将价格波动因素考虑至各项综合单价风险费中，结算时均不做调整；</w:t>
            </w:r>
          </w:p>
        </w:tc>
      </w:tr>
      <w:tr w14:paraId="1F529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27C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18、根据图纸设计说明：本工程石材采用30mm石材(有效厚度不小于30mm厚)；</w:t>
            </w:r>
          </w:p>
        </w:tc>
      </w:tr>
      <w:tr w14:paraId="3CF1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F7B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19、本项目石材为单面荔枝面。</w:t>
            </w:r>
          </w:p>
        </w:tc>
      </w:tr>
      <w:tr w14:paraId="0004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0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FBA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注：本页不得删除,将作为合同清单的有效组成部分。</w:t>
            </w:r>
          </w:p>
        </w:tc>
      </w:tr>
    </w:tbl>
    <w:p w14:paraId="65AFA33B">
      <w:pPr>
        <w:pStyle w:val="4"/>
        <w:rPr>
          <w:rFonts w:hint="eastAsia" w:ascii="宋体" w:hAnsi="宋体" w:cs="宋体"/>
          <w:b/>
          <w:color w:val="auto"/>
          <w:sz w:val="24"/>
          <w:highlight w:val="none"/>
          <w:lang w:val="en-US" w:eastAsia="zh-CN"/>
        </w:rPr>
      </w:pPr>
    </w:p>
    <w:tbl>
      <w:tblPr>
        <w:tblStyle w:val="21"/>
        <w:tblW w:w="106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1118"/>
        <w:gridCol w:w="720"/>
        <w:gridCol w:w="3868"/>
        <w:gridCol w:w="530"/>
        <w:gridCol w:w="867"/>
        <w:gridCol w:w="1059"/>
        <w:gridCol w:w="1235"/>
        <w:gridCol w:w="603"/>
      </w:tblGrid>
      <w:tr w14:paraId="777B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7AFF5">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CFC7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5FC4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清单名称</w:t>
            </w:r>
          </w:p>
        </w:tc>
        <w:tc>
          <w:tcPr>
            <w:tcW w:w="3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A87C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清单特征</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732C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6AB7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93B4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综合单价（元）</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B582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综合合价（元）</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F7E5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备注</w:t>
            </w:r>
          </w:p>
        </w:tc>
      </w:tr>
      <w:tr w14:paraId="51B4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5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F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WB011209001001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67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石材幕墙</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80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1、石材品种、规格、颜色：30厚米色花岗岩石材(6面反碱处理)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2、勒角、柱脚等局部造型和拼接处的石材加厚及异型切割加工等综合考虑在报价中，中标后不予调整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3、施工前需选样、打样并经发包人认可，如需自行深化，其所产生的一切费用综合考虑在报价中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4、其它：未尽事宜具体详见设计、图集、设计补充说明、招标文件、政府相关文件、规范等其他资料,满足验收要求</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23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2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7905.59</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4C5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6B8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950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2D6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4F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29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WB011209001002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83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石材幕墙</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1C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1、石材品种、规格、颜色：30厚灰色花岗岩石材(6面反碱处理)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2、勒角、柱脚等局部造型和拼接处的石材加厚及异型切割加工等综合考虑在报价中，中标后不予调整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3、施工前需选样、打样并经发包人认可，如需自行深化，其所产生的一切费用综合考虑在报价中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4、其它：未尽事宜具体详见设计、图集、设计补充说明、招标文件、政府相关文件、规范等其他资料,满足验收要求</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9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B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635.96</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B73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EF5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0A8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69BB9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9C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总价（元）</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46085">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11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CF5F4">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bl>
    <w:p w14:paraId="30905CB5">
      <w:pPr>
        <w:pStyle w:val="8"/>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1.上述费用包括货物的原材料、生产、包装、运输、保险、人工费、卸车费(卸货到甲方指走地点)、利润、税费等相关费用。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621B7C68">
      <w:pPr>
        <w:bidi w:val="0"/>
        <w:rPr>
          <w:rFonts w:hint="eastAsia"/>
          <w:color w:val="auto"/>
          <w:highlight w:val="none"/>
          <w:lang w:val="en-US" w:eastAsia="zh-CN"/>
        </w:rPr>
      </w:pPr>
    </w:p>
    <w:p w14:paraId="3D82E133">
      <w:pPr>
        <w:bidi w:val="0"/>
        <w:rPr>
          <w:rFonts w:hint="eastAsia"/>
          <w:color w:val="auto"/>
          <w:highlight w:val="none"/>
          <w:lang w:val="en-US" w:eastAsia="zh-CN"/>
        </w:rPr>
      </w:pPr>
    </w:p>
    <w:p w14:paraId="31AE0F03">
      <w:pPr>
        <w:bidi w:val="0"/>
        <w:rPr>
          <w:rFonts w:hint="eastAsia"/>
          <w:color w:val="auto"/>
          <w:highlight w:val="none"/>
          <w:lang w:val="en-US" w:eastAsia="zh-CN"/>
        </w:rPr>
      </w:pPr>
    </w:p>
    <w:p w14:paraId="7768D7FB">
      <w:pPr>
        <w:bidi w:val="0"/>
        <w:rPr>
          <w:rFonts w:hint="eastAsia"/>
          <w:color w:val="auto"/>
          <w:highlight w:val="none"/>
          <w:lang w:val="en-US" w:eastAsia="zh-CN"/>
        </w:rPr>
      </w:pPr>
    </w:p>
    <w:p w14:paraId="3624D419">
      <w:pPr>
        <w:bidi w:val="0"/>
        <w:rPr>
          <w:rFonts w:hint="eastAsia"/>
          <w:color w:val="auto"/>
          <w:highlight w:val="none"/>
          <w:lang w:val="en-US" w:eastAsia="zh-CN"/>
        </w:rPr>
      </w:pPr>
    </w:p>
    <w:p w14:paraId="1CA144A5">
      <w:pPr>
        <w:bidi w:val="0"/>
        <w:rPr>
          <w:rFonts w:hint="eastAsia"/>
          <w:color w:val="auto"/>
          <w:highlight w:val="none"/>
          <w:lang w:val="en-US" w:eastAsia="zh-CN"/>
        </w:rPr>
      </w:pPr>
    </w:p>
    <w:p w14:paraId="5898F86C">
      <w:pPr>
        <w:bidi w:val="0"/>
        <w:rPr>
          <w:rFonts w:hint="eastAsia"/>
          <w:color w:val="auto"/>
          <w:highlight w:val="none"/>
          <w:lang w:val="en-US" w:eastAsia="zh-CN"/>
        </w:rPr>
      </w:pPr>
    </w:p>
    <w:p w14:paraId="32051DD8">
      <w:pPr>
        <w:bidi w:val="0"/>
        <w:rPr>
          <w:rFonts w:hint="eastAsia"/>
          <w:color w:val="auto"/>
          <w:highlight w:val="none"/>
          <w:lang w:val="en-US" w:eastAsia="zh-CN"/>
        </w:rPr>
      </w:pPr>
      <w:r>
        <w:rPr>
          <w:rFonts w:hint="eastAsia"/>
          <w:color w:val="auto"/>
          <w:highlight w:val="none"/>
          <w:lang w:val="en-US" w:eastAsia="zh-CN"/>
        </w:rPr>
        <w:br w:type="textWrapping"/>
      </w:r>
    </w:p>
    <w:p w14:paraId="79E129CA">
      <w:pPr>
        <w:pStyle w:val="4"/>
        <w:rPr>
          <w:rFonts w:hint="eastAsia"/>
          <w:color w:val="auto"/>
          <w:highlight w:val="none"/>
          <w:lang w:val="en-US" w:eastAsia="zh-CN"/>
        </w:rPr>
      </w:pPr>
    </w:p>
    <w:p w14:paraId="4AF01AED">
      <w:pPr>
        <w:rPr>
          <w:rFonts w:hint="eastAsia"/>
          <w:color w:val="auto"/>
          <w:highlight w:val="none"/>
          <w:lang w:val="en-US" w:eastAsia="zh-CN"/>
        </w:rPr>
      </w:pPr>
    </w:p>
    <w:p w14:paraId="34EE8224">
      <w:pPr>
        <w:pStyle w:val="4"/>
        <w:rPr>
          <w:rFonts w:hint="eastAsia"/>
          <w:color w:val="auto"/>
          <w:highlight w:val="none"/>
          <w:lang w:val="en-US" w:eastAsia="zh-CN"/>
        </w:rPr>
      </w:pPr>
    </w:p>
    <w:p w14:paraId="4E2F0386">
      <w:pPr>
        <w:rPr>
          <w:rFonts w:hint="eastAsia"/>
          <w:color w:val="auto"/>
          <w:highlight w:val="none"/>
          <w:lang w:val="en-US" w:eastAsia="zh-CN"/>
        </w:rPr>
      </w:pPr>
    </w:p>
    <w:p w14:paraId="1FB4F1B0">
      <w:pPr>
        <w:pStyle w:val="4"/>
        <w:rPr>
          <w:rFonts w:hint="eastAsia"/>
          <w:color w:val="auto"/>
          <w:highlight w:val="none"/>
          <w:lang w:val="en-US" w:eastAsia="zh-CN"/>
        </w:rPr>
      </w:pPr>
    </w:p>
    <w:p w14:paraId="3BF26181">
      <w:pPr>
        <w:rPr>
          <w:rFonts w:hint="eastAsia"/>
          <w:color w:val="auto"/>
          <w:highlight w:val="none"/>
          <w:lang w:val="en-US" w:eastAsia="zh-CN"/>
        </w:rPr>
      </w:pPr>
    </w:p>
    <w:p w14:paraId="6B0E605C">
      <w:pPr>
        <w:pStyle w:val="4"/>
        <w:rPr>
          <w:rFonts w:hint="eastAsia"/>
          <w:color w:val="auto"/>
          <w:highlight w:val="none"/>
          <w:lang w:val="en-US" w:eastAsia="zh-CN"/>
        </w:rPr>
      </w:pPr>
    </w:p>
    <w:p w14:paraId="125197B1">
      <w:pPr>
        <w:rPr>
          <w:rFonts w:hint="eastAsia"/>
          <w:color w:val="auto"/>
          <w:highlight w:val="none"/>
          <w:lang w:val="en-US" w:eastAsia="zh-CN"/>
        </w:rPr>
      </w:pPr>
    </w:p>
    <w:p w14:paraId="3C65D5C0">
      <w:pPr>
        <w:pStyle w:val="4"/>
        <w:rPr>
          <w:rFonts w:hint="eastAsia"/>
          <w:color w:val="auto"/>
          <w:highlight w:val="none"/>
          <w:lang w:val="en-US" w:eastAsia="zh-CN"/>
        </w:rPr>
      </w:pPr>
    </w:p>
    <w:p w14:paraId="5B4B5D96">
      <w:pPr>
        <w:rPr>
          <w:rFonts w:hint="eastAsia"/>
          <w:color w:val="auto"/>
          <w:highlight w:val="none"/>
          <w:lang w:val="en-US" w:eastAsia="zh-CN"/>
        </w:rPr>
      </w:pPr>
    </w:p>
    <w:p w14:paraId="3214BF8B">
      <w:pPr>
        <w:pStyle w:val="4"/>
        <w:rPr>
          <w:rFonts w:hint="eastAsia"/>
          <w:color w:val="auto"/>
          <w:highlight w:val="none"/>
          <w:lang w:val="en-US" w:eastAsia="zh-CN"/>
        </w:rPr>
      </w:pPr>
    </w:p>
    <w:p w14:paraId="5835E010">
      <w:pPr>
        <w:rPr>
          <w:rFonts w:hint="eastAsia"/>
          <w:color w:val="auto"/>
          <w:highlight w:val="none"/>
          <w:lang w:val="en-US" w:eastAsia="zh-CN"/>
        </w:rPr>
      </w:pPr>
    </w:p>
    <w:p w14:paraId="1401EB7F">
      <w:pPr>
        <w:pStyle w:val="4"/>
        <w:rPr>
          <w:rFonts w:hint="eastAsia"/>
          <w:lang w:val="en-US" w:eastAsia="zh-CN"/>
        </w:rPr>
      </w:pPr>
    </w:p>
    <w:p w14:paraId="32999A66">
      <w:pPr>
        <w:bidi w:val="0"/>
        <w:rPr>
          <w:rFonts w:hint="eastAsia"/>
          <w:color w:val="auto"/>
          <w:highlight w:val="none"/>
          <w:lang w:val="en-US" w:eastAsia="zh-CN"/>
        </w:rPr>
      </w:pPr>
    </w:p>
    <w:p w14:paraId="0C026B4F">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lang w:val="en-US" w:eastAsia="zh-CN"/>
        </w:rPr>
      </w:pPr>
    </w:p>
    <w:p w14:paraId="7A209A64">
      <w:pPr>
        <w:rPr>
          <w:rFonts w:hint="eastAsia"/>
          <w:color w:val="auto"/>
          <w:highlight w:val="none"/>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67" w:name="_Toc18253"/>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7"/>
    </w:p>
    <w:p w14:paraId="09D6E9D9">
      <w:pPr>
        <w:pStyle w:val="4"/>
        <w:rPr>
          <w:rFonts w:hint="eastAsia" w:ascii="方正小标宋简体" w:hAnsi="方正小标宋简体" w:eastAsia="方正小标宋简体" w:cs="方正小标宋简体"/>
          <w:color w:val="auto"/>
          <w:kern w:val="2"/>
          <w:sz w:val="44"/>
          <w:szCs w:val="44"/>
          <w:highlight w:val="none"/>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8"/>
        <w:rPr>
          <w:rFonts w:hint="eastAsia" w:ascii="方正小标宋简体" w:hAnsi="方正小标宋简体" w:eastAsia="方正小标宋简体" w:cs="方正小标宋简体"/>
          <w:color w:val="auto"/>
          <w:kern w:val="2"/>
          <w:sz w:val="44"/>
          <w:szCs w:val="44"/>
          <w:highlight w:val="none"/>
          <w:u w:val="single"/>
        </w:rPr>
      </w:pPr>
    </w:p>
    <w:p w14:paraId="3514E7CF">
      <w:pPr>
        <w:pStyle w:val="13"/>
        <w:rPr>
          <w:rFonts w:hint="eastAsia" w:ascii="方正小标宋简体" w:hAnsi="方正小标宋简体" w:eastAsia="方正小标宋简体" w:cs="方正小标宋简体"/>
          <w:color w:val="auto"/>
          <w:kern w:val="2"/>
          <w:sz w:val="44"/>
          <w:szCs w:val="44"/>
          <w:highlight w:val="none"/>
          <w:u w:val="single"/>
        </w:rPr>
      </w:pPr>
    </w:p>
    <w:p w14:paraId="367D7D36">
      <w:pPr>
        <w:pStyle w:val="14"/>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8"/>
        <w:rPr>
          <w:rFonts w:hint="eastAsia" w:ascii="方正小标宋简体" w:hAnsi="方正小标宋简体" w:eastAsia="方正小标宋简体" w:cs="方正小标宋简体"/>
          <w:color w:val="auto"/>
          <w:kern w:val="2"/>
          <w:sz w:val="44"/>
          <w:szCs w:val="44"/>
          <w:highlight w:val="none"/>
          <w:u w:val="single"/>
        </w:rPr>
      </w:pPr>
    </w:p>
    <w:p w14:paraId="01B234F1">
      <w:pPr>
        <w:pStyle w:val="13"/>
        <w:rPr>
          <w:rFonts w:hint="eastAsia" w:ascii="方正小标宋简体" w:hAnsi="方正小标宋简体" w:eastAsia="方正小标宋简体" w:cs="方正小标宋简体"/>
          <w:color w:val="auto"/>
          <w:kern w:val="2"/>
          <w:sz w:val="44"/>
          <w:szCs w:val="44"/>
          <w:highlight w:val="none"/>
          <w:u w:val="single"/>
        </w:rPr>
      </w:pPr>
    </w:p>
    <w:p w14:paraId="7646EDF7">
      <w:pPr>
        <w:pStyle w:val="14"/>
        <w:rPr>
          <w:rFonts w:hint="eastAsia" w:ascii="方正小标宋简体" w:hAnsi="方正小标宋简体" w:eastAsia="方正小标宋简体" w:cs="方正小标宋简体"/>
          <w:color w:val="auto"/>
          <w:kern w:val="2"/>
          <w:sz w:val="44"/>
          <w:szCs w:val="44"/>
          <w:highlight w:val="none"/>
          <w:u w:val="single"/>
        </w:rPr>
      </w:pPr>
    </w:p>
    <w:p w14:paraId="7486429C">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6FD6637F">
      <w:pPr>
        <w:jc w:val="center"/>
        <w:outlineLvl w:val="9"/>
        <w:rPr>
          <w:rFonts w:ascii="Times New Roman" w:hAnsi="Times New Roman" w:eastAsia="黑体" w:cs="Times New Roman"/>
          <w:color w:val="auto"/>
          <w:sz w:val="50"/>
          <w:szCs w:val="50"/>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(项目名称)</w:t>
      </w:r>
    </w:p>
    <w:p w14:paraId="1E6F5305">
      <w:pPr>
        <w:jc w:val="center"/>
        <w:outlineLvl w:val="9"/>
        <w:rPr>
          <w:rFonts w:ascii="Times New Roman" w:hAnsi="Times New Roman" w:eastAsia="黑体" w:cs="Times New Roman"/>
          <w:color w:val="auto"/>
          <w:sz w:val="50"/>
          <w:szCs w:val="50"/>
          <w:highlight w:val="none"/>
        </w:rPr>
      </w:pPr>
    </w:p>
    <w:p w14:paraId="17C23FA6">
      <w:pPr>
        <w:jc w:val="center"/>
        <w:outlineLvl w:val="0"/>
        <w:rPr>
          <w:rFonts w:ascii="Times New Roman" w:hAnsi="Times New Roman" w:eastAsia="黑体" w:cs="Times New Roman"/>
          <w:color w:val="auto"/>
          <w:sz w:val="50"/>
          <w:szCs w:val="50"/>
          <w:highlight w:val="none"/>
        </w:rPr>
      </w:pPr>
      <w:bookmarkStart w:id="69" w:name="_Toc15955"/>
      <w:bookmarkStart w:id="70" w:name="_Toc11988"/>
      <w:r>
        <w:rPr>
          <w:rFonts w:ascii="Times New Roman" w:hAnsi="Times New Roman" w:eastAsia="黑体" w:cs="Times New Roman"/>
          <w:color w:val="auto"/>
          <w:sz w:val="50"/>
          <w:szCs w:val="50"/>
          <w:highlight w:val="none"/>
        </w:rPr>
        <w:t>响  应  文  件</w:t>
      </w:r>
      <w:bookmarkEnd w:id="69"/>
      <w:bookmarkEnd w:id="70"/>
    </w:p>
    <w:p w14:paraId="7EEE89EB">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1" w:name="_Toc5520_WPSOffice_Level2"/>
      <w:bookmarkStart w:id="72" w:name="_Toc25232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1"/>
      <w:bookmarkEnd w:id="72"/>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73" w:name="_Toc20076_WPSOffice_Level2"/>
      <w:bookmarkStart w:id="74" w:name="_Toc31577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73"/>
      <w:bookmarkEnd w:id="74"/>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2"/>
        <w:numPr>
          <w:ilvl w:val="0"/>
          <w:numId w:val="0"/>
        </w:numPr>
        <w:rPr>
          <w:rFonts w:hint="eastAsia" w:ascii="黑体" w:hAnsi="黑体" w:eastAsia="黑体" w:cs="黑体"/>
          <w:b/>
          <w:bCs/>
          <w:color w:val="auto"/>
          <w:sz w:val="28"/>
          <w:szCs w:val="28"/>
          <w:highlight w:val="none"/>
        </w:rPr>
      </w:pPr>
      <w:bookmarkStart w:id="75" w:name="_Toc888"/>
      <w:bookmarkStart w:id="76" w:name="_Toc2484"/>
      <w:r>
        <w:rPr>
          <w:rFonts w:hint="eastAsia" w:ascii="黑体" w:hAnsi="黑体" w:eastAsia="黑体" w:cs="黑体"/>
          <w:b/>
          <w:bCs/>
          <w:color w:val="auto"/>
          <w:sz w:val="28"/>
          <w:szCs w:val="28"/>
          <w:highlight w:val="none"/>
        </w:rPr>
        <w:t>一、响应函（不含报价）</w:t>
      </w:r>
      <w:bookmarkEnd w:id="68"/>
      <w:bookmarkEnd w:id="75"/>
      <w:bookmarkEnd w:id="76"/>
    </w:p>
    <w:p w14:paraId="49B3464C">
      <w:pPr>
        <w:pStyle w:val="8"/>
        <w:tabs>
          <w:tab w:val="left" w:pos="972"/>
        </w:tabs>
        <w:spacing w:before="77" w:beforeLines="0" w:afterLines="0"/>
        <w:rPr>
          <w:rFonts w:hint="eastAsia" w:ascii="宋体" w:hAnsi="宋体" w:cs="宋体"/>
          <w:color w:val="auto"/>
          <w:sz w:val="24"/>
          <w:szCs w:val="24"/>
          <w:highlight w:val="none"/>
        </w:rPr>
      </w:pPr>
      <w:r>
        <w:rPr>
          <w:rFonts w:hint="eastAsia" w:ascii="宋体" w:hAnsi="宋体" w:cs="宋体" w:eastAsiaTheme="minorEastAsia"/>
          <w:color w:val="auto"/>
          <w:kern w:val="2"/>
          <w:sz w:val="24"/>
          <w:szCs w:val="24"/>
          <w:highlight w:val="none"/>
          <w:u w:val="single"/>
          <w:lang w:val="en-US" w:eastAsia="zh-CN" w:bidi="ar-SA"/>
        </w:rPr>
        <w:t>安徽</w:t>
      </w:r>
      <w:r>
        <w:rPr>
          <w:rFonts w:hint="eastAsia" w:ascii="宋体" w:hAnsi="宋体" w:cs="宋体"/>
          <w:color w:val="auto"/>
          <w:kern w:val="2"/>
          <w:sz w:val="24"/>
          <w:szCs w:val="24"/>
          <w:highlight w:val="none"/>
          <w:u w:val="single"/>
          <w:lang w:val="en-US" w:eastAsia="zh-CN" w:bidi="ar-SA"/>
        </w:rPr>
        <w:t>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（项目名称）</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39"/>
        <w:numPr>
          <w:ilvl w:val="0"/>
          <w:numId w:val="3"/>
        </w:numPr>
        <w:tabs>
          <w:tab w:val="left" w:pos="973"/>
        </w:tabs>
        <w:spacing w:beforeLines="0" w:afterLines="0" w:line="480" w:lineRule="exact"/>
        <w:ind w:left="0" w:firstLine="480" w:firstLineChars="200"/>
        <w:rPr>
          <w:rFonts w:hint="eastAsia"/>
          <w:color w:val="auto"/>
          <w:sz w:val="24"/>
          <w:szCs w:val="24"/>
          <w:highlight w:val="none"/>
        </w:rPr>
      </w:pP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DED744C">
      <w:pPr>
        <w:pStyle w:val="39"/>
        <w:tabs>
          <w:tab w:val="left" w:pos="973"/>
        </w:tabs>
        <w:spacing w:beforeLines="0" w:afterLines="0" w:line="480" w:lineRule="exact"/>
        <w:ind w:left="0" w:firstLine="480" w:firstLineChars="200"/>
        <w:rPr>
          <w:rFonts w:hint="eastAsia"/>
          <w:color w:val="auto"/>
          <w:sz w:val="24"/>
          <w:szCs w:val="24"/>
          <w:highlight w:val="none"/>
        </w:rPr>
      </w:pPr>
      <w:r>
        <w:rPr>
          <w:rFonts w:hint="eastAsia"/>
          <w:color w:val="auto"/>
          <w:sz w:val="24"/>
          <w:szCs w:val="24"/>
          <w:highlight w:val="none"/>
          <w:lang w:val="en-US"/>
        </w:rPr>
        <w:t>3</w:t>
      </w:r>
      <w:r>
        <w:rPr>
          <w:rFonts w:hint="eastAsia"/>
          <w:color w:val="auto"/>
          <w:sz w:val="24"/>
          <w:szCs w:val="24"/>
          <w:highlight w:val="none"/>
        </w:rPr>
        <w:t>.我方将与本响应函一起提交响应保证金，且承诺响应保证金转出账户真实有效。</w:t>
      </w:r>
    </w:p>
    <w:p w14:paraId="42E57F11">
      <w:pPr>
        <w:pStyle w:val="39"/>
        <w:tabs>
          <w:tab w:val="left" w:pos="973"/>
        </w:tabs>
        <w:spacing w:beforeLines="0" w:afterLines="0" w:line="480" w:lineRule="exact"/>
        <w:ind w:left="560" w:firstLine="0"/>
        <w:rPr>
          <w:rFonts w:hint="eastAsia"/>
          <w:color w:val="auto"/>
          <w:sz w:val="24"/>
          <w:szCs w:val="24"/>
          <w:highlight w:val="none"/>
        </w:rPr>
      </w:pPr>
      <w:r>
        <w:rPr>
          <w:rFonts w:hint="eastAsia"/>
          <w:color w:val="auto"/>
          <w:sz w:val="24"/>
          <w:szCs w:val="24"/>
          <w:highlight w:val="none"/>
          <w:lang w:val="en-US"/>
        </w:rPr>
        <w:t>4</w:t>
      </w:r>
      <w:r>
        <w:rPr>
          <w:rFonts w:hint="eastAsia"/>
          <w:color w:val="auto"/>
          <w:sz w:val="24"/>
          <w:szCs w:val="24"/>
          <w:highlight w:val="none"/>
        </w:rPr>
        <w:t>.如我方</w:t>
      </w:r>
      <w:r>
        <w:rPr>
          <w:rFonts w:hint="eastAsia"/>
          <w:color w:val="auto"/>
          <w:sz w:val="24"/>
          <w:szCs w:val="24"/>
          <w:highlight w:val="none"/>
          <w:lang w:val="en-US"/>
        </w:rPr>
        <w:t>成交</w:t>
      </w:r>
      <w:r>
        <w:rPr>
          <w:rFonts w:hint="eastAsia"/>
          <w:color w:val="auto"/>
          <w:sz w:val="24"/>
          <w:szCs w:val="24"/>
          <w:highlight w:val="none"/>
        </w:rPr>
        <w:t>，我方承诺：</w:t>
      </w:r>
    </w:p>
    <w:p w14:paraId="1B113C16">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rPr>
        <w:t>5.</w:t>
      </w:r>
      <w:r>
        <w:rPr>
          <w:rFonts w:hint="eastAsia"/>
          <w:color w:val="auto"/>
          <w:sz w:val="24"/>
          <w:szCs w:val="24"/>
          <w:highlight w:val="none"/>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rPr>
        <w:t xml:space="preserve">7.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4771CF22">
      <w:pPr>
        <w:pStyle w:val="13"/>
        <w:spacing w:beforeLines="0" w:afterLines="0"/>
        <w:rPr>
          <w:rFonts w:hint="eastAsia"/>
          <w:color w:val="auto"/>
          <w:sz w:val="18"/>
          <w:szCs w:val="24"/>
          <w:highlight w:val="none"/>
        </w:rPr>
      </w:pPr>
    </w:p>
    <w:p w14:paraId="4368A36F">
      <w:pPr>
        <w:pStyle w:val="14"/>
        <w:spacing w:beforeLines="0" w:afterLines="0"/>
        <w:rPr>
          <w:rFonts w:hint="eastAsia" w:eastAsia="宋体"/>
          <w:color w:val="auto"/>
          <w:sz w:val="21"/>
          <w:szCs w:val="21"/>
          <w:highlight w:val="none"/>
        </w:rPr>
      </w:pPr>
    </w:p>
    <w:p w14:paraId="24B7FA17">
      <w:pPr>
        <w:rPr>
          <w:rFonts w:hint="eastAsia"/>
          <w:color w:val="auto"/>
          <w:highlight w:val="none"/>
        </w:rPr>
      </w:pPr>
    </w:p>
    <w:p w14:paraId="76B08196">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77" w:name="_Hlk122530524"/>
      <w:r>
        <w:rPr>
          <w:rFonts w:hint="eastAsia" w:ascii="宋体" w:hAnsi="宋体" w:cs="宋体"/>
          <w:color w:val="auto"/>
          <w:sz w:val="24"/>
          <w:szCs w:val="24"/>
          <w:highlight w:val="none"/>
          <w:u w:val="single"/>
        </w:rPr>
        <w:t xml:space="preserve">                         </w:t>
      </w:r>
      <w:bookmarkEnd w:id="77"/>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8"/>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CC4F89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lang w:val="en-US" w:eastAsia="zh-CN" w:bidi="ar"/>
        </w:rPr>
      </w:pPr>
    </w:p>
    <w:p w14:paraId="7B607BE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lang w:val="en-US" w:eastAsia="zh-CN" w:bidi="ar"/>
        </w:rPr>
      </w:pPr>
    </w:p>
    <w:p w14:paraId="6D25C3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lang w:val="en-US" w:eastAsia="zh-CN" w:bidi="ar"/>
        </w:rPr>
      </w:pPr>
    </w:p>
    <w:p w14:paraId="0436391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lang w:val="en-US" w:eastAsia="zh-CN" w:bidi="ar"/>
        </w:rPr>
      </w:pPr>
    </w:p>
    <w:p w14:paraId="65BE7F37">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lang w:val="en-US" w:eastAsia="zh-CN" w:bidi="ar"/>
        </w:rPr>
      </w:pPr>
    </w:p>
    <w:p w14:paraId="6615FADB">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lang w:val="en-US" w:eastAsia="zh-CN" w:bidi="ar"/>
        </w:rPr>
      </w:pPr>
    </w:p>
    <w:p w14:paraId="5E4FA79A">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lang w:val="en-US" w:eastAsia="zh-CN" w:bidi="ar"/>
        </w:rPr>
      </w:pPr>
    </w:p>
    <w:p w14:paraId="233328A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lang w:val="en-US" w:eastAsia="zh-CN" w:bidi="ar"/>
        </w:rPr>
      </w:pPr>
    </w:p>
    <w:p w14:paraId="23B4F16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lang w:val="en-US" w:eastAsia="zh-CN" w:bidi="ar"/>
        </w:rPr>
      </w:pPr>
    </w:p>
    <w:p w14:paraId="6366654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lang w:val="en-US" w:eastAsia="zh-CN" w:bidi="ar"/>
        </w:rPr>
      </w:pPr>
    </w:p>
    <w:p w14:paraId="7EBE60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lang w:val="en-US" w:eastAsia="zh-CN" w:bidi="ar"/>
        </w:rPr>
      </w:pPr>
    </w:p>
    <w:p w14:paraId="102190C0">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lang w:val="en-US" w:eastAsia="zh-CN" w:bidi="ar"/>
        </w:rPr>
      </w:pPr>
    </w:p>
    <w:p w14:paraId="412F086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lang w:val="en-US" w:eastAsia="zh-CN" w:bidi="ar"/>
        </w:rPr>
      </w:pPr>
    </w:p>
    <w:p w14:paraId="434A8853">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lang w:val="en-US" w:eastAsia="zh-CN" w:bidi="ar"/>
        </w:rPr>
      </w:pPr>
    </w:p>
    <w:p w14:paraId="6B98FC6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lang w:val="en-US" w:eastAsia="zh-CN" w:bidi="ar"/>
        </w:rPr>
      </w:pPr>
    </w:p>
    <w:p w14:paraId="23A946E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lang w:val="en-US" w:eastAsia="zh-CN" w:bidi="ar"/>
        </w:rPr>
      </w:pP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46CAF1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确认封样产品承诺书</w:t>
      </w:r>
    </w:p>
    <w:p w14:paraId="129C2DC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sz w:val="44"/>
          <w:szCs w:val="44"/>
          <w:lang w:val="en-US" w:eastAsia="zh-CN"/>
        </w:rPr>
      </w:pPr>
    </w:p>
    <w:p w14:paraId="494CBE19">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安徽省经工物资有限公司</w:t>
      </w:r>
      <w:r>
        <w:rPr>
          <w:rFonts w:hint="eastAsia" w:asciiTheme="minorEastAsia" w:hAnsiTheme="minorEastAsia" w:eastAsiaTheme="minorEastAsia" w:cstheme="minorEastAsia"/>
          <w:sz w:val="24"/>
          <w:szCs w:val="24"/>
        </w:rPr>
        <w:t>：</w:t>
      </w:r>
    </w:p>
    <w:p w14:paraId="0C5469ED">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1.我方</w:t>
      </w:r>
      <w:r>
        <w:rPr>
          <w:rFonts w:hint="eastAsia" w:asciiTheme="minorEastAsia" w:hAnsiTheme="minorEastAsia" w:eastAsiaTheme="minorEastAsia" w:cstheme="minorEastAsia"/>
          <w:sz w:val="24"/>
          <w:szCs w:val="24"/>
        </w:rPr>
        <w:t>确认并充分知悉</w:t>
      </w:r>
      <w:r>
        <w:rPr>
          <w:rFonts w:hint="eastAsia" w:asciiTheme="minorEastAsia" w:hAnsiTheme="minorEastAsia" w:eastAsiaTheme="minorEastAsia" w:cstheme="minorEastAsia"/>
          <w:sz w:val="24"/>
          <w:szCs w:val="24"/>
          <w:lang w:val="en-US" w:eastAsia="zh-CN"/>
        </w:rPr>
        <w:t>了</w:t>
      </w:r>
      <w:r>
        <w:rPr>
          <w:rFonts w:hint="eastAsia" w:asciiTheme="minorEastAsia" w:hAnsiTheme="minorEastAsia" w:eastAsiaTheme="minorEastAsia" w:cstheme="minorEastAsia"/>
          <w:strike w:val="0"/>
          <w:dstrike w:val="0"/>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(项目名称)采购人</w:t>
      </w:r>
      <w:r>
        <w:rPr>
          <w:rFonts w:hint="eastAsia" w:asciiTheme="minorEastAsia" w:hAnsiTheme="minorEastAsia" w:eastAsiaTheme="minorEastAsia" w:cstheme="minorEastAsia"/>
          <w:sz w:val="24"/>
          <w:szCs w:val="24"/>
        </w:rPr>
        <w:t>提供的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样品</w:t>
      </w:r>
      <w:r>
        <w:rPr>
          <w:rFonts w:hint="eastAsia" w:asciiTheme="minorEastAsia" w:hAnsiTheme="minorEastAsia" w:eastAsiaTheme="minorEastAsia" w:cstheme="minorEastAsia"/>
          <w:sz w:val="24"/>
          <w:szCs w:val="24"/>
        </w:rPr>
        <w:t>规格、材质、尺寸、颜色、工艺等</w:t>
      </w:r>
      <w:r>
        <w:rPr>
          <w:rFonts w:hint="eastAsia" w:asciiTheme="minorEastAsia" w:hAnsiTheme="minorEastAsia" w:eastAsiaTheme="minorEastAsia" w:cstheme="minorEastAsia"/>
          <w:sz w:val="24"/>
          <w:szCs w:val="24"/>
          <w:lang w:val="en-US" w:eastAsia="zh-CN"/>
        </w:rPr>
        <w:t>要求</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包括但不限于以</w:t>
      </w:r>
      <w:r>
        <w:rPr>
          <w:rFonts w:hint="eastAsia" w:asciiTheme="minorEastAsia" w:hAnsiTheme="minorEastAsia" w:eastAsiaTheme="minorEastAsia" w:cstheme="minorEastAsia"/>
          <w:sz w:val="24"/>
          <w:szCs w:val="24"/>
          <w:lang w:val="en-US" w:eastAsia="zh-CN"/>
        </w:rPr>
        <w:t>上</w:t>
      </w:r>
      <w:r>
        <w:rPr>
          <w:rFonts w:hint="eastAsia" w:asciiTheme="minorEastAsia" w:hAnsiTheme="minorEastAsia" w:eastAsiaTheme="minorEastAsia" w:cstheme="minorEastAsia"/>
          <w:sz w:val="24"/>
          <w:szCs w:val="24"/>
        </w:rPr>
        <w:t>内容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并按样品要求报价</w:t>
      </w:r>
      <w:r>
        <w:rPr>
          <w:rFonts w:hint="eastAsia" w:asciiTheme="minorEastAsia" w:hAnsiTheme="minorEastAsia" w:eastAsiaTheme="minorEastAsia" w:cstheme="minorEastAsia"/>
          <w:sz w:val="24"/>
          <w:szCs w:val="24"/>
          <w:lang w:eastAsia="zh-CN"/>
        </w:rPr>
        <w:t>。</w:t>
      </w:r>
    </w:p>
    <w:p w14:paraId="5079553C">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2.如我方成交，我方将按采购人提供的样品要求进行送样封样，并</w:t>
      </w:r>
      <w:r>
        <w:rPr>
          <w:rFonts w:hint="eastAsia" w:asciiTheme="minorEastAsia" w:hAnsiTheme="minorEastAsia" w:eastAsiaTheme="minorEastAsia" w:cstheme="minorEastAsia"/>
          <w:sz w:val="24"/>
          <w:szCs w:val="24"/>
        </w:rPr>
        <w:t>承诺后续生产的所有产品符合</w:t>
      </w:r>
      <w:r>
        <w:rPr>
          <w:rFonts w:hint="eastAsia" w:asciiTheme="minorEastAsia" w:hAnsiTheme="minorEastAsia" w:eastAsiaTheme="minorEastAsia" w:cstheme="minorEastAsia"/>
          <w:sz w:val="24"/>
          <w:szCs w:val="24"/>
          <w:lang w:val="en-US" w:eastAsia="zh-CN"/>
        </w:rPr>
        <w:t>样品</w:t>
      </w:r>
      <w:r>
        <w:rPr>
          <w:rFonts w:hint="eastAsia" w:asciiTheme="minorEastAsia" w:hAnsiTheme="minorEastAsia" w:eastAsiaTheme="minorEastAsia" w:cstheme="minorEastAsia"/>
          <w:sz w:val="24"/>
          <w:szCs w:val="24"/>
        </w:rPr>
        <w:t>的质量标准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若送样封样不合格的，采购人有权取消我方成交候选人资格</w:t>
      </w:r>
      <w:r>
        <w:rPr>
          <w:rFonts w:hint="eastAsia" w:asciiTheme="minorEastAsia" w:hAnsiTheme="minorEastAsia" w:eastAsiaTheme="minorEastAsia" w:cstheme="minorEastAsia"/>
          <w:sz w:val="24"/>
          <w:szCs w:val="24"/>
        </w:rPr>
        <w:t>。</w:t>
      </w:r>
    </w:p>
    <w:p w14:paraId="5A65A3B0">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若因</w:t>
      </w:r>
      <w:r>
        <w:rPr>
          <w:rFonts w:hint="eastAsia" w:asciiTheme="minorEastAsia" w:hAnsiTheme="minorEastAsia" w:eastAsiaTheme="minorEastAsia" w:cstheme="minorEastAsia"/>
          <w:sz w:val="24"/>
          <w:szCs w:val="24"/>
          <w:lang w:val="en-US" w:eastAsia="zh-CN"/>
        </w:rPr>
        <w:t>我</w:t>
      </w:r>
      <w:r>
        <w:rPr>
          <w:rFonts w:hint="eastAsia" w:asciiTheme="minorEastAsia" w:hAnsiTheme="minorEastAsia" w:eastAsiaTheme="minorEastAsia" w:cstheme="minorEastAsia"/>
          <w:sz w:val="24"/>
          <w:szCs w:val="24"/>
        </w:rPr>
        <w:t>方原因导致</w:t>
      </w:r>
      <w:r>
        <w:rPr>
          <w:rFonts w:hint="eastAsia" w:asciiTheme="minorEastAsia" w:hAnsiTheme="minorEastAsia" w:eastAsiaTheme="minorEastAsia" w:cstheme="minorEastAsia"/>
          <w:sz w:val="24"/>
          <w:szCs w:val="24"/>
          <w:lang w:val="en-US" w:eastAsia="zh-CN"/>
        </w:rPr>
        <w:t>供应</w:t>
      </w:r>
      <w:r>
        <w:rPr>
          <w:rFonts w:hint="eastAsia" w:asciiTheme="minorEastAsia" w:hAnsiTheme="minorEastAsia" w:eastAsiaTheme="minorEastAsia" w:cstheme="minorEastAsia"/>
          <w:sz w:val="24"/>
          <w:szCs w:val="24"/>
        </w:rPr>
        <w:t>产品与封样不符，</w:t>
      </w:r>
      <w:r>
        <w:rPr>
          <w:rFonts w:hint="eastAsia" w:asciiTheme="minorEastAsia" w:hAnsiTheme="minorEastAsia" w:eastAsiaTheme="minorEastAsia" w:cstheme="minorEastAsia"/>
          <w:sz w:val="24"/>
          <w:szCs w:val="24"/>
          <w:lang w:val="en-US" w:eastAsia="zh-CN"/>
        </w:rPr>
        <w:t>我</w:t>
      </w:r>
      <w:r>
        <w:rPr>
          <w:rFonts w:hint="eastAsia" w:asciiTheme="minorEastAsia" w:hAnsiTheme="minorEastAsia" w:eastAsiaTheme="minorEastAsia" w:cstheme="minorEastAsia"/>
          <w:sz w:val="24"/>
          <w:szCs w:val="24"/>
        </w:rPr>
        <w:t>方免费返工、更换或退货，</w:t>
      </w:r>
      <w:r>
        <w:rPr>
          <w:rFonts w:hint="eastAsia" w:asciiTheme="minorEastAsia" w:hAnsiTheme="minorEastAsia" w:eastAsiaTheme="minorEastAsia" w:cstheme="minorEastAsia"/>
          <w:sz w:val="24"/>
          <w:szCs w:val="24"/>
          <w:lang w:val="en-US" w:eastAsia="zh-CN"/>
        </w:rPr>
        <w:t>并承担由此</w:t>
      </w:r>
      <w:r>
        <w:rPr>
          <w:rFonts w:hint="eastAsia" w:asciiTheme="minorEastAsia" w:hAnsiTheme="minorEastAsia" w:eastAsiaTheme="minorEastAsia" w:cstheme="minorEastAsia"/>
          <w:sz w:val="24"/>
          <w:szCs w:val="24"/>
        </w:rPr>
        <w:t>引发的</w:t>
      </w:r>
      <w:r>
        <w:rPr>
          <w:rFonts w:hint="eastAsia" w:asciiTheme="minorEastAsia" w:hAnsiTheme="minorEastAsia" w:eastAsiaTheme="minorEastAsia" w:cstheme="minorEastAsia"/>
          <w:sz w:val="24"/>
          <w:szCs w:val="24"/>
          <w:lang w:val="en-US" w:eastAsia="zh-CN"/>
        </w:rPr>
        <w:t>采购人全部</w:t>
      </w:r>
      <w:r>
        <w:rPr>
          <w:rFonts w:hint="eastAsia" w:asciiTheme="minorEastAsia" w:hAnsiTheme="minorEastAsia" w:eastAsiaTheme="minorEastAsia" w:cstheme="minorEastAsia"/>
          <w:sz w:val="24"/>
          <w:szCs w:val="24"/>
        </w:rPr>
        <w:t>损失</w:t>
      </w:r>
      <w:r>
        <w:rPr>
          <w:rFonts w:hint="eastAsia" w:asciiTheme="minorEastAsia" w:hAnsiTheme="minorEastAsia" w:eastAsiaTheme="minorEastAsia" w:cstheme="minorEastAsia"/>
          <w:sz w:val="24"/>
          <w:szCs w:val="24"/>
          <w:lang w:val="en-US" w:eastAsia="zh-CN"/>
        </w:rPr>
        <w:t>及</w:t>
      </w:r>
      <w:r>
        <w:rPr>
          <w:rFonts w:hint="eastAsia" w:asciiTheme="minorEastAsia" w:hAnsiTheme="minorEastAsia" w:eastAsiaTheme="minorEastAsia" w:cstheme="minorEastAsia"/>
          <w:sz w:val="24"/>
          <w:szCs w:val="24"/>
        </w:rPr>
        <w:t>赔偿款、罚款和向其他第三方承担的所有赔偿款项等。</w:t>
      </w:r>
    </w:p>
    <w:p w14:paraId="0CEC6D1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p>
    <w:p w14:paraId="2553E47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p>
    <w:p w14:paraId="10ADFC2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p>
    <w:p w14:paraId="3F3AFDB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p>
    <w:p w14:paraId="382055B8">
      <w:pPr>
        <w:keepNext w:val="0"/>
        <w:keepLines w:val="0"/>
        <w:pageBreakBefore w:val="0"/>
        <w:widowControl w:val="0"/>
        <w:kinsoku/>
        <w:wordWrap/>
        <w:overflowPunct/>
        <w:topLinePunct w:val="0"/>
        <w:autoSpaceDE/>
        <w:autoSpaceDN/>
        <w:bidi w:val="0"/>
        <w:adjustRightInd/>
        <w:snapToGrid/>
        <w:spacing w:line="520" w:lineRule="exact"/>
        <w:ind w:firstLine="4560" w:firstLineChars="19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    (盖单位章)</w:t>
      </w:r>
    </w:p>
    <w:p w14:paraId="1157699B">
      <w:pPr>
        <w:keepNext w:val="0"/>
        <w:keepLines w:val="0"/>
        <w:pageBreakBefore w:val="0"/>
        <w:widowControl w:val="0"/>
        <w:kinsoku/>
        <w:wordWrap/>
        <w:overflowPunct/>
        <w:topLinePunct w:val="0"/>
        <w:autoSpaceDE/>
        <w:autoSpaceDN/>
        <w:bidi w:val="0"/>
        <w:adjustRightInd/>
        <w:snapToGrid/>
        <w:spacing w:line="520" w:lineRule="exact"/>
        <w:ind w:left="2873" w:leftChars="1368" w:firstLine="0" w:firstLineChars="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法定代表人或委托代理人：   (签名)</w:t>
      </w:r>
    </w:p>
    <w:p w14:paraId="340054F6">
      <w:pPr>
        <w:keepNext w:val="0"/>
        <w:keepLines w:val="0"/>
        <w:pageBreakBefore w:val="0"/>
        <w:widowControl w:val="0"/>
        <w:kinsoku/>
        <w:wordWrap/>
        <w:overflowPunct/>
        <w:topLinePunct w:val="0"/>
        <w:autoSpaceDE/>
        <w:autoSpaceDN/>
        <w:bidi w:val="0"/>
        <w:adjustRightInd/>
        <w:snapToGrid/>
        <w:spacing w:line="520" w:lineRule="exact"/>
        <w:ind w:left="2873" w:leftChars="1368" w:firstLine="1680" w:firstLineChars="7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址：                                                                       </w:t>
      </w:r>
    </w:p>
    <w:p w14:paraId="3B630B99">
      <w:pPr>
        <w:pStyle w:val="20"/>
        <w:tabs>
          <w:tab w:val="left" w:pos="1078"/>
          <w:tab w:val="left" w:pos="1176"/>
          <w:tab w:val="left" w:pos="1638"/>
          <w:tab w:val="left" w:pos="3920"/>
          <w:tab w:val="left" w:pos="5670"/>
        </w:tabs>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月   日  </w:t>
      </w:r>
    </w:p>
    <w:p w14:paraId="1537911A">
      <w:pPr>
        <w:rPr>
          <w:rFonts w:hint="eastAsia" w:asciiTheme="minorEastAsia" w:hAnsiTheme="minorEastAsia" w:eastAsiaTheme="minorEastAsia" w:cstheme="minorEastAsia"/>
          <w:sz w:val="24"/>
          <w:szCs w:val="24"/>
        </w:rPr>
      </w:pPr>
    </w:p>
    <w:p w14:paraId="6CF2831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C53FF84">
      <w:pPr>
        <w:pStyle w:val="17"/>
        <w:keepNext w:val="0"/>
        <w:keepLines w:val="0"/>
        <w:widowControl w:val="0"/>
        <w:suppressLineNumbers w:val="0"/>
        <w:spacing w:before="0" w:beforeAutospacing="1" w:after="120" w:afterAutospacing="0"/>
        <w:ind w:left="0" w:right="0"/>
        <w:jc w:val="center"/>
        <w:rPr>
          <w:rFonts w:hint="default" w:ascii="黑体" w:hAnsi="黑体" w:eastAsia="黑体" w:cs="黑体"/>
          <w:b w:val="0"/>
          <w:bCs w:val="0"/>
          <w:color w:val="auto"/>
          <w:sz w:val="28"/>
          <w:szCs w:val="28"/>
          <w:highlight w:val="none"/>
        </w:rPr>
      </w:pPr>
      <w:bookmarkStart w:id="78" w:name="_Toc23378"/>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78"/>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79" w:name="_Toc19890"/>
      <w:bookmarkStart w:id="80" w:name="_Toc14119"/>
      <w:bookmarkStart w:id="81" w:name="_Toc24785"/>
      <w:r>
        <w:rPr>
          <w:rFonts w:hint="eastAsia" w:ascii="黑体" w:hAnsi="宋体" w:eastAsia="黑体" w:cs="黑体"/>
          <w:color w:val="auto"/>
          <w:kern w:val="2"/>
          <w:sz w:val="28"/>
          <w:szCs w:val="28"/>
          <w:highlight w:val="none"/>
          <w:lang w:val="en-US" w:eastAsia="zh-CN" w:bidi="ar"/>
        </w:rPr>
        <w:t>三、供应商基本情况</w:t>
      </w:r>
      <w:bookmarkEnd w:id="79"/>
      <w:bookmarkEnd w:id="80"/>
      <w:bookmarkEnd w:id="81"/>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82" w:name="_Toc23870"/>
      <w:bookmarkStart w:id="83" w:name="_Toc9989"/>
      <w:bookmarkStart w:id="84" w:name="_Toc28901"/>
      <w:r>
        <w:rPr>
          <w:rFonts w:hint="eastAsia" w:ascii="黑体" w:hAnsi="宋体" w:eastAsia="黑体" w:cs="黑体"/>
          <w:color w:val="auto"/>
          <w:kern w:val="2"/>
          <w:sz w:val="28"/>
          <w:szCs w:val="28"/>
          <w:highlight w:val="none"/>
          <w:lang w:val="en-US" w:eastAsia="zh-CN" w:bidi="ar"/>
        </w:rPr>
        <w:t>四、近年类似业绩情况</w:t>
      </w:r>
      <w:bookmarkEnd w:id="82"/>
      <w:bookmarkEnd w:id="83"/>
      <w:bookmarkEnd w:id="84"/>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85" w:name="_Toc29607"/>
      <w:bookmarkStart w:id="86" w:name="_Toc2074"/>
      <w:bookmarkStart w:id="87" w:name="_Toc23165"/>
      <w:r>
        <w:rPr>
          <w:rFonts w:hint="eastAsia" w:ascii="黑体" w:hAnsi="宋体" w:eastAsia="黑体" w:cs="黑体"/>
          <w:color w:val="auto"/>
          <w:kern w:val="2"/>
          <w:sz w:val="28"/>
          <w:szCs w:val="28"/>
          <w:highlight w:val="none"/>
          <w:lang w:val="en-US" w:eastAsia="zh-CN" w:bidi="ar"/>
        </w:rPr>
        <w:t>五、信誉情况</w:t>
      </w:r>
      <w:bookmarkEnd w:id="85"/>
      <w:bookmarkEnd w:id="86"/>
      <w:bookmarkEnd w:id="87"/>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http://www.gsxt.gov.cn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http://www.creditchina.gov.cn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88" w:name="_Toc30415"/>
      <w:bookmarkStart w:id="89" w:name="_Toc22954"/>
      <w:bookmarkStart w:id="90" w:name="_Toc1569"/>
      <w:r>
        <w:rPr>
          <w:rFonts w:hint="eastAsia" w:ascii="黑体" w:hAnsi="宋体" w:eastAsia="黑体" w:cs="黑体"/>
          <w:color w:val="auto"/>
          <w:kern w:val="2"/>
          <w:sz w:val="28"/>
          <w:szCs w:val="28"/>
          <w:highlight w:val="none"/>
          <w:lang w:val="en-US" w:eastAsia="zh-CN" w:bidi="ar"/>
        </w:rPr>
        <w:t>六、企业实力</w:t>
      </w:r>
      <w:bookmarkEnd w:id="88"/>
      <w:bookmarkEnd w:id="89"/>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须提供投标产品生产加工厂的相关资料，包括但不限于工厂具体定位（百度地图定位截图）、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8D66702">
      <w:pPr>
        <w:pStyle w:val="8"/>
        <w:rPr>
          <w:rFonts w:hint="eastAsia" w:ascii="黑体" w:hAnsi="宋体" w:eastAsia="黑体" w:cs="黑体"/>
          <w:color w:val="auto"/>
          <w:kern w:val="2"/>
          <w:sz w:val="28"/>
          <w:szCs w:val="28"/>
          <w:highlight w:val="none"/>
          <w:lang w:val="en-US" w:eastAsia="zh-CN" w:bidi="ar"/>
        </w:rPr>
      </w:pPr>
    </w:p>
    <w:p w14:paraId="6FF13152">
      <w:pPr>
        <w:pStyle w:val="13"/>
        <w:rPr>
          <w:rFonts w:hint="eastAsia"/>
          <w:color w:val="auto"/>
          <w:highlight w:val="none"/>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B199B6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2140997">
      <w:pPr>
        <w:pStyle w:val="17"/>
        <w:keepNext w:val="0"/>
        <w:keepLines w:val="0"/>
        <w:widowControl w:val="0"/>
        <w:suppressLineNumbers w:val="0"/>
        <w:spacing w:before="0" w:beforeAutospacing="1" w:after="120" w:afterAutospacing="0"/>
        <w:ind w:right="0"/>
        <w:jc w:val="center"/>
        <w:rPr>
          <w:rFonts w:hint="default" w:ascii="Times New Roman" w:hAnsi="Times New Roman" w:eastAsia="黑体"/>
          <w:color w:val="auto"/>
          <w:sz w:val="28"/>
          <w:szCs w:val="28"/>
          <w:highlight w:val="none"/>
          <w:lang w:val="en-US" w:eastAsia="zh-CN"/>
        </w:rPr>
      </w:pPr>
      <w:bookmarkStart w:id="91" w:name="_Toc19445"/>
      <w:r>
        <w:rPr>
          <w:rFonts w:hint="eastAsia" w:ascii="黑体" w:hAnsi="宋体" w:eastAsia="黑体" w:cs="黑体"/>
          <w:color w:val="auto"/>
          <w:kern w:val="2"/>
          <w:sz w:val="28"/>
          <w:szCs w:val="28"/>
          <w:highlight w:val="none"/>
          <w:lang w:val="en-US" w:eastAsia="zh-CN" w:bidi="ar"/>
        </w:rPr>
        <w:t>七、</w:t>
      </w:r>
      <w:bookmarkEnd w:id="90"/>
      <w:bookmarkEnd w:id="91"/>
      <w:r>
        <w:rPr>
          <w:rFonts w:hint="eastAsia" w:ascii="Times New Roman" w:hAnsi="Times New Roman" w:eastAsia="黑体"/>
          <w:color w:val="auto"/>
          <w:sz w:val="28"/>
          <w:szCs w:val="28"/>
          <w:highlight w:val="none"/>
          <w:lang w:val="en-US" w:eastAsia="zh-CN"/>
        </w:rPr>
        <w:t>供货方案</w:t>
      </w:r>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92" w:name="_Toc6951"/>
      <w:bookmarkStart w:id="93" w:name="_Toc18626"/>
      <w:bookmarkStart w:id="94" w:name="_Toc794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92"/>
      <w:bookmarkEnd w:id="93"/>
    </w:p>
    <w:p w14:paraId="7819A5B5">
      <w:pPr>
        <w:spacing w:beforeLines="0" w:afterLines="0" w:line="440" w:lineRule="exact"/>
        <w:jc w:val="center"/>
        <w:outlineLvl w:val="0"/>
        <w:rPr>
          <w:rFonts w:hint="eastAsia" w:ascii="Times New Roman" w:hAnsi="Times New Roman" w:eastAsia="黑体"/>
          <w:color w:val="auto"/>
          <w:sz w:val="28"/>
          <w:szCs w:val="28"/>
          <w:highlight w:val="none"/>
        </w:rPr>
      </w:pPr>
    </w:p>
    <w:p w14:paraId="6DC9943D">
      <w:pPr>
        <w:pStyle w:val="8"/>
        <w:rPr>
          <w:rFonts w:hint="eastAsia"/>
          <w:color w:val="auto"/>
          <w:highlight w:val="none"/>
        </w:rPr>
      </w:pPr>
    </w:p>
    <w:p w14:paraId="6BD11B5F">
      <w:pPr>
        <w:spacing w:beforeLines="0" w:afterLines="0" w:line="440" w:lineRule="exact"/>
        <w:jc w:val="center"/>
        <w:outlineLvl w:val="0"/>
        <w:rPr>
          <w:rFonts w:hint="eastAsia" w:ascii="Times New Roman" w:hAnsi="Times New Roman" w:eastAsia="黑体"/>
          <w:color w:val="auto"/>
          <w:sz w:val="28"/>
          <w:szCs w:val="28"/>
          <w:highlight w:val="none"/>
        </w:rPr>
      </w:pPr>
    </w:p>
    <w:bookmarkEnd w:id="94"/>
    <w:p w14:paraId="735BEFF5">
      <w:pPr>
        <w:spacing w:beforeLines="0" w:afterLines="0" w:line="440" w:lineRule="exact"/>
        <w:rPr>
          <w:rFonts w:hint="eastAsia" w:ascii="Times New Roman" w:hAnsi="Times New Roman" w:eastAsia="Times New Roman"/>
          <w:color w:val="auto"/>
          <w:sz w:val="20"/>
          <w:szCs w:val="20"/>
          <w:highlight w:val="none"/>
        </w:rPr>
      </w:pPr>
    </w:p>
    <w:p w14:paraId="039EC7D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FFC79D8">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95" w:name="_Toc30485"/>
    </w:p>
    <w:p w14:paraId="0641787D">
      <w:pPr>
        <w:pStyle w:val="4"/>
        <w:rPr>
          <w:rFonts w:hint="default"/>
          <w:lang w:val="en-US" w:eastAsia="zh-CN"/>
        </w:rPr>
      </w:pPr>
    </w:p>
    <w:p w14:paraId="3E9100EA">
      <w:pPr>
        <w:rPr>
          <w:rFonts w:hint="default"/>
          <w:lang w:val="en-US" w:eastAsia="zh-CN"/>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96" w:name="_Toc8048"/>
      <w:bookmarkStart w:id="97" w:name="_Toc29926"/>
      <w:r>
        <w:rPr>
          <w:rFonts w:hint="eastAsia" w:ascii="Times New Roman" w:hAnsi="Times New Roman" w:eastAsia="黑体" w:cs="Times New Roman"/>
          <w:color w:val="auto"/>
          <w:kern w:val="2"/>
          <w:sz w:val="28"/>
          <w:szCs w:val="28"/>
          <w:highlight w:val="none"/>
          <w:lang w:val="en-US" w:eastAsia="zh-CN" w:bidi="ar"/>
        </w:rPr>
        <w:t>八</w:t>
      </w:r>
      <w:r>
        <w:rPr>
          <w:rFonts w:hint="eastAsia" w:ascii="Times New Roman" w:hAnsi="Times New Roman" w:eastAsia="黑体"/>
          <w:color w:val="auto"/>
          <w:sz w:val="28"/>
          <w:szCs w:val="28"/>
          <w:highlight w:val="none"/>
        </w:rPr>
        <w:t>、</w:t>
      </w:r>
      <w:bookmarkEnd w:id="96"/>
      <w:r>
        <w:rPr>
          <w:rFonts w:hint="eastAsia" w:ascii="Times New Roman" w:hAnsi="Times New Roman" w:eastAsia="黑体"/>
          <w:color w:val="auto"/>
          <w:sz w:val="28"/>
          <w:szCs w:val="28"/>
          <w:highlight w:val="none"/>
          <w:lang w:val="en-US" w:eastAsia="zh-CN"/>
        </w:rPr>
        <w:t>售后服务方案</w:t>
      </w:r>
      <w:bookmarkEnd w:id="97"/>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98" w:name="_Toc22006"/>
      <w:bookmarkStart w:id="99" w:name="_Toc993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98"/>
      <w:bookmarkEnd w:id="99"/>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85996AE">
      <w:pPr>
        <w:pStyle w:val="4"/>
        <w:rPr>
          <w:rFonts w:hint="default" w:ascii="Times New Roman" w:hAnsi="Times New Roman"/>
          <w:color w:val="auto"/>
          <w:sz w:val="24"/>
          <w:szCs w:val="24"/>
          <w:highlight w:val="none"/>
          <w:lang w:bidi="ar"/>
        </w:rPr>
      </w:pPr>
    </w:p>
    <w:p w14:paraId="300232FC">
      <w:pPr>
        <w:rPr>
          <w:rFonts w:hint="default" w:ascii="Times New Roman" w:hAnsi="Times New Roman"/>
          <w:color w:val="auto"/>
          <w:sz w:val="24"/>
          <w:szCs w:val="24"/>
          <w:highlight w:val="none"/>
          <w:lang w:bidi="ar"/>
        </w:rPr>
      </w:pPr>
    </w:p>
    <w:p w14:paraId="2D67C55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bookmarkStart w:id="100" w:name="_Toc14186"/>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01" w:name="_Toc24579"/>
      <w:r>
        <w:rPr>
          <w:rFonts w:hint="eastAsia" w:ascii="黑体" w:hAnsi="宋体" w:eastAsia="黑体" w:cs="黑体"/>
          <w:color w:val="auto"/>
          <w:kern w:val="2"/>
          <w:sz w:val="28"/>
          <w:szCs w:val="28"/>
          <w:highlight w:val="none"/>
          <w:lang w:val="en-US" w:eastAsia="zh-CN" w:bidi="ar"/>
        </w:rPr>
        <w:t>九、承诺书</w:t>
      </w:r>
      <w:bookmarkEnd w:id="95"/>
      <w:bookmarkEnd w:id="100"/>
      <w:bookmarkEnd w:id="101"/>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none"/>
          <w:lang w:val="en-US" w:eastAsia="zh-CN" w:bidi="ar"/>
        </w:rPr>
        <w:t>（项目名称）</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规定的任何一种情形。</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02" w:name="_Toc2975"/>
      <w:bookmarkStart w:id="103" w:name="_Toc10121"/>
      <w:bookmarkStart w:id="104" w:name="_Toc24852"/>
      <w:r>
        <w:rPr>
          <w:rFonts w:hint="eastAsia" w:ascii="黑体" w:hAnsi="宋体" w:eastAsia="黑体" w:cs="黑体"/>
          <w:color w:val="auto"/>
          <w:kern w:val="2"/>
          <w:sz w:val="28"/>
          <w:szCs w:val="28"/>
          <w:highlight w:val="none"/>
          <w:lang w:val="en-US" w:eastAsia="zh-CN" w:bidi="ar"/>
        </w:rPr>
        <w:t>十、其他材料</w:t>
      </w:r>
      <w:bookmarkEnd w:id="102"/>
      <w:bookmarkEnd w:id="103"/>
      <w:bookmarkEnd w:id="104"/>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588BAC3">
      <w:pPr>
        <w:rPr>
          <w:rFonts w:ascii="Times New Roman" w:hAnsi="Times New Roman" w:cs="Times New Roman"/>
          <w:color w:val="auto"/>
          <w:sz w:val="24"/>
          <w:szCs w:val="28"/>
          <w:highlight w:val="none"/>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highlight w:val="none"/>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 xml:space="preserve">               </w:t>
      </w:r>
      <w:r>
        <w:rPr>
          <w:rFonts w:hint="eastAsia" w:ascii="方正小标宋简体" w:hAnsi="方正小标宋简体" w:eastAsia="方正小标宋简体" w:cs="方正小标宋简体"/>
          <w:color w:val="auto"/>
          <w:kern w:val="2"/>
          <w:sz w:val="44"/>
          <w:szCs w:val="44"/>
          <w:highlight w:val="none"/>
          <w:lang w:val="en-US" w:eastAsia="zh-CN" w:bidi="ar"/>
        </w:rPr>
        <w:t>(项目名称)</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highlight w:val="none"/>
        </w:rPr>
      </w:pP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105" w:name="_Toc4837"/>
      <w:bookmarkStart w:id="106" w:name="_Toc2786"/>
      <w:bookmarkStart w:id="107" w:name="_Toc19303"/>
      <w:r>
        <w:rPr>
          <w:rFonts w:ascii="Times New Roman" w:hAnsi="Times New Roman" w:eastAsia="黑体" w:cs="Times New Roman"/>
          <w:color w:val="auto"/>
          <w:sz w:val="50"/>
          <w:szCs w:val="50"/>
          <w:highlight w:val="none"/>
        </w:rPr>
        <w:t>响  应  文  件</w:t>
      </w:r>
      <w:bookmarkEnd w:id="105"/>
      <w:bookmarkEnd w:id="106"/>
      <w:bookmarkEnd w:id="107"/>
    </w:p>
    <w:p w14:paraId="7382D764">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108" w:name="_Toc30031_WPSOffice_Level1"/>
      <w:bookmarkStart w:id="109" w:name="_Toc29968"/>
      <w:bookmarkStart w:id="110" w:name="_Toc24269_WPSOffice_Level1"/>
      <w:bookmarkStart w:id="111" w:name="_Toc8703"/>
      <w:bookmarkStart w:id="112" w:name="_Toc2765_WPSOffice_Level1"/>
      <w:bookmarkStart w:id="113" w:name="_Toc1924"/>
      <w:bookmarkStart w:id="114" w:name="_Toc1687_WPSOffice_Level1"/>
      <w:bookmarkStart w:id="115" w:name="_Toc23583"/>
      <w:bookmarkStart w:id="116" w:name="_Toc11805_WPSOffice_Level1"/>
      <w:bookmarkStart w:id="117" w:name="_Toc18312_WPSOffice_Level1"/>
      <w:bookmarkStart w:id="118" w:name="_Toc15092"/>
      <w:bookmarkStart w:id="119" w:name="_Toc29399_WPSOffice_Level1"/>
      <w:r>
        <w:rPr>
          <w:rFonts w:hint="eastAsia" w:ascii="黑体" w:hAnsi="黑体" w:eastAsia="黑体" w:cs="黑体"/>
          <w:b w:val="0"/>
          <w:bCs/>
          <w:color w:val="auto"/>
          <w:sz w:val="28"/>
          <w:szCs w:val="28"/>
          <w:highlight w:val="none"/>
        </w:rPr>
        <w:t>一、</w:t>
      </w:r>
      <w:bookmarkEnd w:id="108"/>
      <w:bookmarkEnd w:id="109"/>
      <w:bookmarkEnd w:id="110"/>
      <w:bookmarkEnd w:id="111"/>
      <w:bookmarkEnd w:id="112"/>
      <w:bookmarkEnd w:id="113"/>
      <w:bookmarkEnd w:id="114"/>
      <w:bookmarkEnd w:id="115"/>
      <w:bookmarkEnd w:id="116"/>
      <w:bookmarkEnd w:id="117"/>
      <w:bookmarkEnd w:id="118"/>
      <w:bookmarkEnd w:id="119"/>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8"/>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(项目名称)</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3.</w:t>
      </w:r>
      <w:r>
        <w:rPr>
          <w:rFonts w:ascii="Times New Roman" w:hAnsi="Times New Roman" w:cs="Times New Roman"/>
          <w:color w:val="auto"/>
          <w:sz w:val="24"/>
          <w:highlight w:val="none"/>
        </w:rPr>
        <w:t>．如我方成交：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8"/>
        <w:rPr>
          <w:rFonts w:hint="eastAsia" w:ascii="Times New Roman" w:hAnsi="Times New Roman" w:cs="Times New Roman"/>
          <w:color w:val="auto"/>
          <w:sz w:val="24"/>
          <w:highlight w:val="none"/>
        </w:rPr>
      </w:pPr>
    </w:p>
    <w:p w14:paraId="2564B337">
      <w:pPr>
        <w:pStyle w:val="34"/>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0"/>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8"/>
        <w:rPr>
          <w:color w:val="auto"/>
          <w:highlight w:val="none"/>
        </w:rPr>
      </w:pPr>
    </w:p>
    <w:p w14:paraId="32C8775A">
      <w:pPr>
        <w:pStyle w:val="13"/>
        <w:rPr>
          <w:color w:val="auto"/>
          <w:highlight w:val="none"/>
        </w:rPr>
      </w:pPr>
    </w:p>
    <w:p w14:paraId="45BA8728">
      <w:pPr>
        <w:pStyle w:val="14"/>
        <w:rPr>
          <w:color w:val="auto"/>
          <w:highlight w:val="none"/>
        </w:rPr>
      </w:pPr>
    </w:p>
    <w:p w14:paraId="40B8B372">
      <w:pPr>
        <w:rPr>
          <w:color w:val="auto"/>
          <w:highlight w:val="none"/>
        </w:rPr>
      </w:pPr>
    </w:p>
    <w:p w14:paraId="3659ED9B">
      <w:pPr>
        <w:pStyle w:val="20"/>
        <w:rPr>
          <w:rFonts w:ascii="Times New Roman" w:hAnsi="Times New Roman" w:cs="Times New Roman"/>
          <w:color w:val="auto"/>
          <w:sz w:val="24"/>
          <w:highlight w:val="none"/>
        </w:rPr>
      </w:pPr>
    </w:p>
    <w:p w14:paraId="3159FF87"/>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120" w:name="_Toc162490440"/>
      <w:bookmarkStart w:id="121" w:name="_Toc153421230"/>
      <w:bookmarkStart w:id="122" w:name="_Toc272486050"/>
      <w:r>
        <w:rPr>
          <w:rFonts w:hint="eastAsia" w:ascii="黑体" w:hAnsi="黑体" w:eastAsia="黑体" w:cs="黑体"/>
          <w:b w:val="0"/>
          <w:bCs/>
          <w:color w:val="auto"/>
          <w:sz w:val="28"/>
          <w:szCs w:val="28"/>
          <w:highlight w:val="none"/>
        </w:rPr>
        <w:t>二、</w:t>
      </w:r>
      <w:bookmarkEnd w:id="120"/>
      <w:bookmarkEnd w:id="121"/>
      <w:bookmarkEnd w:id="122"/>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请供应商按照采购文件中附件的报价单逐一填写。</w:t>
      </w:r>
    </w:p>
    <w:p w14:paraId="38DB0F0C">
      <w:pPr>
        <w:bidi w:val="0"/>
        <w:rPr>
          <w:rFonts w:hint="eastAsia"/>
          <w:color w:val="auto"/>
          <w:highlight w:val="none"/>
          <w:lang w:val="en-US" w:eastAsia="zh-CN"/>
        </w:rPr>
      </w:pPr>
    </w:p>
    <w:p w14:paraId="31AB784D">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highlight w:val="none"/>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p>
        </w:tc>
        <w:tc>
          <w:tcPr>
            <w:tcW w:w="2492"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2492"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1963A718">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9"/>
        <w:rPr>
          <w:rFonts w:hint="eastAsia"/>
          <w:color w:val="auto"/>
          <w:highlight w:val="none"/>
          <w:lang w:val="en-US" w:eastAsia="zh-CN"/>
        </w:rPr>
      </w:pPr>
    </w:p>
    <w:p w14:paraId="581676FD">
      <w:pPr>
        <w:pStyle w:val="19"/>
        <w:rPr>
          <w:rFonts w:hint="eastAsia"/>
          <w:color w:val="auto"/>
          <w:highlight w:val="none"/>
          <w:lang w:val="en-US" w:eastAsia="zh-CN"/>
        </w:rPr>
      </w:pPr>
    </w:p>
    <w:p w14:paraId="71D1A16A">
      <w:pPr>
        <w:pStyle w:val="19"/>
        <w:rPr>
          <w:rFonts w:hint="eastAsia"/>
          <w:color w:val="auto"/>
          <w:highlight w:val="none"/>
          <w:lang w:val="en-US" w:eastAsia="zh-CN"/>
        </w:rPr>
      </w:pPr>
    </w:p>
    <w:p w14:paraId="454DDDFE">
      <w:pPr>
        <w:snapToGrid w:val="0"/>
        <w:spacing w:line="400" w:lineRule="exact"/>
        <w:jc w:val="center"/>
        <w:rPr>
          <w:rFonts w:hint="eastAsia" w:ascii="宋体" w:hAnsi="宋体" w:cs="宋体"/>
          <w:b/>
          <w:color w:val="auto"/>
          <w:sz w:val="24"/>
          <w:highlight w:val="none"/>
          <w:lang w:val="en-US" w:eastAsia="zh-CN"/>
        </w:rPr>
      </w:pPr>
    </w:p>
    <w:p w14:paraId="5990841E">
      <w:pPr>
        <w:snapToGrid w:val="0"/>
        <w:spacing w:line="400" w:lineRule="exact"/>
        <w:jc w:val="left"/>
        <w:rPr>
          <w:rFonts w:hint="eastAsia" w:ascii="宋体" w:hAnsi="宋体" w:cs="宋体"/>
          <w:b/>
          <w:color w:val="auto"/>
          <w:sz w:val="24"/>
          <w:highlight w:val="none"/>
          <w:lang w:val="en-US" w:eastAsia="zh-CN"/>
        </w:rPr>
      </w:pPr>
    </w:p>
    <w:tbl>
      <w:tblPr>
        <w:tblStyle w:val="21"/>
        <w:tblW w:w="9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74"/>
      </w:tblGrid>
      <w:tr w14:paraId="6F40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9774" w:type="dxa"/>
            <w:tcBorders>
              <w:top w:val="nil"/>
              <w:left w:val="nil"/>
              <w:bottom w:val="nil"/>
              <w:right w:val="nil"/>
            </w:tcBorders>
            <w:shd w:val="clear" w:color="auto" w:fill="FFFFFF"/>
            <w:noWrap/>
            <w:vAlign w:val="center"/>
          </w:tcPr>
          <w:p w14:paraId="2FF773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清单编制说明</w:t>
            </w:r>
          </w:p>
        </w:tc>
      </w:tr>
      <w:tr w14:paraId="69D48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929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1、招标形式：综合单价包干形式，结算时综合单价不作调整，本工程量为暂定工程量，工程量按实结；</w:t>
            </w:r>
          </w:p>
        </w:tc>
      </w:tr>
      <w:tr w14:paraId="2687C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9774" w:type="dxa"/>
            <w:tcBorders>
              <w:top w:val="nil"/>
              <w:left w:val="single" w:color="000000" w:sz="4" w:space="0"/>
              <w:bottom w:val="single" w:color="000000" w:sz="4" w:space="0"/>
              <w:right w:val="single" w:color="000000" w:sz="4" w:space="0"/>
            </w:tcBorders>
            <w:shd w:val="clear" w:color="auto" w:fill="FFFFFF"/>
            <w:vAlign w:val="center"/>
          </w:tcPr>
          <w:p w14:paraId="0DF81F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综合单价包含成品、包装、运输装卸费、运输损耗、劳务费、样品费、税金、管理费、检测费、货到工地负责堆放至需方指定地点（车到甲方指定地点至卸货）等到工地仓库交货前的所有费用及完成约定保修期所有约定保修工作，还包括因质量问题引起的维修、更换、技术指导和培训等费用；该单价中应综合考虑了在合同有效期内的材料等所有市场价格波动的风险，在合同有效期内不做任何调整。同时，不随供货量做价格调整；</w:t>
            </w:r>
          </w:p>
        </w:tc>
      </w:tr>
      <w:tr w14:paraId="2D52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9774" w:type="dxa"/>
            <w:tcBorders>
              <w:top w:val="nil"/>
              <w:left w:val="single" w:color="000000" w:sz="4" w:space="0"/>
              <w:bottom w:val="single" w:color="000000" w:sz="4" w:space="0"/>
              <w:right w:val="single" w:color="000000" w:sz="4" w:space="0"/>
            </w:tcBorders>
            <w:shd w:val="clear" w:color="auto" w:fill="FFFFFF"/>
            <w:vAlign w:val="center"/>
          </w:tcPr>
          <w:p w14:paraId="7F4609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3、石材样品由乙方提供，不另行计算费用；</w:t>
            </w:r>
          </w:p>
        </w:tc>
      </w:tr>
      <w:tr w14:paraId="6402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774" w:type="dxa"/>
            <w:tcBorders>
              <w:top w:val="nil"/>
              <w:left w:val="single" w:color="000000" w:sz="4" w:space="0"/>
              <w:bottom w:val="single" w:color="000000" w:sz="4" w:space="0"/>
              <w:right w:val="single" w:color="000000" w:sz="4" w:space="0"/>
            </w:tcBorders>
            <w:shd w:val="clear" w:color="auto" w:fill="FFFFFF"/>
            <w:vAlign w:val="center"/>
          </w:tcPr>
          <w:p w14:paraId="1C2E9C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4、材料以甲方提供或确认的样品颜色、品牌采购；</w:t>
            </w:r>
          </w:p>
        </w:tc>
      </w:tr>
      <w:tr w14:paraId="3E47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774" w:type="dxa"/>
            <w:tcBorders>
              <w:top w:val="nil"/>
              <w:left w:val="single" w:color="000000" w:sz="4" w:space="0"/>
              <w:bottom w:val="single" w:color="000000" w:sz="4" w:space="0"/>
              <w:right w:val="single" w:color="000000" w:sz="4" w:space="0"/>
            </w:tcBorders>
            <w:shd w:val="clear" w:color="auto" w:fill="FFFFFF"/>
            <w:vAlign w:val="center"/>
          </w:tcPr>
          <w:p w14:paraId="6D8D81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加工工艺费：根据加工工艺的不同，石材背部开孔开槽，异性石材加工，石材面层加工费，石材拉槽，磨圆边，磨直边，倒角切割，钻孔以及配合幕墙单位进行石材加工等综合在单价中，不再计取其它任何费用；</w:t>
            </w:r>
          </w:p>
        </w:tc>
      </w:tr>
      <w:tr w14:paraId="768DC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9774" w:type="dxa"/>
            <w:tcBorders>
              <w:top w:val="nil"/>
              <w:left w:val="single" w:color="000000" w:sz="4" w:space="0"/>
              <w:bottom w:val="single" w:color="000000" w:sz="4" w:space="0"/>
              <w:right w:val="single" w:color="000000" w:sz="4" w:space="0"/>
            </w:tcBorders>
            <w:shd w:val="clear" w:color="auto" w:fill="FFFFFF"/>
            <w:vAlign w:val="center"/>
          </w:tcPr>
          <w:p w14:paraId="5B0EC0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6、投标综合单价已对招标文件和合同条款中的承包范围、质量标准等要求进行了充分考虑。</w:t>
            </w:r>
          </w:p>
        </w:tc>
      </w:tr>
      <w:tr w14:paraId="4266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65D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7、乙方在投标及签订本合同前已清楚并考虑工地周围环境、交通道路、现场地质资料、周围地下管网、现场条件、招标文件、承包范围，并已考虑检验检测、施工技术措施、安全文明施工措施等因素；</w:t>
            </w:r>
          </w:p>
        </w:tc>
      </w:tr>
      <w:tr w14:paraId="5D573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ED1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投标综合单价已按招标文件和合同条款中的承包范围、质量标准、工期等要求充分考虑了人工、材料、机械、包装运输、管理、利润、规费、税金、以及合同有效期内材料、人工市场价格波动等各项因素的全部费用，并考虑验收及配合甲方组织业主开放日、保修等费用；</w:t>
            </w:r>
          </w:p>
        </w:tc>
      </w:tr>
      <w:tr w14:paraId="603AA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3B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9、清单各项规格尺寸见各清单明细、图纸等，石材厚度、长宽、背栓孔的孔深、平整度、不允许有偏差；</w:t>
            </w:r>
          </w:p>
        </w:tc>
      </w:tr>
      <w:tr w14:paraId="0224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32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石材按照现场排版图预先排版并编号，按照排版图对所加工石材统一包装统一打包（石材建议带护角），需保证运送到现场的石材满足甲方要求，缺角、破损及不满足要求的石材不予接受并退回重新制送；如具体下单时根据图纸确认材质、面层肌理（荔枝面/光面等）、倒角和LOGO；</w:t>
            </w:r>
          </w:p>
        </w:tc>
      </w:tr>
      <w:tr w14:paraId="2695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23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11、所有的石材阳角大小块拼接都需石材厂家按图加工、开孔、并配套提供内置L型刚性材料加强连接、背栓转角连接件，保证石材的阳角牢固不破损。</w:t>
            </w:r>
          </w:p>
        </w:tc>
      </w:tr>
      <w:tr w14:paraId="39C50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7B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12、乙方必须开具正规的增值税专用发票。如果乙方不能提供增值税专用发票、或不能提供与所对应清单中增值税税率一致的增值税专用发票，由此造成甲方增加的税金全部由乙方承担；</w:t>
            </w:r>
          </w:p>
        </w:tc>
      </w:tr>
      <w:tr w14:paraId="64EE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3A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投标人需谨慎、客观对待每一项清单的各项价格填报，对于最后中标单位，甲方有权利根据合理有据的依据对投标方的不平衡报价在总价不变的前提下进行调整，同时如果发生后期正式预算工程量（非甲方原因）发生大的变化，中标单位不得以任何借口或认为报价错误而拒绝履行或部分履行，同时也不得以任何理由否认甲方调整的不平衡报价；</w:t>
            </w:r>
          </w:p>
        </w:tc>
      </w:tr>
      <w:tr w14:paraId="559AA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0E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14、若招标清单的回标报价中存在漏报价格，则视为漏项的相关费用已包含在其他回标报价之中；</w:t>
            </w:r>
          </w:p>
        </w:tc>
      </w:tr>
      <w:tr w14:paraId="188F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41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15、投标人不得对招标文件进行任何实质性修改，一切以招标人发布的招标文件为准；</w:t>
            </w:r>
          </w:p>
        </w:tc>
      </w:tr>
      <w:tr w14:paraId="3B474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F1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16、现场需做实体样板，对样板房、示范单位等进行少量供货，或维保期内的少量更换等，供应综合单价仍按清单中的单价执行。</w:t>
            </w:r>
          </w:p>
        </w:tc>
      </w:tr>
      <w:tr w14:paraId="3FD2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BC9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17、本工程所有单价不因政府调价性文件、市场价格波动等因素进行调整，请投标单位将价格波动因素考虑至各项综合单价风险费中，结算时均不做调整；</w:t>
            </w:r>
          </w:p>
        </w:tc>
      </w:tr>
      <w:tr w14:paraId="58DE9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1E2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18、根据图纸设计说明：本工程石材采用30mm石材(有效厚度不小于30mm厚)；</w:t>
            </w:r>
          </w:p>
        </w:tc>
      </w:tr>
      <w:tr w14:paraId="260F4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5C5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19、本项目石材为单面荔枝面。</w:t>
            </w:r>
          </w:p>
        </w:tc>
      </w:tr>
      <w:tr w14:paraId="4889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1B9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注：本页不得删除,将作为合同清单的有效组成部分。</w:t>
            </w:r>
          </w:p>
        </w:tc>
      </w:tr>
    </w:tbl>
    <w:p w14:paraId="0BE132B9">
      <w:pPr>
        <w:pStyle w:val="4"/>
        <w:rPr>
          <w:rFonts w:hint="eastAsia" w:ascii="宋体" w:hAnsi="宋体" w:cs="宋体"/>
          <w:b/>
          <w:color w:val="auto"/>
          <w:sz w:val="24"/>
          <w:highlight w:val="none"/>
          <w:lang w:val="en-US" w:eastAsia="zh-CN"/>
        </w:rPr>
      </w:pPr>
    </w:p>
    <w:tbl>
      <w:tblPr>
        <w:tblStyle w:val="21"/>
        <w:tblW w:w="106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1118"/>
        <w:gridCol w:w="720"/>
        <w:gridCol w:w="3868"/>
        <w:gridCol w:w="530"/>
        <w:gridCol w:w="867"/>
        <w:gridCol w:w="1059"/>
        <w:gridCol w:w="1235"/>
        <w:gridCol w:w="603"/>
      </w:tblGrid>
      <w:tr w14:paraId="3DAE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DCFA3">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300F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D567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清单名称</w:t>
            </w:r>
          </w:p>
        </w:tc>
        <w:tc>
          <w:tcPr>
            <w:tcW w:w="3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6E09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清单特征</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BE62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B21C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B3E9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综合单价（元）</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F499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综合合价（元）</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DC25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备注</w:t>
            </w:r>
          </w:p>
        </w:tc>
      </w:tr>
      <w:tr w14:paraId="7083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9A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0B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WB011209001001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0F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石材幕墙</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6A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1、石材品种、规格、颜色：30厚米色花岗岩石材(6面反碱处理)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2、勒角、柱脚等局部造型和拼接处的石材加厚及异型切割加工等综合考虑在报价中，中标后不予调整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3、施工前需选样、打样并经发包人认可，如需自行深化，其所产生的一切费用综合考虑在报价中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4、其它：未尽事宜具体详见设计、图集、设计补充说明、招标文件、政府相关文件、规范等其他资料,满足验收要求</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9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A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7905.59</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C9F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80D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269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336B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58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AB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WB011209001002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37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石材幕墙</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C8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1、石材品种、规格、颜色：30厚灰色花岗岩石材(6面反碱处理)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2、勒角、柱脚等局部造型和拼接处的石材加厚及异型切割加工等综合考虑在报价中，中标后不予调整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3、施工前需选样、打样并经发包人认可，如需自行深化，其所产生的一切费用综合考虑在报价中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4、其它：未尽事宜具体详见设计、图集、设计补充说明、招标文件、政府相关文件、规范等其他资料,满足验收要求</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34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99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635.96</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E4B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335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642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39EA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34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总价（元）</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8D5142">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5A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2C478">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bl>
    <w:p w14:paraId="0BD75D82">
      <w:pPr>
        <w:rPr>
          <w:rFonts w:hint="eastAsia"/>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highlight w:val="none"/>
          <w:lang w:val="en-US" w:eastAsia="zh-CN"/>
        </w:rPr>
        <w:t>备注：</w:t>
      </w:r>
      <w:r>
        <w:rPr>
          <w:rFonts w:hint="eastAsia" w:ascii="宋体" w:hAnsi="宋体" w:cs="宋体"/>
          <w:b w:val="0"/>
          <w:bCs/>
          <w:color w:val="auto"/>
          <w:sz w:val="24"/>
          <w:highlight w:val="none"/>
          <w:lang w:val="en-US" w:eastAsia="zh-CN"/>
        </w:rPr>
        <w:t>1.</w:t>
      </w:r>
      <w:r>
        <w:rPr>
          <w:rFonts w:hint="eastAsia" w:ascii="宋体" w:hAnsi="宋体" w:cs="宋体"/>
          <w:b w:val="0"/>
          <w:bCs/>
          <w:color w:val="auto"/>
          <w:sz w:val="24"/>
          <w:highlight w:val="none"/>
        </w:rPr>
        <w:t>上述费用包括货物的原材料、生产、包装、运输、保险</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卸车费(卸货到甲方指走地点)、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6E46E437">
      <w:pPr>
        <w:pStyle w:val="11"/>
        <w:adjustRightInd w:val="0"/>
        <w:snapToGrid w:val="0"/>
        <w:jc w:val="center"/>
        <w:rPr>
          <w:rFonts w:ascii="Times New Roman" w:hAnsi="Times New Roman" w:cs="Times New Roman"/>
          <w:color w:val="auto"/>
          <w:highlight w:val="none"/>
        </w:rPr>
      </w:pPr>
    </w:p>
    <w:p w14:paraId="133742F3">
      <w:pPr>
        <w:rPr>
          <w:rFonts w:ascii="Times New Roman" w:hAnsi="Times New Roman" w:eastAsia="华文中宋" w:cs="Times New Roman"/>
          <w:b/>
          <w:smallCaps/>
          <w:color w:val="auto"/>
          <w:sz w:val="24"/>
          <w:szCs w:val="24"/>
          <w:highlight w:val="none"/>
        </w:rPr>
      </w:pPr>
      <w:r>
        <w:rPr>
          <w:rFonts w:ascii="Times New Roman" w:hAnsi="Times New Roman" w:eastAsia="华文中宋" w:cs="Times New Roman"/>
          <w:b/>
          <w:smallCaps/>
          <w:color w:val="auto"/>
          <w:sz w:val="24"/>
          <w:szCs w:val="24"/>
          <w:highlight w:val="none"/>
        </w:rPr>
        <w:br w:type="page"/>
      </w:r>
    </w:p>
    <w:p w14:paraId="5D16C7CF">
      <w:pPr>
        <w:pStyle w:val="11"/>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0"/>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0"/>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ADE3158">
      <w:pPr>
        <w:pStyle w:val="20"/>
        <w:rPr>
          <w:rFonts w:ascii="Times New Roman" w:hAnsi="Times New Roman" w:cs="Times New Roman"/>
          <w:color w:val="auto"/>
          <w:sz w:val="24"/>
          <w:highlight w:val="none"/>
        </w:rPr>
      </w:pPr>
    </w:p>
    <w:p w14:paraId="5EEABA31">
      <w:pPr>
        <w:rPr>
          <w:rFonts w:ascii="Times New Roman" w:hAnsi="Times New Roman" w:cs="Times New Roman"/>
          <w:color w:val="auto"/>
          <w:sz w:val="24"/>
          <w:highlight w:val="none"/>
        </w:rPr>
      </w:pPr>
    </w:p>
    <w:p w14:paraId="41A5DB6C">
      <w:pPr>
        <w:pStyle w:val="20"/>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4"/>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28FC1CAC">
      <w:pPr>
        <w:pStyle w:val="19"/>
        <w:rPr>
          <w:rFonts w:hint="eastAsia"/>
          <w:color w:val="auto"/>
          <w:highlight w:val="none"/>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2"/>
      <w:ind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2"/>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2"/>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2"/>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564F6">
    <w:pPr>
      <w:pStyle w:val="12"/>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E336A39">
                          <w:pPr>
                            <w:pStyle w:val="12"/>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19</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rK0UIucBAADH&#10;AwAADgAAAAAAAAABACAAAAAfAQAAZHJzL2Uyb0RvYy54bWxQSwUGAAAAAAYABgBZAQAAeAUAAAAA&#10;">
              <v:fill on="f" focussize="0,0"/>
              <v:stroke on="f" weight="0.5pt"/>
              <v:imagedata o:title=""/>
              <o:lock v:ext="edit" aspectratio="f"/>
              <v:textbox inset="0mm,0mm,0mm,0mm" style="mso-fit-shape-to-text:t;">
                <w:txbxContent>
                  <w:p w14:paraId="6E336A39">
                    <w:pPr>
                      <w:pStyle w:val="12"/>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19</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2"/>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1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F0A7">
    <w:pPr>
      <w:pStyle w:val="13"/>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678F7"/>
    <w:rsid w:val="007C6E94"/>
    <w:rsid w:val="00950240"/>
    <w:rsid w:val="00A15DCF"/>
    <w:rsid w:val="00BC3A1F"/>
    <w:rsid w:val="00D704DB"/>
    <w:rsid w:val="00E30FAC"/>
    <w:rsid w:val="00E8570D"/>
    <w:rsid w:val="00F66F31"/>
    <w:rsid w:val="010A3C11"/>
    <w:rsid w:val="010E69FF"/>
    <w:rsid w:val="017D7CB0"/>
    <w:rsid w:val="01A16B71"/>
    <w:rsid w:val="0211370D"/>
    <w:rsid w:val="022655F4"/>
    <w:rsid w:val="023E3C6A"/>
    <w:rsid w:val="0286092F"/>
    <w:rsid w:val="028D5673"/>
    <w:rsid w:val="02932C1B"/>
    <w:rsid w:val="02B159B4"/>
    <w:rsid w:val="02C26D91"/>
    <w:rsid w:val="02D346A3"/>
    <w:rsid w:val="02DF3606"/>
    <w:rsid w:val="02F05C02"/>
    <w:rsid w:val="036118B1"/>
    <w:rsid w:val="0371289F"/>
    <w:rsid w:val="038863C7"/>
    <w:rsid w:val="03A9557F"/>
    <w:rsid w:val="03B86BA8"/>
    <w:rsid w:val="03F914B2"/>
    <w:rsid w:val="04230E30"/>
    <w:rsid w:val="042516B9"/>
    <w:rsid w:val="042F2C67"/>
    <w:rsid w:val="045E338A"/>
    <w:rsid w:val="047010F6"/>
    <w:rsid w:val="04701D1E"/>
    <w:rsid w:val="04E034BC"/>
    <w:rsid w:val="05085F79"/>
    <w:rsid w:val="0535195E"/>
    <w:rsid w:val="054416D2"/>
    <w:rsid w:val="05AF29EE"/>
    <w:rsid w:val="05D2339D"/>
    <w:rsid w:val="05F62696"/>
    <w:rsid w:val="05F94BA8"/>
    <w:rsid w:val="060774EA"/>
    <w:rsid w:val="06341F34"/>
    <w:rsid w:val="06663933"/>
    <w:rsid w:val="068727A0"/>
    <w:rsid w:val="06E415DA"/>
    <w:rsid w:val="07063EDC"/>
    <w:rsid w:val="071432F2"/>
    <w:rsid w:val="073835B2"/>
    <w:rsid w:val="076958CF"/>
    <w:rsid w:val="07A31864"/>
    <w:rsid w:val="07AF3996"/>
    <w:rsid w:val="07C951F6"/>
    <w:rsid w:val="080B2B96"/>
    <w:rsid w:val="081D6FC0"/>
    <w:rsid w:val="08412974"/>
    <w:rsid w:val="0881185D"/>
    <w:rsid w:val="08907C6B"/>
    <w:rsid w:val="08E91129"/>
    <w:rsid w:val="08F50169"/>
    <w:rsid w:val="09187C60"/>
    <w:rsid w:val="091A677A"/>
    <w:rsid w:val="09210464"/>
    <w:rsid w:val="095E1B17"/>
    <w:rsid w:val="096867B1"/>
    <w:rsid w:val="09B13FF7"/>
    <w:rsid w:val="09B82FC7"/>
    <w:rsid w:val="0A2E7496"/>
    <w:rsid w:val="0A466107"/>
    <w:rsid w:val="0A64315D"/>
    <w:rsid w:val="0A941F2B"/>
    <w:rsid w:val="0AAD73BC"/>
    <w:rsid w:val="0AB84C95"/>
    <w:rsid w:val="0AED0915"/>
    <w:rsid w:val="0AF3003D"/>
    <w:rsid w:val="0B286939"/>
    <w:rsid w:val="0B2E4625"/>
    <w:rsid w:val="0B3A7039"/>
    <w:rsid w:val="0B416FFB"/>
    <w:rsid w:val="0BA10DDD"/>
    <w:rsid w:val="0BB2614A"/>
    <w:rsid w:val="0BC86369"/>
    <w:rsid w:val="0BCC3D77"/>
    <w:rsid w:val="0BDD422F"/>
    <w:rsid w:val="0C024903"/>
    <w:rsid w:val="0C0B7829"/>
    <w:rsid w:val="0C126BE9"/>
    <w:rsid w:val="0C252478"/>
    <w:rsid w:val="0C425774"/>
    <w:rsid w:val="0C433DD8"/>
    <w:rsid w:val="0CA667B4"/>
    <w:rsid w:val="0CB62B1E"/>
    <w:rsid w:val="0D604989"/>
    <w:rsid w:val="0D676CED"/>
    <w:rsid w:val="0DBD0BDC"/>
    <w:rsid w:val="0DC42165"/>
    <w:rsid w:val="0DE02F17"/>
    <w:rsid w:val="0E436CA2"/>
    <w:rsid w:val="0E541DD8"/>
    <w:rsid w:val="0E7000A4"/>
    <w:rsid w:val="0EA07AC2"/>
    <w:rsid w:val="0EB73ADA"/>
    <w:rsid w:val="0EBA46A3"/>
    <w:rsid w:val="0EBB2DAD"/>
    <w:rsid w:val="0ED411DA"/>
    <w:rsid w:val="0EF05DCE"/>
    <w:rsid w:val="0F4E7639"/>
    <w:rsid w:val="0F531ACB"/>
    <w:rsid w:val="0F6F4854"/>
    <w:rsid w:val="0F9D4A1B"/>
    <w:rsid w:val="0F9F0794"/>
    <w:rsid w:val="0FB568C1"/>
    <w:rsid w:val="0FBE1FCA"/>
    <w:rsid w:val="0FD41FBD"/>
    <w:rsid w:val="0FD4370B"/>
    <w:rsid w:val="101A751A"/>
    <w:rsid w:val="103E486A"/>
    <w:rsid w:val="10635C65"/>
    <w:rsid w:val="106D5B52"/>
    <w:rsid w:val="1090350E"/>
    <w:rsid w:val="10944070"/>
    <w:rsid w:val="10A6372F"/>
    <w:rsid w:val="10A97373"/>
    <w:rsid w:val="10DA535D"/>
    <w:rsid w:val="10F863AD"/>
    <w:rsid w:val="110D2AFF"/>
    <w:rsid w:val="112131E2"/>
    <w:rsid w:val="11681ED6"/>
    <w:rsid w:val="119C482A"/>
    <w:rsid w:val="11C6025A"/>
    <w:rsid w:val="11DF30C9"/>
    <w:rsid w:val="11F528ED"/>
    <w:rsid w:val="11FD4CD5"/>
    <w:rsid w:val="1202325C"/>
    <w:rsid w:val="126822AB"/>
    <w:rsid w:val="129325F3"/>
    <w:rsid w:val="12983425"/>
    <w:rsid w:val="12BD1492"/>
    <w:rsid w:val="12FA3B2F"/>
    <w:rsid w:val="13431F92"/>
    <w:rsid w:val="13955E86"/>
    <w:rsid w:val="13C13BEB"/>
    <w:rsid w:val="13D604FC"/>
    <w:rsid w:val="13E11194"/>
    <w:rsid w:val="13EC1865"/>
    <w:rsid w:val="144A391D"/>
    <w:rsid w:val="145D3899"/>
    <w:rsid w:val="14872E85"/>
    <w:rsid w:val="14B7657F"/>
    <w:rsid w:val="14CE63E8"/>
    <w:rsid w:val="150E5893"/>
    <w:rsid w:val="15133F2C"/>
    <w:rsid w:val="15AF385B"/>
    <w:rsid w:val="15C3657D"/>
    <w:rsid w:val="15ED748E"/>
    <w:rsid w:val="15F01D49"/>
    <w:rsid w:val="16201F02"/>
    <w:rsid w:val="163D1F3A"/>
    <w:rsid w:val="16414AC9"/>
    <w:rsid w:val="167C0AF5"/>
    <w:rsid w:val="167C76AF"/>
    <w:rsid w:val="16A14FAE"/>
    <w:rsid w:val="16FF3D15"/>
    <w:rsid w:val="17024379"/>
    <w:rsid w:val="17263548"/>
    <w:rsid w:val="172C05D9"/>
    <w:rsid w:val="17755202"/>
    <w:rsid w:val="1776370C"/>
    <w:rsid w:val="17CF3BE0"/>
    <w:rsid w:val="186C7681"/>
    <w:rsid w:val="18786026"/>
    <w:rsid w:val="188C4113"/>
    <w:rsid w:val="189E5E26"/>
    <w:rsid w:val="18D04606"/>
    <w:rsid w:val="18D70F9E"/>
    <w:rsid w:val="18FA5B52"/>
    <w:rsid w:val="19053D5D"/>
    <w:rsid w:val="190D676E"/>
    <w:rsid w:val="191A46EE"/>
    <w:rsid w:val="193D5CAC"/>
    <w:rsid w:val="19600F94"/>
    <w:rsid w:val="19647370"/>
    <w:rsid w:val="19C83B53"/>
    <w:rsid w:val="19DE1C05"/>
    <w:rsid w:val="19EB0A7A"/>
    <w:rsid w:val="1A185E2C"/>
    <w:rsid w:val="1A3C6E09"/>
    <w:rsid w:val="1A657CD8"/>
    <w:rsid w:val="1A741F99"/>
    <w:rsid w:val="1AA97D25"/>
    <w:rsid w:val="1AAC1FB7"/>
    <w:rsid w:val="1B0236F0"/>
    <w:rsid w:val="1B1F49AA"/>
    <w:rsid w:val="1B416BA3"/>
    <w:rsid w:val="1B87260E"/>
    <w:rsid w:val="1B9916E8"/>
    <w:rsid w:val="1BF956CF"/>
    <w:rsid w:val="1BFD0D5D"/>
    <w:rsid w:val="1C0C5403"/>
    <w:rsid w:val="1C511068"/>
    <w:rsid w:val="1C7D1E5D"/>
    <w:rsid w:val="1C9D0478"/>
    <w:rsid w:val="1CB03FE0"/>
    <w:rsid w:val="1CB304A3"/>
    <w:rsid w:val="1CD07137"/>
    <w:rsid w:val="1CE76D4F"/>
    <w:rsid w:val="1CF12CD2"/>
    <w:rsid w:val="1D3320C5"/>
    <w:rsid w:val="1D3772E3"/>
    <w:rsid w:val="1D3F5364"/>
    <w:rsid w:val="1D4209B0"/>
    <w:rsid w:val="1D927B8A"/>
    <w:rsid w:val="1D9C6C71"/>
    <w:rsid w:val="1DBF4066"/>
    <w:rsid w:val="1DC0096E"/>
    <w:rsid w:val="1DD02C25"/>
    <w:rsid w:val="1DFB32CC"/>
    <w:rsid w:val="1E085F02"/>
    <w:rsid w:val="1E304C77"/>
    <w:rsid w:val="1E764DB5"/>
    <w:rsid w:val="1E7E7378"/>
    <w:rsid w:val="1EEE0DF0"/>
    <w:rsid w:val="1F0529C7"/>
    <w:rsid w:val="1F091FF2"/>
    <w:rsid w:val="1F172B9E"/>
    <w:rsid w:val="1F6B68E4"/>
    <w:rsid w:val="1F8615BF"/>
    <w:rsid w:val="1F93095F"/>
    <w:rsid w:val="1FB449F5"/>
    <w:rsid w:val="1FC01B05"/>
    <w:rsid w:val="1FE64151"/>
    <w:rsid w:val="1FEA7927"/>
    <w:rsid w:val="20220D88"/>
    <w:rsid w:val="202D724A"/>
    <w:rsid w:val="20432E03"/>
    <w:rsid w:val="20703AC9"/>
    <w:rsid w:val="20C04D1F"/>
    <w:rsid w:val="20CE5700"/>
    <w:rsid w:val="20CE712B"/>
    <w:rsid w:val="20E701EC"/>
    <w:rsid w:val="21366A7E"/>
    <w:rsid w:val="216C51F8"/>
    <w:rsid w:val="21705735"/>
    <w:rsid w:val="21EC1864"/>
    <w:rsid w:val="2211172D"/>
    <w:rsid w:val="222F5C4D"/>
    <w:rsid w:val="22456F98"/>
    <w:rsid w:val="22694276"/>
    <w:rsid w:val="22853AE2"/>
    <w:rsid w:val="22886585"/>
    <w:rsid w:val="22A243CB"/>
    <w:rsid w:val="233E4325"/>
    <w:rsid w:val="23610B8C"/>
    <w:rsid w:val="23750A57"/>
    <w:rsid w:val="23767E36"/>
    <w:rsid w:val="23E812A0"/>
    <w:rsid w:val="241155A9"/>
    <w:rsid w:val="241D716E"/>
    <w:rsid w:val="244412FB"/>
    <w:rsid w:val="2472524B"/>
    <w:rsid w:val="24AD2EBF"/>
    <w:rsid w:val="24BB5C18"/>
    <w:rsid w:val="253902A6"/>
    <w:rsid w:val="253F05F7"/>
    <w:rsid w:val="254A0D4A"/>
    <w:rsid w:val="254B358D"/>
    <w:rsid w:val="25517C49"/>
    <w:rsid w:val="256E6DFD"/>
    <w:rsid w:val="25891872"/>
    <w:rsid w:val="25B60EA7"/>
    <w:rsid w:val="25B678EC"/>
    <w:rsid w:val="25B736EC"/>
    <w:rsid w:val="25CC7C14"/>
    <w:rsid w:val="25F767DC"/>
    <w:rsid w:val="2613091A"/>
    <w:rsid w:val="264D0AF2"/>
    <w:rsid w:val="265909F3"/>
    <w:rsid w:val="26B33519"/>
    <w:rsid w:val="26BB5A5B"/>
    <w:rsid w:val="26E0066E"/>
    <w:rsid w:val="26E81DCB"/>
    <w:rsid w:val="26FE3B9A"/>
    <w:rsid w:val="273571C2"/>
    <w:rsid w:val="275A75F4"/>
    <w:rsid w:val="275E50DA"/>
    <w:rsid w:val="27621A0B"/>
    <w:rsid w:val="279E7B84"/>
    <w:rsid w:val="27B103DE"/>
    <w:rsid w:val="27DC4161"/>
    <w:rsid w:val="282A34FA"/>
    <w:rsid w:val="28302479"/>
    <w:rsid w:val="285445B2"/>
    <w:rsid w:val="28AE4089"/>
    <w:rsid w:val="28D24D9C"/>
    <w:rsid w:val="28F25980"/>
    <w:rsid w:val="28FE7045"/>
    <w:rsid w:val="2941798C"/>
    <w:rsid w:val="294C5129"/>
    <w:rsid w:val="295C70D0"/>
    <w:rsid w:val="295E4EA3"/>
    <w:rsid w:val="296F6FD1"/>
    <w:rsid w:val="29C70BBB"/>
    <w:rsid w:val="29CD4E78"/>
    <w:rsid w:val="29E4351B"/>
    <w:rsid w:val="2A305480"/>
    <w:rsid w:val="2A4E6005"/>
    <w:rsid w:val="2A8F70B0"/>
    <w:rsid w:val="2A9C3DF6"/>
    <w:rsid w:val="2AE43776"/>
    <w:rsid w:val="2B06015E"/>
    <w:rsid w:val="2B1D5459"/>
    <w:rsid w:val="2B276CB6"/>
    <w:rsid w:val="2B4F4ECF"/>
    <w:rsid w:val="2B6F284F"/>
    <w:rsid w:val="2BA74026"/>
    <w:rsid w:val="2C2263B3"/>
    <w:rsid w:val="2C5D75D0"/>
    <w:rsid w:val="2C9C2F72"/>
    <w:rsid w:val="2CB464D9"/>
    <w:rsid w:val="2CC15D7F"/>
    <w:rsid w:val="2CD01034"/>
    <w:rsid w:val="2CE83322"/>
    <w:rsid w:val="2D141CF6"/>
    <w:rsid w:val="2D502872"/>
    <w:rsid w:val="2D764930"/>
    <w:rsid w:val="2D984126"/>
    <w:rsid w:val="2DA03343"/>
    <w:rsid w:val="2DB31BE6"/>
    <w:rsid w:val="2DBE22D5"/>
    <w:rsid w:val="2E0A4375"/>
    <w:rsid w:val="2E0C3040"/>
    <w:rsid w:val="2E0D52BF"/>
    <w:rsid w:val="2E35623B"/>
    <w:rsid w:val="2E4E3659"/>
    <w:rsid w:val="2E6740D2"/>
    <w:rsid w:val="2EC138D2"/>
    <w:rsid w:val="2ED8288A"/>
    <w:rsid w:val="2EE205A6"/>
    <w:rsid w:val="2EEB317F"/>
    <w:rsid w:val="2F18216E"/>
    <w:rsid w:val="2F1E127D"/>
    <w:rsid w:val="2F2969EB"/>
    <w:rsid w:val="2F401502"/>
    <w:rsid w:val="2F462582"/>
    <w:rsid w:val="2F5673B3"/>
    <w:rsid w:val="2F597F13"/>
    <w:rsid w:val="2F714B04"/>
    <w:rsid w:val="2F806EF6"/>
    <w:rsid w:val="2F920A3A"/>
    <w:rsid w:val="2FED3439"/>
    <w:rsid w:val="2FFB71AB"/>
    <w:rsid w:val="300246FB"/>
    <w:rsid w:val="30064FDA"/>
    <w:rsid w:val="303773D1"/>
    <w:rsid w:val="30793AE8"/>
    <w:rsid w:val="30B55C11"/>
    <w:rsid w:val="31165933"/>
    <w:rsid w:val="316E7428"/>
    <w:rsid w:val="319B3695"/>
    <w:rsid w:val="31BF0E0A"/>
    <w:rsid w:val="31D35B62"/>
    <w:rsid w:val="31D976DD"/>
    <w:rsid w:val="32164205"/>
    <w:rsid w:val="32332253"/>
    <w:rsid w:val="324271A8"/>
    <w:rsid w:val="329D4BAF"/>
    <w:rsid w:val="32D10F12"/>
    <w:rsid w:val="331D35FA"/>
    <w:rsid w:val="333B777A"/>
    <w:rsid w:val="333F226C"/>
    <w:rsid w:val="339A2E9C"/>
    <w:rsid w:val="33A51F6D"/>
    <w:rsid w:val="33C26030"/>
    <w:rsid w:val="33C547A5"/>
    <w:rsid w:val="33E864A6"/>
    <w:rsid w:val="34526CBA"/>
    <w:rsid w:val="345A580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7815F78"/>
    <w:rsid w:val="385F275A"/>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992E93"/>
    <w:rsid w:val="3AB75147"/>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4041F2"/>
    <w:rsid w:val="3D734E8A"/>
    <w:rsid w:val="3D805368"/>
    <w:rsid w:val="3D820C29"/>
    <w:rsid w:val="3DB57993"/>
    <w:rsid w:val="3DF132CA"/>
    <w:rsid w:val="3E103B9E"/>
    <w:rsid w:val="3E2829E9"/>
    <w:rsid w:val="3E5113D8"/>
    <w:rsid w:val="3E832EAB"/>
    <w:rsid w:val="3EBE76C5"/>
    <w:rsid w:val="3ECC22A5"/>
    <w:rsid w:val="3EDB2CE7"/>
    <w:rsid w:val="3F1E0E25"/>
    <w:rsid w:val="3F324E7C"/>
    <w:rsid w:val="3F3E1D92"/>
    <w:rsid w:val="3F3E3276"/>
    <w:rsid w:val="3F5D36FC"/>
    <w:rsid w:val="3FA70E1B"/>
    <w:rsid w:val="3FB452E6"/>
    <w:rsid w:val="3FB5178A"/>
    <w:rsid w:val="3FF744E4"/>
    <w:rsid w:val="40077B0C"/>
    <w:rsid w:val="40290860"/>
    <w:rsid w:val="40297A82"/>
    <w:rsid w:val="403D54CD"/>
    <w:rsid w:val="406D41CF"/>
    <w:rsid w:val="407707ED"/>
    <w:rsid w:val="408028ED"/>
    <w:rsid w:val="40C7284E"/>
    <w:rsid w:val="40D623E9"/>
    <w:rsid w:val="40D95004"/>
    <w:rsid w:val="40F13E3D"/>
    <w:rsid w:val="40FB5C66"/>
    <w:rsid w:val="41212AAF"/>
    <w:rsid w:val="41597EF3"/>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0C466C"/>
    <w:rsid w:val="435F025C"/>
    <w:rsid w:val="43676230"/>
    <w:rsid w:val="442716E3"/>
    <w:rsid w:val="442A3DC9"/>
    <w:rsid w:val="44316131"/>
    <w:rsid w:val="443A04B0"/>
    <w:rsid w:val="445B0426"/>
    <w:rsid w:val="44623B29"/>
    <w:rsid w:val="44AC6153"/>
    <w:rsid w:val="44CB7E92"/>
    <w:rsid w:val="44D37FBC"/>
    <w:rsid w:val="44D53D34"/>
    <w:rsid w:val="44D81267"/>
    <w:rsid w:val="44DD1721"/>
    <w:rsid w:val="45260A34"/>
    <w:rsid w:val="45303661"/>
    <w:rsid w:val="4551727C"/>
    <w:rsid w:val="45653B06"/>
    <w:rsid w:val="45675307"/>
    <w:rsid w:val="4574425A"/>
    <w:rsid w:val="458D6DA1"/>
    <w:rsid w:val="458F2670"/>
    <w:rsid w:val="45D1463A"/>
    <w:rsid w:val="45E82159"/>
    <w:rsid w:val="45ED0F61"/>
    <w:rsid w:val="45FB77CB"/>
    <w:rsid w:val="460C19D8"/>
    <w:rsid w:val="46767799"/>
    <w:rsid w:val="46B5206F"/>
    <w:rsid w:val="46CA0775"/>
    <w:rsid w:val="46D53D73"/>
    <w:rsid w:val="471825FE"/>
    <w:rsid w:val="4727514F"/>
    <w:rsid w:val="47451645"/>
    <w:rsid w:val="475036EC"/>
    <w:rsid w:val="476304E5"/>
    <w:rsid w:val="483D1893"/>
    <w:rsid w:val="48407E8B"/>
    <w:rsid w:val="48492B5E"/>
    <w:rsid w:val="486A70F8"/>
    <w:rsid w:val="48941C0A"/>
    <w:rsid w:val="48D016B1"/>
    <w:rsid w:val="48EB621C"/>
    <w:rsid w:val="48EF63BC"/>
    <w:rsid w:val="48F03833"/>
    <w:rsid w:val="49143FE3"/>
    <w:rsid w:val="49410045"/>
    <w:rsid w:val="497B5EAF"/>
    <w:rsid w:val="49BB5BEF"/>
    <w:rsid w:val="49E550B8"/>
    <w:rsid w:val="4A304D72"/>
    <w:rsid w:val="4ABD50B2"/>
    <w:rsid w:val="4ADA08DD"/>
    <w:rsid w:val="4AF53CDA"/>
    <w:rsid w:val="4B302190"/>
    <w:rsid w:val="4B4B4D50"/>
    <w:rsid w:val="4B920BD1"/>
    <w:rsid w:val="4BCD1E1A"/>
    <w:rsid w:val="4C0D05F0"/>
    <w:rsid w:val="4C336232"/>
    <w:rsid w:val="4C4D68A6"/>
    <w:rsid w:val="4C5440D8"/>
    <w:rsid w:val="4C5B1CC0"/>
    <w:rsid w:val="4C6063F0"/>
    <w:rsid w:val="4C912C37"/>
    <w:rsid w:val="4CDE25B8"/>
    <w:rsid w:val="4D031C9B"/>
    <w:rsid w:val="4D237C5B"/>
    <w:rsid w:val="4D567F0A"/>
    <w:rsid w:val="4D6E195B"/>
    <w:rsid w:val="4D882C83"/>
    <w:rsid w:val="4DB33731"/>
    <w:rsid w:val="4DB34E9F"/>
    <w:rsid w:val="4DD45985"/>
    <w:rsid w:val="4DDE57A5"/>
    <w:rsid w:val="4DE4323A"/>
    <w:rsid w:val="4DED5CE9"/>
    <w:rsid w:val="4E015B9A"/>
    <w:rsid w:val="4E040F77"/>
    <w:rsid w:val="4E0D2791"/>
    <w:rsid w:val="4E2528C4"/>
    <w:rsid w:val="4E381FE7"/>
    <w:rsid w:val="4E7D3760"/>
    <w:rsid w:val="4EF15C0F"/>
    <w:rsid w:val="4F0478A8"/>
    <w:rsid w:val="4F0E4A13"/>
    <w:rsid w:val="4F245FE4"/>
    <w:rsid w:val="4F570614"/>
    <w:rsid w:val="4F7A3E56"/>
    <w:rsid w:val="4F7E3AF1"/>
    <w:rsid w:val="4FC81DBA"/>
    <w:rsid w:val="4FCB3ABB"/>
    <w:rsid w:val="4FE062C8"/>
    <w:rsid w:val="4FF260E2"/>
    <w:rsid w:val="50083210"/>
    <w:rsid w:val="501047BA"/>
    <w:rsid w:val="50493828"/>
    <w:rsid w:val="5051384E"/>
    <w:rsid w:val="507510AF"/>
    <w:rsid w:val="50792360"/>
    <w:rsid w:val="507C1E50"/>
    <w:rsid w:val="50932863"/>
    <w:rsid w:val="50A92418"/>
    <w:rsid w:val="50C64757"/>
    <w:rsid w:val="50E04186"/>
    <w:rsid w:val="511A7AB0"/>
    <w:rsid w:val="51251C70"/>
    <w:rsid w:val="512E2388"/>
    <w:rsid w:val="5154183D"/>
    <w:rsid w:val="51801680"/>
    <w:rsid w:val="51CF2578"/>
    <w:rsid w:val="51D44165"/>
    <w:rsid w:val="51D82289"/>
    <w:rsid w:val="51E101BC"/>
    <w:rsid w:val="522600D8"/>
    <w:rsid w:val="522C10EE"/>
    <w:rsid w:val="5230624E"/>
    <w:rsid w:val="524B7D2C"/>
    <w:rsid w:val="525E7F64"/>
    <w:rsid w:val="528B597C"/>
    <w:rsid w:val="52A031D1"/>
    <w:rsid w:val="52A92912"/>
    <w:rsid w:val="52B24B47"/>
    <w:rsid w:val="52B3031A"/>
    <w:rsid w:val="52BA1516"/>
    <w:rsid w:val="52D33D8B"/>
    <w:rsid w:val="52EF06B7"/>
    <w:rsid w:val="531039DD"/>
    <w:rsid w:val="53180D32"/>
    <w:rsid w:val="537938E1"/>
    <w:rsid w:val="53807F59"/>
    <w:rsid w:val="53966D81"/>
    <w:rsid w:val="53A729BB"/>
    <w:rsid w:val="53C77F81"/>
    <w:rsid w:val="549A6B3D"/>
    <w:rsid w:val="549C03CB"/>
    <w:rsid w:val="54C469B0"/>
    <w:rsid w:val="54E35FFA"/>
    <w:rsid w:val="54F71AA5"/>
    <w:rsid w:val="551254D1"/>
    <w:rsid w:val="55164621"/>
    <w:rsid w:val="55184EF2"/>
    <w:rsid w:val="557F5C64"/>
    <w:rsid w:val="55CE5FAF"/>
    <w:rsid w:val="55D65B5E"/>
    <w:rsid w:val="55FF50B5"/>
    <w:rsid w:val="563E671E"/>
    <w:rsid w:val="5647080A"/>
    <w:rsid w:val="56695122"/>
    <w:rsid w:val="567C6706"/>
    <w:rsid w:val="568D4A8B"/>
    <w:rsid w:val="56AD68BF"/>
    <w:rsid w:val="56E322E1"/>
    <w:rsid w:val="56F72C39"/>
    <w:rsid w:val="57265724"/>
    <w:rsid w:val="5741059C"/>
    <w:rsid w:val="57821C5F"/>
    <w:rsid w:val="5787376C"/>
    <w:rsid w:val="57EC71D5"/>
    <w:rsid w:val="581A249A"/>
    <w:rsid w:val="58340631"/>
    <w:rsid w:val="588621CE"/>
    <w:rsid w:val="588927B2"/>
    <w:rsid w:val="58A14202"/>
    <w:rsid w:val="58AC03AC"/>
    <w:rsid w:val="58B3037A"/>
    <w:rsid w:val="5906675A"/>
    <w:rsid w:val="593212FE"/>
    <w:rsid w:val="593432C8"/>
    <w:rsid w:val="596A327B"/>
    <w:rsid w:val="598F3C15"/>
    <w:rsid w:val="59A44AE5"/>
    <w:rsid w:val="59C43179"/>
    <w:rsid w:val="59E21F44"/>
    <w:rsid w:val="59EF7044"/>
    <w:rsid w:val="59FB5B93"/>
    <w:rsid w:val="59FE5EBF"/>
    <w:rsid w:val="5A1256BA"/>
    <w:rsid w:val="5A1B2694"/>
    <w:rsid w:val="5A736D06"/>
    <w:rsid w:val="5AB51CCA"/>
    <w:rsid w:val="5AB57322"/>
    <w:rsid w:val="5AB86B82"/>
    <w:rsid w:val="5ABC62B9"/>
    <w:rsid w:val="5ADF7263"/>
    <w:rsid w:val="5AED4C1B"/>
    <w:rsid w:val="5B2D4472"/>
    <w:rsid w:val="5BA52831"/>
    <w:rsid w:val="5BC0596D"/>
    <w:rsid w:val="5BE5635E"/>
    <w:rsid w:val="5BE74621"/>
    <w:rsid w:val="5C03587B"/>
    <w:rsid w:val="5C082ED9"/>
    <w:rsid w:val="5C453255"/>
    <w:rsid w:val="5C4805D9"/>
    <w:rsid w:val="5C482D1B"/>
    <w:rsid w:val="5C7236C4"/>
    <w:rsid w:val="5C8C4DD7"/>
    <w:rsid w:val="5C8E7193"/>
    <w:rsid w:val="5CAD7A90"/>
    <w:rsid w:val="5CB82BDC"/>
    <w:rsid w:val="5CBA0A27"/>
    <w:rsid w:val="5CE24F97"/>
    <w:rsid w:val="5CEC3B27"/>
    <w:rsid w:val="5D047455"/>
    <w:rsid w:val="5D656145"/>
    <w:rsid w:val="5D804893"/>
    <w:rsid w:val="5DA53F1B"/>
    <w:rsid w:val="5DA54794"/>
    <w:rsid w:val="5DC63FF9"/>
    <w:rsid w:val="5E082F75"/>
    <w:rsid w:val="5EFA37B3"/>
    <w:rsid w:val="5F4571B2"/>
    <w:rsid w:val="5F4F2373"/>
    <w:rsid w:val="5F6A078D"/>
    <w:rsid w:val="5F9A7BFD"/>
    <w:rsid w:val="5FA23A48"/>
    <w:rsid w:val="5FB36CBE"/>
    <w:rsid w:val="5FC627A0"/>
    <w:rsid w:val="5FD076A0"/>
    <w:rsid w:val="5FED36FB"/>
    <w:rsid w:val="606F72DB"/>
    <w:rsid w:val="607F3215"/>
    <w:rsid w:val="60BC5E8F"/>
    <w:rsid w:val="60C170FF"/>
    <w:rsid w:val="60CC0666"/>
    <w:rsid w:val="610E27AB"/>
    <w:rsid w:val="611511C3"/>
    <w:rsid w:val="61393910"/>
    <w:rsid w:val="61710A64"/>
    <w:rsid w:val="61D84352"/>
    <w:rsid w:val="61DA4AD9"/>
    <w:rsid w:val="61F335F4"/>
    <w:rsid w:val="623D3E1F"/>
    <w:rsid w:val="62626313"/>
    <w:rsid w:val="629D4803"/>
    <w:rsid w:val="62AE498D"/>
    <w:rsid w:val="62ED1A72"/>
    <w:rsid w:val="630F6412"/>
    <w:rsid w:val="637F5A87"/>
    <w:rsid w:val="638048A2"/>
    <w:rsid w:val="638A2399"/>
    <w:rsid w:val="63CF6F35"/>
    <w:rsid w:val="63D57455"/>
    <w:rsid w:val="63EF2CB1"/>
    <w:rsid w:val="63EF49BB"/>
    <w:rsid w:val="63F74842"/>
    <w:rsid w:val="63FF44D2"/>
    <w:rsid w:val="64077840"/>
    <w:rsid w:val="641504F8"/>
    <w:rsid w:val="6435406C"/>
    <w:rsid w:val="64601415"/>
    <w:rsid w:val="64774677"/>
    <w:rsid w:val="64AB0CD1"/>
    <w:rsid w:val="64C96613"/>
    <w:rsid w:val="64D84E1A"/>
    <w:rsid w:val="65312DB1"/>
    <w:rsid w:val="6558033E"/>
    <w:rsid w:val="656606E0"/>
    <w:rsid w:val="65675ED4"/>
    <w:rsid w:val="658C2053"/>
    <w:rsid w:val="65EB11B2"/>
    <w:rsid w:val="66576847"/>
    <w:rsid w:val="66672543"/>
    <w:rsid w:val="6683497C"/>
    <w:rsid w:val="66B21CD0"/>
    <w:rsid w:val="66E872A7"/>
    <w:rsid w:val="676E5CC7"/>
    <w:rsid w:val="67E14BAB"/>
    <w:rsid w:val="67EE0AE5"/>
    <w:rsid w:val="67F71E56"/>
    <w:rsid w:val="68145423"/>
    <w:rsid w:val="683A3D2B"/>
    <w:rsid w:val="684C44B3"/>
    <w:rsid w:val="68880F3A"/>
    <w:rsid w:val="690F1726"/>
    <w:rsid w:val="691922CA"/>
    <w:rsid w:val="6942765C"/>
    <w:rsid w:val="69773550"/>
    <w:rsid w:val="697A47E0"/>
    <w:rsid w:val="69D8608D"/>
    <w:rsid w:val="6A2D5CB0"/>
    <w:rsid w:val="6A4D2110"/>
    <w:rsid w:val="6A663992"/>
    <w:rsid w:val="6A6A6920"/>
    <w:rsid w:val="6A7D0A56"/>
    <w:rsid w:val="6AB10CF8"/>
    <w:rsid w:val="6ABA6C3B"/>
    <w:rsid w:val="6B4078AA"/>
    <w:rsid w:val="6B4663C9"/>
    <w:rsid w:val="6B7B7F55"/>
    <w:rsid w:val="6B981494"/>
    <w:rsid w:val="6BA57CEF"/>
    <w:rsid w:val="6BB90159"/>
    <w:rsid w:val="6BCC3834"/>
    <w:rsid w:val="6BD84130"/>
    <w:rsid w:val="6C111246"/>
    <w:rsid w:val="6C124248"/>
    <w:rsid w:val="6C6B059F"/>
    <w:rsid w:val="6C8E6D3B"/>
    <w:rsid w:val="6C9555FE"/>
    <w:rsid w:val="6C97605D"/>
    <w:rsid w:val="6CA00B62"/>
    <w:rsid w:val="6CBD4F2A"/>
    <w:rsid w:val="6CFE27E3"/>
    <w:rsid w:val="6D274D94"/>
    <w:rsid w:val="6D8C026B"/>
    <w:rsid w:val="6D955447"/>
    <w:rsid w:val="6D9E0D2D"/>
    <w:rsid w:val="6D9E2EF6"/>
    <w:rsid w:val="6DAD3879"/>
    <w:rsid w:val="6DD01AB0"/>
    <w:rsid w:val="6DD857F0"/>
    <w:rsid w:val="6DE94229"/>
    <w:rsid w:val="6DEB139F"/>
    <w:rsid w:val="6DF350A8"/>
    <w:rsid w:val="6E07407C"/>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4D02A4"/>
    <w:rsid w:val="6F793947"/>
    <w:rsid w:val="6FC83DE4"/>
    <w:rsid w:val="6FD9651F"/>
    <w:rsid w:val="6FDB7D0C"/>
    <w:rsid w:val="6FDC23B5"/>
    <w:rsid w:val="705D0EFE"/>
    <w:rsid w:val="7060279C"/>
    <w:rsid w:val="706B3710"/>
    <w:rsid w:val="706B4417"/>
    <w:rsid w:val="70784F6A"/>
    <w:rsid w:val="709E433C"/>
    <w:rsid w:val="70AD066D"/>
    <w:rsid w:val="70B2470E"/>
    <w:rsid w:val="70B46822"/>
    <w:rsid w:val="70D77260"/>
    <w:rsid w:val="70E17439"/>
    <w:rsid w:val="710377E1"/>
    <w:rsid w:val="713117D3"/>
    <w:rsid w:val="713F23B2"/>
    <w:rsid w:val="715F2A54"/>
    <w:rsid w:val="716B764B"/>
    <w:rsid w:val="717B1097"/>
    <w:rsid w:val="71817101"/>
    <w:rsid w:val="71943263"/>
    <w:rsid w:val="71A10531"/>
    <w:rsid w:val="71B80224"/>
    <w:rsid w:val="71CF7BDA"/>
    <w:rsid w:val="71DE09E8"/>
    <w:rsid w:val="720B21A0"/>
    <w:rsid w:val="72231CD3"/>
    <w:rsid w:val="72414B2C"/>
    <w:rsid w:val="725956F5"/>
    <w:rsid w:val="72771820"/>
    <w:rsid w:val="72775B5D"/>
    <w:rsid w:val="72E163D5"/>
    <w:rsid w:val="73010267"/>
    <w:rsid w:val="730651BF"/>
    <w:rsid w:val="732C1100"/>
    <w:rsid w:val="73400A3E"/>
    <w:rsid w:val="734D2E7F"/>
    <w:rsid w:val="735D7E91"/>
    <w:rsid w:val="737A5923"/>
    <w:rsid w:val="738B5D82"/>
    <w:rsid w:val="7395275D"/>
    <w:rsid w:val="73CF6471"/>
    <w:rsid w:val="73F118A1"/>
    <w:rsid w:val="7480340D"/>
    <w:rsid w:val="74956EB9"/>
    <w:rsid w:val="7496678D"/>
    <w:rsid w:val="749E5641"/>
    <w:rsid w:val="74EE7509"/>
    <w:rsid w:val="751540E3"/>
    <w:rsid w:val="757762DF"/>
    <w:rsid w:val="75CA040D"/>
    <w:rsid w:val="75D91027"/>
    <w:rsid w:val="76085468"/>
    <w:rsid w:val="76183CDA"/>
    <w:rsid w:val="764861AD"/>
    <w:rsid w:val="764C0E19"/>
    <w:rsid w:val="76570D9E"/>
    <w:rsid w:val="765A1D4D"/>
    <w:rsid w:val="766308F1"/>
    <w:rsid w:val="76B55A6D"/>
    <w:rsid w:val="772B58B2"/>
    <w:rsid w:val="772F009D"/>
    <w:rsid w:val="77503328"/>
    <w:rsid w:val="777E3905"/>
    <w:rsid w:val="777F6544"/>
    <w:rsid w:val="77813724"/>
    <w:rsid w:val="77822AD2"/>
    <w:rsid w:val="779A33A8"/>
    <w:rsid w:val="78263FA6"/>
    <w:rsid w:val="783E7867"/>
    <w:rsid w:val="7846297D"/>
    <w:rsid w:val="7859644F"/>
    <w:rsid w:val="786D3F45"/>
    <w:rsid w:val="78941235"/>
    <w:rsid w:val="78B13B95"/>
    <w:rsid w:val="78E40FA3"/>
    <w:rsid w:val="791E0B39"/>
    <w:rsid w:val="79487052"/>
    <w:rsid w:val="79586707"/>
    <w:rsid w:val="79941F77"/>
    <w:rsid w:val="79BE0C60"/>
    <w:rsid w:val="79C218C0"/>
    <w:rsid w:val="79E06FD9"/>
    <w:rsid w:val="79F006ED"/>
    <w:rsid w:val="79F53437"/>
    <w:rsid w:val="7A052A13"/>
    <w:rsid w:val="7A144B1A"/>
    <w:rsid w:val="7A2B3BCE"/>
    <w:rsid w:val="7A7430CC"/>
    <w:rsid w:val="7A80169B"/>
    <w:rsid w:val="7AC3206E"/>
    <w:rsid w:val="7AC51215"/>
    <w:rsid w:val="7AE446F6"/>
    <w:rsid w:val="7AFF6ACD"/>
    <w:rsid w:val="7B0326A2"/>
    <w:rsid w:val="7B0F54EB"/>
    <w:rsid w:val="7B436E21"/>
    <w:rsid w:val="7B54666E"/>
    <w:rsid w:val="7B5B0429"/>
    <w:rsid w:val="7B615E02"/>
    <w:rsid w:val="7B6B795B"/>
    <w:rsid w:val="7BBC6B0F"/>
    <w:rsid w:val="7BF1357F"/>
    <w:rsid w:val="7C4A2065"/>
    <w:rsid w:val="7C796F1F"/>
    <w:rsid w:val="7C855349"/>
    <w:rsid w:val="7CAA6238"/>
    <w:rsid w:val="7CFE65CC"/>
    <w:rsid w:val="7D085F7C"/>
    <w:rsid w:val="7D404FB3"/>
    <w:rsid w:val="7D8C349D"/>
    <w:rsid w:val="7D8C697F"/>
    <w:rsid w:val="7DA02855"/>
    <w:rsid w:val="7DC73E5B"/>
    <w:rsid w:val="7DC73F51"/>
    <w:rsid w:val="7E0B1DFF"/>
    <w:rsid w:val="7E134C71"/>
    <w:rsid w:val="7E2352CD"/>
    <w:rsid w:val="7E2A3C98"/>
    <w:rsid w:val="7E5043EB"/>
    <w:rsid w:val="7E504B1C"/>
    <w:rsid w:val="7E604231"/>
    <w:rsid w:val="7E8779A3"/>
    <w:rsid w:val="7EB34E00"/>
    <w:rsid w:val="7EF2571C"/>
    <w:rsid w:val="7F107F87"/>
    <w:rsid w:val="7F210F90"/>
    <w:rsid w:val="7F3359EE"/>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Body Text Indent"/>
    <w:basedOn w:val="1"/>
    <w:next w:val="10"/>
    <w:link w:val="40"/>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link w:val="41"/>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Quote"/>
    <w:basedOn w:val="1"/>
    <w:next w:val="1"/>
    <w:unhideWhenUsed/>
    <w:qFormat/>
    <w:uiPriority w:val="99"/>
    <w:pPr>
      <w:ind w:left="864" w:right="864"/>
      <w:jc w:val="center"/>
    </w:pPr>
    <w:rPr>
      <w:rFonts w:ascii="Times New Roman" w:hAnsi="Times New Roman"/>
      <w:i/>
      <w:iCs/>
      <w:color w:val="404040"/>
      <w:szCs w:val="21"/>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9"/>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FollowedHyperlink"/>
    <w:basedOn w:val="23"/>
    <w:qFormat/>
    <w:uiPriority w:val="0"/>
    <w:rPr>
      <w:color w:val="555555"/>
      <w:u w:val="none"/>
    </w:rPr>
  </w:style>
  <w:style w:type="character" w:styleId="27">
    <w:name w:val="Emphasis"/>
    <w:basedOn w:val="23"/>
    <w:qFormat/>
    <w:uiPriority w:val="0"/>
  </w:style>
  <w:style w:type="character" w:styleId="28">
    <w:name w:val="HTML Definition"/>
    <w:basedOn w:val="23"/>
    <w:qFormat/>
    <w:uiPriority w:val="0"/>
  </w:style>
  <w:style w:type="character" w:styleId="29">
    <w:name w:val="HTML Variable"/>
    <w:basedOn w:val="23"/>
    <w:qFormat/>
    <w:uiPriority w:val="0"/>
  </w:style>
  <w:style w:type="character" w:styleId="30">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1">
    <w:name w:val="HTML Cite"/>
    <w:basedOn w:val="23"/>
    <w:qFormat/>
    <w:uiPriority w:val="0"/>
  </w:style>
  <w:style w:type="character" w:styleId="32">
    <w:name w:val="footnote reference"/>
    <w:unhideWhenUsed/>
    <w:qFormat/>
    <w:uiPriority w:val="0"/>
    <w:rPr>
      <w:vertAlign w:val="superscript"/>
    </w:rPr>
  </w:style>
  <w:style w:type="paragraph" w:customStyle="1" w:styleId="33">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4">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5">
    <w:name w:val="WPSOffice手动目录 1"/>
    <w:qFormat/>
    <w:uiPriority w:val="0"/>
    <w:rPr>
      <w:rFonts w:asciiTheme="minorHAnsi" w:hAnsiTheme="minorHAnsi" w:eastAsiaTheme="minorEastAsia" w:cstheme="minorBidi"/>
      <w:lang w:val="en-US" w:eastAsia="zh-CN" w:bidi="ar-SA"/>
    </w:rPr>
  </w:style>
  <w:style w:type="character" w:customStyle="1" w:styleId="36">
    <w:name w:val="font61"/>
    <w:basedOn w:val="23"/>
    <w:qFormat/>
    <w:uiPriority w:val="0"/>
    <w:rPr>
      <w:rFonts w:hint="eastAsia" w:ascii="宋体" w:hAnsi="宋体" w:eastAsia="宋体" w:cs="宋体"/>
      <w:color w:val="000000"/>
      <w:sz w:val="20"/>
      <w:szCs w:val="20"/>
      <w:u w:val="none"/>
    </w:rPr>
  </w:style>
  <w:style w:type="character" w:customStyle="1" w:styleId="37">
    <w:name w:val="font141"/>
    <w:basedOn w:val="23"/>
    <w:qFormat/>
    <w:uiPriority w:val="0"/>
    <w:rPr>
      <w:rFonts w:hint="eastAsia" w:ascii="宋体" w:hAnsi="宋体" w:eastAsia="宋体" w:cs="宋体"/>
      <w:color w:val="000000"/>
      <w:sz w:val="24"/>
      <w:szCs w:val="24"/>
      <w:u w:val="none"/>
      <w:vertAlign w:val="superscript"/>
    </w:rPr>
  </w:style>
  <w:style w:type="paragraph" w:customStyle="1" w:styleId="38">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9">
    <w:name w:val="List Paragraph"/>
    <w:basedOn w:val="1"/>
    <w:qFormat/>
    <w:uiPriority w:val="1"/>
    <w:pPr>
      <w:ind w:left="235" w:hanging="527"/>
    </w:pPr>
    <w:rPr>
      <w:rFonts w:ascii="宋体" w:hAnsi="宋体" w:eastAsia="宋体" w:cs="宋体"/>
      <w:lang w:val="zh-CN" w:eastAsia="zh-CN" w:bidi="zh-CN"/>
    </w:rPr>
  </w:style>
  <w:style w:type="character" w:customStyle="1" w:styleId="40">
    <w:name w:val="正文文本缩进 Char"/>
    <w:link w:val="9"/>
    <w:qFormat/>
    <w:uiPriority w:val="0"/>
  </w:style>
  <w:style w:type="character" w:customStyle="1" w:styleId="41">
    <w:name w:val="纯文本 Char"/>
    <w:link w:val="11"/>
    <w:qFormat/>
    <w:uiPriority w:val="0"/>
    <w:rPr>
      <w:rFonts w:ascii="宋体" w:hAnsi="Courier New"/>
      <w:szCs w:val="20"/>
    </w:rPr>
  </w:style>
  <w:style w:type="paragraph" w:customStyle="1" w:styleId="42">
    <w:name w:val="Table Paragraph"/>
    <w:basedOn w:val="1"/>
    <w:qFormat/>
    <w:uiPriority w:val="1"/>
    <w:rPr>
      <w:rFonts w:ascii="宋体" w:hAnsi="宋体" w:eastAsia="宋体" w:cs="宋体"/>
    </w:rPr>
  </w:style>
  <w:style w:type="table" w:customStyle="1" w:styleId="43">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4">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5">
    <w:name w:val="font41"/>
    <w:basedOn w:val="23"/>
    <w:qFormat/>
    <w:uiPriority w:val="0"/>
    <w:rPr>
      <w:rFonts w:hint="eastAsia" w:ascii="宋体" w:hAnsi="宋体" w:eastAsia="宋体" w:cs="宋体"/>
      <w:color w:val="000000"/>
      <w:sz w:val="22"/>
      <w:szCs w:val="22"/>
      <w:u w:val="none"/>
    </w:rPr>
  </w:style>
  <w:style w:type="character" w:customStyle="1" w:styleId="46">
    <w:name w:val="font51"/>
    <w:basedOn w:val="23"/>
    <w:qFormat/>
    <w:uiPriority w:val="0"/>
    <w:rPr>
      <w:rFonts w:hint="eastAsia" w:ascii="宋体" w:hAnsi="宋体" w:eastAsia="宋体" w:cs="宋体"/>
      <w:color w:val="000000"/>
      <w:sz w:val="22"/>
      <w:szCs w:val="22"/>
      <w:u w:val="none"/>
    </w:rPr>
  </w:style>
  <w:style w:type="character" w:customStyle="1" w:styleId="47">
    <w:name w:val="font91"/>
    <w:basedOn w:val="23"/>
    <w:qFormat/>
    <w:uiPriority w:val="0"/>
    <w:rPr>
      <w:rFonts w:ascii="Arial" w:hAnsi="Arial" w:cs="Arial"/>
      <w:color w:val="000000"/>
      <w:sz w:val="22"/>
      <w:szCs w:val="22"/>
      <w:u w:val="none"/>
    </w:rPr>
  </w:style>
  <w:style w:type="character" w:customStyle="1" w:styleId="48">
    <w:name w:val="font121"/>
    <w:autoRedefine/>
    <w:qFormat/>
    <w:uiPriority w:val="0"/>
    <w:rPr>
      <w:rFonts w:hint="default" w:ascii="Calibri" w:hAnsi="Calibri" w:cs="Calibri"/>
      <w:color w:val="000000"/>
      <w:sz w:val="24"/>
      <w:szCs w:val="24"/>
      <w:u w:val="none"/>
    </w:rPr>
  </w:style>
  <w:style w:type="character" w:customStyle="1" w:styleId="49">
    <w:name w:val="font11"/>
    <w:basedOn w:val="23"/>
    <w:qFormat/>
    <w:uiPriority w:val="0"/>
    <w:rPr>
      <w:rFonts w:ascii="Arial" w:hAnsi="Arial" w:cs="Arial"/>
      <w:color w:val="000000"/>
      <w:sz w:val="20"/>
      <w:szCs w:val="20"/>
      <w:u w:val="none"/>
    </w:rPr>
  </w:style>
  <w:style w:type="character" w:customStyle="1" w:styleId="50">
    <w:name w:val="font21"/>
    <w:basedOn w:val="23"/>
    <w:qFormat/>
    <w:uiPriority w:val="0"/>
    <w:rPr>
      <w:rFonts w:hint="eastAsia" w:ascii="宋体" w:hAnsi="宋体" w:eastAsia="宋体" w:cs="宋体"/>
      <w:color w:val="000000"/>
      <w:sz w:val="20"/>
      <w:szCs w:val="20"/>
      <w:u w:val="none"/>
    </w:rPr>
  </w:style>
  <w:style w:type="character" w:customStyle="1" w:styleId="51">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9217</Words>
  <Characters>9993</Characters>
  <Lines>1</Lines>
  <Paragraphs>1</Paragraphs>
  <TotalTime>0</TotalTime>
  <ScaleCrop>false</ScaleCrop>
  <LinksUpToDate>false</LinksUpToDate>
  <CharactersWithSpaces>10341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2025-06-04T08:51:00Z</cp:lastPrinted>
  <dcterms:modified xsi:type="dcterms:W3CDTF">2025-06-04T09:06:59Z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D3BB331D3962450D87CDFCBC7E10A549_13</vt:lpwstr>
  </property>
  <property fmtid="{D5CDD505-2E9C-101B-9397-08002B2CF9AE}" pid="4" name="KSOTemplateDocerSaveRecord">
    <vt:lpwstr>eyJoZGlkIjoiOTNlYWU1OTc2YWUwYzUwMzgwNTIxYWNjZDkyMTNmYjkiLCJ1c2VySWQiOiI0MDU4NDYwODgifQ==</vt:lpwstr>
  </property>
</Properties>
</file>