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E93FB">
      <w:pPr>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附件3</w:t>
      </w:r>
    </w:p>
    <w:p w14:paraId="034C303B">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评审办法</w:t>
      </w:r>
      <w:bookmarkEnd w:id="0"/>
    </w:p>
    <w:p w14:paraId="36DC22EC">
      <w:pPr>
        <w:spacing w:line="560" w:lineRule="exact"/>
        <w:jc w:val="center"/>
        <w:rPr>
          <w:rFonts w:ascii="方正小标宋简体" w:eastAsia="方正小标宋简体"/>
          <w:sz w:val="44"/>
          <w:szCs w:val="44"/>
        </w:rPr>
      </w:pPr>
    </w:p>
    <w:p w14:paraId="0D8939A2">
      <w:pPr>
        <w:spacing w:line="560" w:lineRule="exact"/>
        <w:ind w:firstLine="640" w:firstLineChars="200"/>
        <w:rPr>
          <w:rFonts w:ascii="黑体" w:hAnsi="黑体" w:eastAsia="黑体"/>
          <w:sz w:val="32"/>
          <w:szCs w:val="32"/>
        </w:rPr>
      </w:pPr>
      <w:r>
        <w:rPr>
          <w:rFonts w:hint="eastAsia" w:ascii="黑体" w:hAnsi="黑体" w:eastAsia="黑体"/>
          <w:sz w:val="32"/>
          <w:szCs w:val="32"/>
        </w:rPr>
        <w:t>一、评审方法</w:t>
      </w:r>
    </w:p>
    <w:p w14:paraId="181773D3">
      <w:pPr>
        <w:spacing w:line="560" w:lineRule="exact"/>
        <w:ind w:firstLine="640" w:firstLineChars="200"/>
        <w:rPr>
          <w:rFonts w:ascii="仿宋_GB2312" w:eastAsia="仿宋_GB2312"/>
          <w:sz w:val="32"/>
          <w:szCs w:val="32"/>
        </w:rPr>
      </w:pPr>
      <w:r>
        <w:rPr>
          <w:rFonts w:hint="eastAsia" w:ascii="仿宋_GB2312" w:eastAsia="仿宋_GB2312"/>
          <w:sz w:val="32"/>
          <w:szCs w:val="32"/>
        </w:rPr>
        <w:t>本次评审采用综合评分法。评审小组对满足询比文件实质性要求的响应文件按照评分标准进行打分，根据综合得分由高到低依次推荐成交候选人。</w:t>
      </w:r>
    </w:p>
    <w:p w14:paraId="73863D01">
      <w:pPr>
        <w:spacing w:line="560" w:lineRule="exact"/>
        <w:ind w:firstLine="640" w:firstLineChars="200"/>
        <w:rPr>
          <w:rFonts w:ascii="仿宋_GB2312" w:eastAsia="仿宋_GB2312"/>
          <w:sz w:val="32"/>
          <w:szCs w:val="32"/>
        </w:rPr>
      </w:pPr>
      <w:r>
        <w:rPr>
          <w:rFonts w:hint="eastAsia" w:ascii="仿宋_GB2312" w:eastAsia="仿宋_GB2312"/>
          <w:sz w:val="32"/>
          <w:szCs w:val="32"/>
        </w:rPr>
        <w:t>当综合得分相等时，以评审价得分高的优先；评审价得分也相等的，以报价低的优先；报价也相等的，以递交响应文件在前的优先。</w:t>
      </w:r>
    </w:p>
    <w:p w14:paraId="0A295E3E">
      <w:pPr>
        <w:spacing w:line="560" w:lineRule="exact"/>
        <w:ind w:firstLine="640" w:firstLineChars="200"/>
        <w:rPr>
          <w:rFonts w:ascii="黑体" w:hAnsi="黑体" w:eastAsia="黑体"/>
          <w:sz w:val="32"/>
          <w:szCs w:val="32"/>
        </w:rPr>
      </w:pPr>
      <w:r>
        <w:rPr>
          <w:rFonts w:ascii="黑体" w:hAnsi="黑体" w:eastAsia="黑体"/>
          <w:sz w:val="32"/>
          <w:szCs w:val="32"/>
        </w:rPr>
        <w:t>2. 评审标准</w:t>
      </w:r>
    </w:p>
    <w:p w14:paraId="07B3B988">
      <w:pPr>
        <w:spacing w:line="560" w:lineRule="exact"/>
        <w:ind w:firstLine="640" w:firstLineChars="200"/>
        <w:rPr>
          <w:rFonts w:ascii="仿宋_GB2312" w:eastAsia="仿宋_GB2312"/>
          <w:sz w:val="32"/>
          <w:szCs w:val="32"/>
        </w:rPr>
      </w:pPr>
      <w:r>
        <w:rPr>
          <w:rFonts w:hint="eastAsia" w:ascii="仿宋_GB2312" w:eastAsia="仿宋_GB2312"/>
          <w:sz w:val="32"/>
          <w:szCs w:val="32"/>
        </w:rPr>
        <w:t>满分100分。</w:t>
      </w:r>
    </w:p>
    <w:tbl>
      <w:tblPr>
        <w:tblStyle w:val="11"/>
        <w:tblW w:w="9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98"/>
        <w:gridCol w:w="953"/>
        <w:gridCol w:w="2977"/>
        <w:gridCol w:w="1054"/>
        <w:gridCol w:w="1771"/>
      </w:tblGrid>
      <w:tr w14:paraId="4176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7433" w:type="dxa"/>
            <w:gridSpan w:val="5"/>
            <w:tcBorders>
              <w:top w:val="single" w:color="auto" w:sz="4" w:space="0"/>
            </w:tcBorders>
          </w:tcPr>
          <w:p w14:paraId="0561F074">
            <w:pPr>
              <w:spacing w:line="380" w:lineRule="atLeast"/>
              <w:jc w:val="center"/>
              <w:rPr>
                <w:rFonts w:ascii="Times New Roman" w:hAnsi="Times New Roman" w:cs="Times New Roman"/>
                <w:b/>
                <w:szCs w:val="21"/>
              </w:rPr>
            </w:pPr>
            <w:r>
              <w:rPr>
                <w:rFonts w:ascii="Times New Roman" w:hAnsi="Times New Roman" w:cs="Times New Roman"/>
                <w:b/>
                <w:szCs w:val="21"/>
              </w:rPr>
              <w:t>评分因素与权重分值</w:t>
            </w:r>
          </w:p>
        </w:tc>
        <w:tc>
          <w:tcPr>
            <w:tcW w:w="1771" w:type="dxa"/>
            <w:vMerge w:val="restart"/>
            <w:tcBorders>
              <w:top w:val="single" w:color="auto" w:sz="4" w:space="0"/>
            </w:tcBorders>
            <w:vAlign w:val="center"/>
          </w:tcPr>
          <w:p w14:paraId="77D1C6C4">
            <w:pPr>
              <w:spacing w:line="380" w:lineRule="atLeast"/>
              <w:jc w:val="center"/>
              <w:rPr>
                <w:rFonts w:ascii="Times New Roman" w:hAnsi="Times New Roman" w:cs="Times New Roman"/>
                <w:b/>
                <w:szCs w:val="21"/>
              </w:rPr>
            </w:pPr>
            <w:r>
              <w:rPr>
                <w:rFonts w:ascii="Times New Roman" w:hAnsi="Times New Roman" w:cs="Times New Roman"/>
                <w:b/>
                <w:szCs w:val="21"/>
              </w:rPr>
              <w:t>评分标准</w:t>
            </w:r>
          </w:p>
        </w:tc>
      </w:tr>
      <w:tr w14:paraId="6B82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blHeader/>
        </w:trPr>
        <w:tc>
          <w:tcPr>
            <w:tcW w:w="851" w:type="dxa"/>
            <w:vAlign w:val="center"/>
          </w:tcPr>
          <w:p w14:paraId="751332E3">
            <w:pPr>
              <w:spacing w:line="380" w:lineRule="atLeast"/>
              <w:jc w:val="center"/>
              <w:rPr>
                <w:rFonts w:ascii="Times New Roman" w:hAnsi="Times New Roman" w:cs="Times New Roman"/>
                <w:b/>
                <w:szCs w:val="21"/>
              </w:rPr>
            </w:pPr>
            <w:r>
              <w:rPr>
                <w:rFonts w:ascii="Times New Roman" w:hAnsi="Times New Roman" w:cs="Times New Roman"/>
                <w:b/>
                <w:szCs w:val="21"/>
              </w:rPr>
              <w:t>条款号</w:t>
            </w:r>
          </w:p>
        </w:tc>
        <w:tc>
          <w:tcPr>
            <w:tcW w:w="1598" w:type="dxa"/>
            <w:vAlign w:val="center"/>
          </w:tcPr>
          <w:p w14:paraId="2D0BDA43">
            <w:pPr>
              <w:spacing w:line="380" w:lineRule="atLeast"/>
              <w:jc w:val="center"/>
              <w:rPr>
                <w:rFonts w:ascii="Times New Roman" w:hAnsi="Times New Roman" w:cs="Times New Roman"/>
                <w:b/>
                <w:szCs w:val="21"/>
              </w:rPr>
            </w:pPr>
            <w:r>
              <w:rPr>
                <w:rFonts w:ascii="Times New Roman" w:hAnsi="Times New Roman" w:cs="Times New Roman"/>
                <w:b/>
                <w:szCs w:val="21"/>
              </w:rPr>
              <w:t>评分因素</w:t>
            </w:r>
          </w:p>
        </w:tc>
        <w:tc>
          <w:tcPr>
            <w:tcW w:w="953" w:type="dxa"/>
            <w:vAlign w:val="center"/>
          </w:tcPr>
          <w:p w14:paraId="023CBAAE">
            <w:pPr>
              <w:spacing w:line="380" w:lineRule="atLeast"/>
              <w:ind w:left="-105" w:leftChars="-50" w:right="-105" w:rightChars="-50"/>
              <w:jc w:val="center"/>
              <w:rPr>
                <w:rFonts w:ascii="Times New Roman" w:hAnsi="Times New Roman" w:cs="Times New Roman"/>
                <w:b/>
                <w:szCs w:val="21"/>
              </w:rPr>
            </w:pPr>
            <w:r>
              <w:rPr>
                <w:rFonts w:ascii="Times New Roman" w:hAnsi="Times New Roman" w:cs="Times New Roman"/>
                <w:b/>
                <w:szCs w:val="21"/>
              </w:rPr>
              <w:t>评分因素权重分值</w:t>
            </w:r>
          </w:p>
        </w:tc>
        <w:tc>
          <w:tcPr>
            <w:tcW w:w="2977" w:type="dxa"/>
            <w:vAlign w:val="center"/>
          </w:tcPr>
          <w:p w14:paraId="49D4AE32">
            <w:pPr>
              <w:spacing w:line="380" w:lineRule="atLeast"/>
              <w:jc w:val="center"/>
              <w:rPr>
                <w:rFonts w:ascii="Times New Roman" w:hAnsi="Times New Roman" w:cs="Times New Roman"/>
                <w:b/>
                <w:szCs w:val="21"/>
              </w:rPr>
            </w:pPr>
            <w:r>
              <w:rPr>
                <w:rFonts w:ascii="Times New Roman" w:hAnsi="Times New Roman" w:cs="Times New Roman"/>
                <w:b/>
                <w:szCs w:val="21"/>
              </w:rPr>
              <w:t>各评分因素细分项</w:t>
            </w:r>
          </w:p>
        </w:tc>
        <w:tc>
          <w:tcPr>
            <w:tcW w:w="1054" w:type="dxa"/>
            <w:vAlign w:val="center"/>
          </w:tcPr>
          <w:p w14:paraId="70507D22">
            <w:pPr>
              <w:spacing w:line="380" w:lineRule="atLeast"/>
              <w:jc w:val="center"/>
              <w:rPr>
                <w:rFonts w:ascii="Times New Roman" w:hAnsi="Times New Roman" w:cs="Times New Roman"/>
                <w:b/>
                <w:szCs w:val="21"/>
              </w:rPr>
            </w:pPr>
            <w:r>
              <w:rPr>
                <w:rFonts w:ascii="Times New Roman" w:hAnsi="Times New Roman" w:cs="Times New Roman"/>
                <w:b/>
                <w:szCs w:val="21"/>
              </w:rPr>
              <w:t>分值</w:t>
            </w:r>
          </w:p>
        </w:tc>
        <w:tc>
          <w:tcPr>
            <w:tcW w:w="1771" w:type="dxa"/>
            <w:vMerge w:val="continue"/>
          </w:tcPr>
          <w:p w14:paraId="526047FB">
            <w:pPr>
              <w:spacing w:line="380" w:lineRule="atLeast"/>
              <w:jc w:val="center"/>
              <w:rPr>
                <w:rFonts w:ascii="Times New Roman" w:hAnsi="Times New Roman" w:cs="Times New Roman"/>
                <w:b/>
                <w:szCs w:val="21"/>
              </w:rPr>
            </w:pPr>
          </w:p>
        </w:tc>
      </w:tr>
      <w:tr w14:paraId="4335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851" w:type="dxa"/>
            <w:vAlign w:val="center"/>
          </w:tcPr>
          <w:p w14:paraId="5FCDA326">
            <w:pPr>
              <w:spacing w:line="380" w:lineRule="atLeast"/>
              <w:jc w:val="center"/>
              <w:rPr>
                <w:rFonts w:ascii="Times New Roman" w:hAnsi="Times New Roman" w:cs="Times New Roman"/>
                <w:szCs w:val="21"/>
              </w:rPr>
            </w:pPr>
            <w:r>
              <w:rPr>
                <w:rFonts w:hint="eastAsia" w:ascii="Times New Roman" w:hAnsi="Times New Roman" w:cs="Times New Roman"/>
                <w:szCs w:val="21"/>
              </w:rPr>
              <w:t>1</w:t>
            </w:r>
          </w:p>
        </w:tc>
        <w:tc>
          <w:tcPr>
            <w:tcW w:w="1598" w:type="dxa"/>
            <w:vAlign w:val="center"/>
          </w:tcPr>
          <w:p w14:paraId="33EDD87D">
            <w:pPr>
              <w:spacing w:line="380" w:lineRule="atLeast"/>
              <w:jc w:val="center"/>
              <w:rPr>
                <w:rFonts w:ascii="Times New Roman" w:hAnsi="Times New Roman" w:cs="Times New Roman"/>
                <w:szCs w:val="21"/>
              </w:rPr>
            </w:pPr>
            <w:r>
              <w:rPr>
                <w:rFonts w:hint="eastAsia" w:ascii="Times New Roman" w:hAnsi="Times New Roman" w:cs="Times New Roman"/>
                <w:szCs w:val="21"/>
              </w:rPr>
              <w:t>业绩</w:t>
            </w:r>
          </w:p>
        </w:tc>
        <w:tc>
          <w:tcPr>
            <w:tcW w:w="953" w:type="dxa"/>
            <w:vAlign w:val="center"/>
          </w:tcPr>
          <w:p w14:paraId="126EE1E0">
            <w:pPr>
              <w:spacing w:line="380" w:lineRule="atLeast"/>
              <w:jc w:val="right"/>
              <w:rPr>
                <w:rFonts w:ascii="Times New Roman" w:hAnsi="Times New Roman" w:cs="Times New Roman"/>
                <w:szCs w:val="21"/>
                <w:u w:val="single"/>
              </w:rPr>
            </w:pPr>
            <w:r>
              <w:rPr>
                <w:rFonts w:hint="eastAsia" w:ascii="Times New Roman" w:hAnsi="Times New Roman" w:cs="Times New Roman"/>
                <w:szCs w:val="21"/>
                <w:u w:val="single"/>
              </w:rPr>
              <w:t>30</w:t>
            </w:r>
            <w:r>
              <w:rPr>
                <w:rFonts w:ascii="Times New Roman" w:hAnsi="Times New Roman" w:cs="Times New Roman"/>
                <w:szCs w:val="21"/>
              </w:rPr>
              <w:t>分</w:t>
            </w:r>
          </w:p>
        </w:tc>
        <w:tc>
          <w:tcPr>
            <w:tcW w:w="5802" w:type="dxa"/>
            <w:gridSpan w:val="3"/>
            <w:vAlign w:val="center"/>
          </w:tcPr>
          <w:p w14:paraId="220B9300">
            <w:pPr>
              <w:spacing w:line="300" w:lineRule="exact"/>
              <w:rPr>
                <w:rFonts w:hint="eastAsia" w:ascii="宋体" w:hAnsi="宋体"/>
                <w:szCs w:val="21"/>
              </w:rPr>
            </w:pPr>
            <w:r>
              <w:rPr>
                <w:rFonts w:hint="eastAsia" w:ascii="宋体" w:hAnsi="宋体"/>
                <w:szCs w:val="21"/>
              </w:rPr>
              <w:t>1、满足资格要求，得基本分14分。</w:t>
            </w:r>
          </w:p>
          <w:p w14:paraId="2062FA24">
            <w:pPr>
              <w:spacing w:line="300" w:lineRule="exact"/>
              <w:rPr>
                <w:rFonts w:hint="eastAsia" w:ascii="宋体" w:hAnsi="宋体"/>
                <w:szCs w:val="21"/>
              </w:rPr>
            </w:pPr>
            <w:r>
              <w:rPr>
                <w:rFonts w:hint="eastAsia" w:ascii="宋体" w:hAnsi="宋体"/>
                <w:szCs w:val="21"/>
              </w:rPr>
              <w:t>2、每有1个类似单位（地级市级及以上国企、政府及事业单位，银行等）单项合同金额10万元及以上的供货业绩合同的加2分，每有1个类似单位（地级市级及以上国企、政府及事业单位，银行等）单项合同金额15万元及以上的供货业绩合同的得 4分，加满8分为止，需提供相关合同扫描件或业主证明等材料。</w:t>
            </w:r>
          </w:p>
          <w:p w14:paraId="5DB29766">
            <w:pPr>
              <w:spacing w:line="300" w:lineRule="exact"/>
              <w:rPr>
                <w:rFonts w:ascii="宋体" w:hAnsi="宋体"/>
                <w:szCs w:val="21"/>
              </w:rPr>
            </w:pPr>
            <w:r>
              <w:rPr>
                <w:rFonts w:hint="eastAsia" w:ascii="宋体" w:hAnsi="宋体"/>
                <w:szCs w:val="21"/>
              </w:rPr>
              <w:t>3.在合肥市银泰百货、百大集团、万象城、万达百货等大型综合体商场有品牌入驻，加10分。</w:t>
            </w:r>
          </w:p>
        </w:tc>
      </w:tr>
      <w:tr w14:paraId="6533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9" w:hRule="atLeast"/>
        </w:trPr>
        <w:tc>
          <w:tcPr>
            <w:tcW w:w="851" w:type="dxa"/>
            <w:vAlign w:val="center"/>
          </w:tcPr>
          <w:p w14:paraId="0CEC3745">
            <w:pPr>
              <w:spacing w:line="380" w:lineRule="atLeast"/>
              <w:jc w:val="center"/>
              <w:rPr>
                <w:rFonts w:ascii="Times New Roman" w:hAnsi="Times New Roman" w:cs="Times New Roman"/>
                <w:szCs w:val="21"/>
              </w:rPr>
            </w:pPr>
            <w:r>
              <w:rPr>
                <w:rFonts w:hint="eastAsia" w:ascii="Times New Roman" w:hAnsi="Times New Roman" w:cs="Times New Roman"/>
                <w:szCs w:val="21"/>
              </w:rPr>
              <w:t>2</w:t>
            </w:r>
          </w:p>
        </w:tc>
        <w:tc>
          <w:tcPr>
            <w:tcW w:w="1598" w:type="dxa"/>
            <w:vAlign w:val="center"/>
          </w:tcPr>
          <w:p w14:paraId="642614CE">
            <w:pPr>
              <w:spacing w:line="380" w:lineRule="atLeast"/>
              <w:jc w:val="center"/>
              <w:rPr>
                <w:rFonts w:ascii="Times New Roman" w:hAnsi="Times New Roman" w:cs="Times New Roman"/>
                <w:szCs w:val="21"/>
              </w:rPr>
            </w:pPr>
            <w:r>
              <w:rPr>
                <w:rFonts w:hint="eastAsia" w:ascii="Times New Roman" w:hAnsi="Times New Roman" w:cs="Times New Roman"/>
                <w:szCs w:val="21"/>
              </w:rPr>
              <w:t>样衣质量</w:t>
            </w:r>
          </w:p>
        </w:tc>
        <w:tc>
          <w:tcPr>
            <w:tcW w:w="953" w:type="dxa"/>
            <w:vAlign w:val="center"/>
          </w:tcPr>
          <w:p w14:paraId="0013E1FC">
            <w:pPr>
              <w:spacing w:line="380" w:lineRule="atLeast"/>
              <w:jc w:val="right"/>
              <w:rPr>
                <w:rFonts w:ascii="Times New Roman" w:hAnsi="Times New Roman" w:cs="Times New Roman"/>
                <w:szCs w:val="21"/>
                <w:u w:val="single"/>
              </w:rPr>
            </w:pPr>
            <w:r>
              <w:rPr>
                <w:rFonts w:hint="eastAsia" w:ascii="Times New Roman" w:hAnsi="Times New Roman" w:cs="Times New Roman"/>
                <w:szCs w:val="21"/>
                <w:u w:val="single"/>
              </w:rPr>
              <w:t>30</w:t>
            </w:r>
            <w:r>
              <w:rPr>
                <w:rFonts w:ascii="Times New Roman" w:hAnsi="Times New Roman" w:cs="Times New Roman"/>
                <w:szCs w:val="21"/>
              </w:rPr>
              <w:t>分</w:t>
            </w:r>
          </w:p>
        </w:tc>
        <w:tc>
          <w:tcPr>
            <w:tcW w:w="5802" w:type="dxa"/>
            <w:gridSpan w:val="3"/>
          </w:tcPr>
          <w:p w14:paraId="143D242B">
            <w:pPr>
              <w:adjustRightInd w:val="0"/>
              <w:spacing w:line="400" w:lineRule="exact"/>
              <w:ind w:left="-4" w:leftChars="-2"/>
              <w:contextualSpacing/>
              <w:jc w:val="left"/>
              <w:rPr>
                <w:rFonts w:ascii="宋体" w:hAnsi="宋体"/>
                <w:szCs w:val="21"/>
              </w:rPr>
            </w:pPr>
            <w:r>
              <w:rPr>
                <w:rFonts w:hint="eastAsia" w:ascii="宋体" w:hAnsi="宋体"/>
                <w:szCs w:val="21"/>
              </w:rPr>
              <w:t>1、提供样衣，得基本分18分。</w:t>
            </w:r>
          </w:p>
          <w:p w14:paraId="77FB5AFE">
            <w:pPr>
              <w:adjustRightInd w:val="0"/>
              <w:spacing w:line="400" w:lineRule="exact"/>
              <w:ind w:left="-4" w:leftChars="-2"/>
              <w:contextualSpacing/>
              <w:jc w:val="left"/>
              <w:rPr>
                <w:rFonts w:ascii="宋体" w:hAnsi="宋体"/>
                <w:szCs w:val="21"/>
              </w:rPr>
            </w:pPr>
            <w:r>
              <w:rPr>
                <w:rFonts w:hint="eastAsia" w:ascii="宋体" w:hAnsi="宋体"/>
                <w:szCs w:val="21"/>
              </w:rPr>
              <w:t>2、材质及品牌：根据面料、品牌与询价文件要求的响应程度进行综合评价。质量优的加3-4分，质量良的加1-2分，质量一般的加0-1分。</w:t>
            </w:r>
            <w:r>
              <w:rPr>
                <w:rFonts w:hint="eastAsia" w:ascii="Times New Roman" w:hAnsi="Times New Roman" w:cs="Times New Roman"/>
                <w:szCs w:val="21"/>
              </w:rPr>
              <w:t>本项加满4分为止。</w:t>
            </w:r>
          </w:p>
          <w:p w14:paraId="1AB163F4">
            <w:pPr>
              <w:adjustRightInd w:val="0"/>
              <w:spacing w:line="400" w:lineRule="exact"/>
              <w:contextualSpacing/>
              <w:jc w:val="left"/>
              <w:rPr>
                <w:rFonts w:ascii="宋体" w:hAnsi="宋体"/>
                <w:szCs w:val="21"/>
              </w:rPr>
            </w:pPr>
            <w:r>
              <w:rPr>
                <w:rFonts w:hint="eastAsia" w:ascii="宋体" w:hAnsi="宋体"/>
                <w:szCs w:val="21"/>
              </w:rPr>
              <w:t>3、加工工艺及技术保障：根据成衣制作工艺的先进性、制作水平、技术保障措施、质量控制及制作工艺是否有所创新等进行综合评价。优的加3-4分，良的加1-2分，一般的加0-1分。</w:t>
            </w:r>
            <w:r>
              <w:rPr>
                <w:rFonts w:hint="eastAsia" w:ascii="Times New Roman" w:hAnsi="Times New Roman" w:cs="Times New Roman"/>
                <w:szCs w:val="21"/>
              </w:rPr>
              <w:t>本项加满4分为止。</w:t>
            </w:r>
          </w:p>
          <w:p w14:paraId="7D07EB16">
            <w:pPr>
              <w:adjustRightInd w:val="0"/>
              <w:spacing w:line="400" w:lineRule="exact"/>
              <w:contextualSpacing/>
              <w:jc w:val="left"/>
              <w:rPr>
                <w:rFonts w:ascii="Times New Roman" w:hAnsi="Times New Roman" w:cs="Times New Roman"/>
                <w:szCs w:val="21"/>
              </w:rPr>
            </w:pPr>
            <w:r>
              <w:rPr>
                <w:rFonts w:hint="eastAsia" w:ascii="宋体" w:hAnsi="宋体"/>
                <w:szCs w:val="21"/>
              </w:rPr>
              <w:t>3、样衣效果：根据款式、色泽等观感，及试穿是否舒适、大方，是否符合我单位形象需求等进行综合评价。优的加3-4分，良的加1-2分，一般的加0-1分。</w:t>
            </w:r>
            <w:r>
              <w:rPr>
                <w:rFonts w:hint="eastAsia" w:ascii="Times New Roman" w:hAnsi="Times New Roman" w:cs="Times New Roman"/>
                <w:szCs w:val="21"/>
              </w:rPr>
              <w:t>本项加满4分为止。</w:t>
            </w:r>
          </w:p>
        </w:tc>
      </w:tr>
      <w:tr w14:paraId="1093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851" w:type="dxa"/>
            <w:vAlign w:val="center"/>
          </w:tcPr>
          <w:p w14:paraId="5A1271C2">
            <w:pPr>
              <w:spacing w:line="380" w:lineRule="atLeast"/>
              <w:jc w:val="center"/>
              <w:rPr>
                <w:rFonts w:ascii="Times New Roman" w:hAnsi="Times New Roman" w:cs="Times New Roman"/>
                <w:szCs w:val="21"/>
              </w:rPr>
            </w:pPr>
            <w:r>
              <w:rPr>
                <w:rFonts w:hint="eastAsia" w:ascii="Times New Roman" w:hAnsi="Times New Roman" w:cs="Times New Roman"/>
                <w:szCs w:val="21"/>
              </w:rPr>
              <w:t>3</w:t>
            </w:r>
          </w:p>
        </w:tc>
        <w:tc>
          <w:tcPr>
            <w:tcW w:w="1598" w:type="dxa"/>
            <w:vAlign w:val="center"/>
          </w:tcPr>
          <w:p w14:paraId="6E1FF838">
            <w:pPr>
              <w:spacing w:line="380" w:lineRule="atLeast"/>
              <w:jc w:val="center"/>
              <w:rPr>
                <w:rFonts w:ascii="Times New Roman" w:hAnsi="Times New Roman" w:cs="Times New Roman"/>
                <w:szCs w:val="21"/>
              </w:rPr>
            </w:pPr>
            <w:r>
              <w:rPr>
                <w:rFonts w:hint="eastAsia" w:ascii="Times New Roman" w:hAnsi="Times New Roman" w:cs="Times New Roman"/>
                <w:szCs w:val="21"/>
              </w:rPr>
              <w:t>供货方案</w:t>
            </w:r>
          </w:p>
        </w:tc>
        <w:tc>
          <w:tcPr>
            <w:tcW w:w="953" w:type="dxa"/>
            <w:vAlign w:val="center"/>
          </w:tcPr>
          <w:p w14:paraId="3682DB1E">
            <w:pPr>
              <w:spacing w:line="380" w:lineRule="atLeast"/>
              <w:jc w:val="right"/>
              <w:rPr>
                <w:rFonts w:ascii="Times New Roman" w:hAnsi="Times New Roman" w:cs="Times New Roman"/>
                <w:szCs w:val="21"/>
                <w:u w:val="single"/>
              </w:rPr>
            </w:pPr>
            <w:r>
              <w:rPr>
                <w:rFonts w:hint="eastAsia" w:ascii="Times New Roman" w:hAnsi="Times New Roman" w:cs="Times New Roman"/>
                <w:szCs w:val="21"/>
                <w:u w:val="single"/>
              </w:rPr>
              <w:t>20</w:t>
            </w:r>
            <w:r>
              <w:rPr>
                <w:rFonts w:ascii="Times New Roman" w:hAnsi="Times New Roman" w:cs="Times New Roman"/>
                <w:szCs w:val="21"/>
              </w:rPr>
              <w:t>分</w:t>
            </w:r>
          </w:p>
        </w:tc>
        <w:tc>
          <w:tcPr>
            <w:tcW w:w="5802" w:type="dxa"/>
            <w:gridSpan w:val="3"/>
            <w:vAlign w:val="center"/>
          </w:tcPr>
          <w:p w14:paraId="3ABEAB05">
            <w:pPr>
              <w:spacing w:line="300" w:lineRule="exact"/>
            </w:pPr>
            <w:r>
              <w:rPr>
                <w:rFonts w:hint="eastAsia" w:ascii="宋体" w:hAnsi="宋体"/>
                <w:szCs w:val="21"/>
              </w:rPr>
              <w:t>1、有供货方案、供货周期、保障措施，零星供货保障和承诺，内容详实得基本分16分。</w:t>
            </w:r>
          </w:p>
          <w:p w14:paraId="7DB4A8D7">
            <w:pPr>
              <w:spacing w:line="300" w:lineRule="exact"/>
              <w:rPr>
                <w:rFonts w:ascii="宋体" w:hAnsi="宋体"/>
                <w:szCs w:val="21"/>
              </w:rPr>
            </w:pPr>
            <w:r>
              <w:rPr>
                <w:rFonts w:hint="eastAsia" w:ascii="宋体" w:hAnsi="宋体"/>
                <w:szCs w:val="21"/>
              </w:rPr>
              <w:t>2、安徽省内设有直营分公司或办事处等服务机构：提供安徽省内服务机构营业执照等证明文件扫描件的加1分，未提供的不加分。服务人员必须响应本地化服务原则，提供在合肥市有专人售后服务的相关证明材料的加1分，未提供的不加分。本项加满2分为止。</w:t>
            </w:r>
          </w:p>
          <w:p w14:paraId="7D86CC00">
            <w:pPr>
              <w:spacing w:line="300" w:lineRule="exact"/>
              <w:rPr>
                <w:rFonts w:ascii="宋体" w:hAnsi="宋体"/>
                <w:szCs w:val="21"/>
              </w:rPr>
            </w:pPr>
            <w:r>
              <w:rPr>
                <w:rFonts w:hint="eastAsia" w:ascii="宋体" w:hAnsi="宋体"/>
                <w:szCs w:val="21"/>
              </w:rPr>
              <w:t>3、根据售后调换方案、售后服务方案及维护相关承诺进行综合评价，优的加2分，良的加1分，一般的加0.5分。本项加满2分为止。</w:t>
            </w:r>
          </w:p>
          <w:p w14:paraId="68E5A7DB">
            <w:pPr>
              <w:spacing w:line="300" w:lineRule="exact"/>
              <w:ind w:firstLine="211" w:firstLineChars="100"/>
              <w:rPr>
                <w:rFonts w:ascii="宋体" w:hAnsi="宋体"/>
                <w:szCs w:val="21"/>
              </w:rPr>
            </w:pPr>
            <w:r>
              <w:rPr>
                <w:rFonts w:hint="eastAsia" w:ascii="宋体" w:hAnsi="宋体"/>
                <w:b/>
                <w:bCs/>
                <w:szCs w:val="21"/>
              </w:rPr>
              <w:t>以上内容在方案中未提及或无相应承诺不得分。</w:t>
            </w:r>
          </w:p>
        </w:tc>
      </w:tr>
      <w:tr w14:paraId="393B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1" w:type="dxa"/>
            <w:vAlign w:val="center"/>
          </w:tcPr>
          <w:p w14:paraId="3751613C">
            <w:pPr>
              <w:spacing w:line="380" w:lineRule="atLeast"/>
              <w:jc w:val="center"/>
              <w:rPr>
                <w:rFonts w:ascii="Times New Roman" w:hAnsi="Times New Roman" w:cs="Times New Roman"/>
                <w:szCs w:val="21"/>
              </w:rPr>
            </w:pPr>
          </w:p>
        </w:tc>
        <w:tc>
          <w:tcPr>
            <w:tcW w:w="1598" w:type="dxa"/>
            <w:vAlign w:val="center"/>
          </w:tcPr>
          <w:p w14:paraId="58CF6657">
            <w:pPr>
              <w:spacing w:line="380" w:lineRule="atLeast"/>
              <w:jc w:val="center"/>
              <w:rPr>
                <w:rFonts w:ascii="Times New Roman" w:hAnsi="Times New Roman" w:cs="Times New Roman"/>
                <w:szCs w:val="21"/>
              </w:rPr>
            </w:pPr>
          </w:p>
        </w:tc>
        <w:tc>
          <w:tcPr>
            <w:tcW w:w="953" w:type="dxa"/>
            <w:vAlign w:val="center"/>
          </w:tcPr>
          <w:p w14:paraId="7B54869B">
            <w:pPr>
              <w:spacing w:line="380" w:lineRule="atLeast"/>
              <w:jc w:val="right"/>
              <w:rPr>
                <w:rFonts w:ascii="Times New Roman" w:hAnsi="Times New Roman" w:cs="Times New Roman"/>
                <w:szCs w:val="21"/>
                <w:u w:val="single"/>
              </w:rPr>
            </w:pPr>
          </w:p>
        </w:tc>
        <w:tc>
          <w:tcPr>
            <w:tcW w:w="5802" w:type="dxa"/>
            <w:gridSpan w:val="3"/>
          </w:tcPr>
          <w:p w14:paraId="3756D24D">
            <w:pPr>
              <w:adjustRightInd w:val="0"/>
              <w:spacing w:line="400" w:lineRule="exact"/>
              <w:contextualSpacing/>
              <w:jc w:val="left"/>
              <w:rPr>
                <w:rFonts w:ascii="Times New Roman" w:hAnsi="Times New Roman" w:cs="Times New Roman"/>
                <w:szCs w:val="21"/>
              </w:rPr>
            </w:pPr>
          </w:p>
        </w:tc>
      </w:tr>
      <w:tr w14:paraId="4470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851" w:type="dxa"/>
            <w:vAlign w:val="center"/>
          </w:tcPr>
          <w:p w14:paraId="4C24D0DD">
            <w:pPr>
              <w:spacing w:line="380" w:lineRule="atLeast"/>
              <w:jc w:val="center"/>
              <w:rPr>
                <w:rFonts w:ascii="Times New Roman" w:hAnsi="Times New Roman" w:cs="Times New Roman"/>
                <w:szCs w:val="21"/>
              </w:rPr>
            </w:pPr>
            <w:r>
              <w:rPr>
                <w:rFonts w:hint="eastAsia" w:ascii="Times New Roman" w:hAnsi="Times New Roman" w:cs="Times New Roman"/>
                <w:szCs w:val="21"/>
              </w:rPr>
              <w:t>4</w:t>
            </w:r>
          </w:p>
        </w:tc>
        <w:tc>
          <w:tcPr>
            <w:tcW w:w="1598" w:type="dxa"/>
            <w:vAlign w:val="center"/>
          </w:tcPr>
          <w:p w14:paraId="1217E11F">
            <w:pPr>
              <w:spacing w:line="380" w:lineRule="atLeast"/>
              <w:jc w:val="center"/>
              <w:rPr>
                <w:rFonts w:ascii="Times New Roman" w:hAnsi="Times New Roman" w:cs="Times New Roman"/>
                <w:szCs w:val="21"/>
              </w:rPr>
            </w:pPr>
            <w:r>
              <w:rPr>
                <w:rFonts w:ascii="Times New Roman" w:hAnsi="Times New Roman" w:cs="Times New Roman"/>
                <w:szCs w:val="21"/>
              </w:rPr>
              <w:t>评审价</w:t>
            </w:r>
          </w:p>
        </w:tc>
        <w:tc>
          <w:tcPr>
            <w:tcW w:w="953" w:type="dxa"/>
            <w:vAlign w:val="center"/>
          </w:tcPr>
          <w:p w14:paraId="41CF6A6D">
            <w:pPr>
              <w:spacing w:line="380" w:lineRule="atLeast"/>
              <w:jc w:val="right"/>
              <w:rPr>
                <w:rFonts w:ascii="Times New Roman" w:hAnsi="Times New Roman" w:cs="Times New Roman"/>
                <w:szCs w:val="21"/>
              </w:rPr>
            </w:pPr>
            <w:r>
              <w:rPr>
                <w:rFonts w:hint="eastAsia" w:ascii="Times New Roman" w:hAnsi="Times New Roman" w:cs="Times New Roman"/>
                <w:szCs w:val="21"/>
                <w:u w:val="single"/>
              </w:rPr>
              <w:t>20</w:t>
            </w:r>
            <w:r>
              <w:rPr>
                <w:rFonts w:ascii="Times New Roman" w:hAnsi="Times New Roman" w:cs="Times New Roman"/>
                <w:szCs w:val="21"/>
              </w:rPr>
              <w:t>分</w:t>
            </w:r>
          </w:p>
        </w:tc>
        <w:tc>
          <w:tcPr>
            <w:tcW w:w="5802" w:type="dxa"/>
            <w:gridSpan w:val="3"/>
            <w:shd w:val="clear" w:color="auto" w:fill="auto"/>
          </w:tcPr>
          <w:p w14:paraId="00753A5E">
            <w:pPr>
              <w:spacing w:line="560" w:lineRule="exact"/>
              <w:ind w:firstLine="420" w:firstLineChars="200"/>
              <w:rPr>
                <w:rFonts w:ascii="宋体" w:hAnsi="宋体" w:eastAsia="宋体" w:cs="宋体"/>
                <w:szCs w:val="21"/>
              </w:rPr>
            </w:pPr>
            <w:r>
              <w:rPr>
                <w:rFonts w:hint="eastAsia" w:ascii="宋体" w:hAnsi="宋体" w:eastAsia="宋体" w:cs="宋体"/>
                <w:szCs w:val="21"/>
              </w:rPr>
              <w:t>本项目控制价为：品目1最高限价为</w:t>
            </w:r>
            <w:r>
              <w:rPr>
                <w:rFonts w:hint="eastAsia" w:ascii="宋体" w:hAnsi="宋体" w:eastAsia="宋体" w:cs="宋体"/>
                <w:szCs w:val="21"/>
                <w:lang w:val="en-US" w:eastAsia="zh-CN"/>
              </w:rPr>
              <w:t>106</w:t>
            </w:r>
            <w:r>
              <w:rPr>
                <w:rFonts w:hint="eastAsia" w:ascii="宋体" w:hAnsi="宋体" w:eastAsia="宋体" w:cs="宋体"/>
                <w:szCs w:val="21"/>
              </w:rPr>
              <w:t>万，品目2最高限价为</w:t>
            </w:r>
            <w:r>
              <w:rPr>
                <w:rFonts w:hint="eastAsia" w:ascii="宋体" w:hAnsi="宋体" w:eastAsia="宋体" w:cs="宋体"/>
                <w:szCs w:val="21"/>
                <w:lang w:val="en-US" w:eastAsia="zh-CN"/>
              </w:rPr>
              <w:t>16</w:t>
            </w:r>
            <w:r>
              <w:rPr>
                <w:rFonts w:hint="eastAsia" w:ascii="宋体" w:hAnsi="宋体" w:eastAsia="宋体" w:cs="宋体"/>
                <w:szCs w:val="21"/>
              </w:rPr>
              <w:t>万。</w:t>
            </w:r>
          </w:p>
          <w:p w14:paraId="15489F37">
            <w:pPr>
              <w:spacing w:line="28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响应报价不得高于项目控制价，否则做废标处理。</w:t>
            </w:r>
          </w:p>
          <w:p w14:paraId="24C28304">
            <w:pPr>
              <w:spacing w:line="280" w:lineRule="exact"/>
              <w:jc w:val="left"/>
              <w:rPr>
                <w:rFonts w:ascii="宋体" w:hAnsi="宋体" w:eastAsia="宋体" w:cs="宋体"/>
                <w:szCs w:val="21"/>
              </w:rPr>
            </w:pPr>
            <w:r>
              <w:rPr>
                <w:rFonts w:hint="eastAsia" w:ascii="宋体" w:hAnsi="宋体" w:eastAsia="宋体" w:cs="宋体"/>
                <w:szCs w:val="21"/>
              </w:rPr>
              <w:t>有效响应报价数量小于等于5家的，取所有有效响应报价的平均值为评审基准价；有效响应报价数量大于5家的，去掉1个最高报价和1个最低报价，再取报价平均值为评审基准价。</w:t>
            </w:r>
          </w:p>
          <w:p w14:paraId="2780982A">
            <w:pPr>
              <w:spacing w:line="280" w:lineRule="exact"/>
              <w:jc w:val="left"/>
              <w:rPr>
                <w:rFonts w:ascii="宋体" w:hAnsi="宋体" w:eastAsia="宋体" w:cs="宋体"/>
                <w:szCs w:val="21"/>
                <w:highlight w:val="yellow"/>
              </w:rPr>
            </w:pPr>
            <w:r>
              <w:rPr>
                <w:rFonts w:hint="eastAsia" w:ascii="宋体" w:hAnsi="宋体" w:eastAsia="宋体" w:cs="宋体"/>
                <w:szCs w:val="21"/>
              </w:rPr>
              <w:t>响应报价等于评审基准价得满分20分，每高于或低于基准价</w:t>
            </w:r>
            <w:r>
              <w:rPr>
                <w:rFonts w:ascii="宋体" w:hAnsi="宋体" w:eastAsia="宋体" w:cs="宋体"/>
                <w:szCs w:val="21"/>
              </w:rPr>
              <w:t>1%的</w:t>
            </w:r>
            <w:r>
              <w:rPr>
                <w:rFonts w:hint="eastAsia" w:ascii="宋体" w:hAnsi="宋体" w:eastAsia="宋体" w:cs="宋体"/>
                <w:szCs w:val="21"/>
              </w:rPr>
              <w:t>，</w:t>
            </w:r>
            <w:r>
              <w:rPr>
                <w:rFonts w:ascii="宋体" w:hAnsi="宋体" w:eastAsia="宋体" w:cs="宋体"/>
                <w:szCs w:val="21"/>
              </w:rPr>
              <w:t>扣</w:t>
            </w:r>
            <w:r>
              <w:rPr>
                <w:rFonts w:hint="eastAsia" w:ascii="宋体" w:hAnsi="宋体" w:eastAsia="宋体" w:cs="宋体"/>
                <w:szCs w:val="21"/>
              </w:rPr>
              <w:t>0.2</w:t>
            </w:r>
            <w:r>
              <w:rPr>
                <w:rFonts w:ascii="宋体" w:hAnsi="宋体" w:eastAsia="宋体" w:cs="宋体"/>
                <w:szCs w:val="21"/>
              </w:rPr>
              <w:t>分</w:t>
            </w:r>
            <w:r>
              <w:rPr>
                <w:rFonts w:hint="eastAsia" w:ascii="宋体" w:hAnsi="宋体" w:eastAsia="宋体" w:cs="宋体"/>
                <w:szCs w:val="21"/>
              </w:rPr>
              <w:t>，扣完为止。不足1%的按直线插入法计算得分（保留两位小数）。</w:t>
            </w:r>
          </w:p>
        </w:tc>
      </w:tr>
    </w:tbl>
    <w:p w14:paraId="27FC8B2C">
      <w:pPr>
        <w:jc w:val="both"/>
        <w:rPr>
          <w:rFonts w:ascii="方正小标宋简体" w:eastAsia="方正小标宋简体"/>
          <w:sz w:val="44"/>
          <w:szCs w:val="44"/>
        </w:rPr>
      </w:pPr>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29BF">
    <w:pPr>
      <w:pStyle w:val="7"/>
      <w:jc w:val="center"/>
    </w:pPr>
    <w:r>
      <w:fldChar w:fldCharType="begin"/>
    </w:r>
    <w:r>
      <w:instrText xml:space="preserve"> PAGE   \* MERGEFORMAT </w:instrText>
    </w:r>
    <w:r>
      <w:fldChar w:fldCharType="separate"/>
    </w:r>
    <w:r>
      <w:rPr>
        <w:lang w:val="zh-CN"/>
      </w:rPr>
      <w:t>-</w:t>
    </w:r>
    <w:r>
      <w:t xml:space="preserve"> 37 -</w:t>
    </w:r>
    <w:r>
      <w:fldChar w:fldCharType="end"/>
    </w:r>
  </w:p>
  <w:p w14:paraId="6396FB6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46"/>
    <w:rsid w:val="0001459C"/>
    <w:rsid w:val="000213FD"/>
    <w:rsid w:val="00033874"/>
    <w:rsid w:val="0004184E"/>
    <w:rsid w:val="00044FEA"/>
    <w:rsid w:val="000473D8"/>
    <w:rsid w:val="0004761E"/>
    <w:rsid w:val="000510E7"/>
    <w:rsid w:val="00052544"/>
    <w:rsid w:val="00080058"/>
    <w:rsid w:val="000951D7"/>
    <w:rsid w:val="000A2591"/>
    <w:rsid w:val="000B0003"/>
    <w:rsid w:val="000D0CBF"/>
    <w:rsid w:val="000D1A1E"/>
    <w:rsid w:val="000E3D17"/>
    <w:rsid w:val="000E554B"/>
    <w:rsid w:val="00123C56"/>
    <w:rsid w:val="00143CE0"/>
    <w:rsid w:val="001465D6"/>
    <w:rsid w:val="00197219"/>
    <w:rsid w:val="001A2BA1"/>
    <w:rsid w:val="001D490C"/>
    <w:rsid w:val="002003DC"/>
    <w:rsid w:val="00203C69"/>
    <w:rsid w:val="0023398A"/>
    <w:rsid w:val="00237B93"/>
    <w:rsid w:val="00251106"/>
    <w:rsid w:val="002609A5"/>
    <w:rsid w:val="00287B3D"/>
    <w:rsid w:val="00287C35"/>
    <w:rsid w:val="002A244C"/>
    <w:rsid w:val="002B17CA"/>
    <w:rsid w:val="002C2207"/>
    <w:rsid w:val="002C4C0B"/>
    <w:rsid w:val="002D5270"/>
    <w:rsid w:val="002D65EF"/>
    <w:rsid w:val="00303E7F"/>
    <w:rsid w:val="003164FA"/>
    <w:rsid w:val="00317950"/>
    <w:rsid w:val="00344583"/>
    <w:rsid w:val="00345900"/>
    <w:rsid w:val="003751E0"/>
    <w:rsid w:val="00390E74"/>
    <w:rsid w:val="003A4009"/>
    <w:rsid w:val="003B3527"/>
    <w:rsid w:val="003C2C73"/>
    <w:rsid w:val="003D6B17"/>
    <w:rsid w:val="003F0900"/>
    <w:rsid w:val="003F3C62"/>
    <w:rsid w:val="003F586C"/>
    <w:rsid w:val="00400A68"/>
    <w:rsid w:val="004031B9"/>
    <w:rsid w:val="004236B1"/>
    <w:rsid w:val="00425CA6"/>
    <w:rsid w:val="00445FB7"/>
    <w:rsid w:val="00456D9C"/>
    <w:rsid w:val="004867F1"/>
    <w:rsid w:val="00492ACF"/>
    <w:rsid w:val="004930D2"/>
    <w:rsid w:val="004A0432"/>
    <w:rsid w:val="004D287C"/>
    <w:rsid w:val="004E28BB"/>
    <w:rsid w:val="004E6141"/>
    <w:rsid w:val="00505B69"/>
    <w:rsid w:val="005210F6"/>
    <w:rsid w:val="0053698E"/>
    <w:rsid w:val="0054222D"/>
    <w:rsid w:val="00564798"/>
    <w:rsid w:val="005814AC"/>
    <w:rsid w:val="005955CC"/>
    <w:rsid w:val="005A01C4"/>
    <w:rsid w:val="005A6692"/>
    <w:rsid w:val="005C0C42"/>
    <w:rsid w:val="005C4638"/>
    <w:rsid w:val="005D476C"/>
    <w:rsid w:val="005F1D92"/>
    <w:rsid w:val="006C67DC"/>
    <w:rsid w:val="006D0C76"/>
    <w:rsid w:val="006E112C"/>
    <w:rsid w:val="006E47A7"/>
    <w:rsid w:val="006F5799"/>
    <w:rsid w:val="00731469"/>
    <w:rsid w:val="00735414"/>
    <w:rsid w:val="0074669B"/>
    <w:rsid w:val="007800E6"/>
    <w:rsid w:val="007830D3"/>
    <w:rsid w:val="00785EF6"/>
    <w:rsid w:val="007A7A59"/>
    <w:rsid w:val="007B44FD"/>
    <w:rsid w:val="007D09B7"/>
    <w:rsid w:val="007E641A"/>
    <w:rsid w:val="00824DA8"/>
    <w:rsid w:val="0083408A"/>
    <w:rsid w:val="00844B1B"/>
    <w:rsid w:val="008578AB"/>
    <w:rsid w:val="00876089"/>
    <w:rsid w:val="00877A2C"/>
    <w:rsid w:val="00882705"/>
    <w:rsid w:val="00884EC3"/>
    <w:rsid w:val="008920EE"/>
    <w:rsid w:val="00893610"/>
    <w:rsid w:val="00896826"/>
    <w:rsid w:val="008A1E1D"/>
    <w:rsid w:val="008B7E68"/>
    <w:rsid w:val="008D09DB"/>
    <w:rsid w:val="00911AB6"/>
    <w:rsid w:val="00936765"/>
    <w:rsid w:val="00974E8D"/>
    <w:rsid w:val="00975341"/>
    <w:rsid w:val="009B65CB"/>
    <w:rsid w:val="009C3554"/>
    <w:rsid w:val="009C7DAF"/>
    <w:rsid w:val="009E0275"/>
    <w:rsid w:val="009E129E"/>
    <w:rsid w:val="009E6501"/>
    <w:rsid w:val="009F2ABF"/>
    <w:rsid w:val="00A05FE4"/>
    <w:rsid w:val="00A35350"/>
    <w:rsid w:val="00A37EED"/>
    <w:rsid w:val="00A615D7"/>
    <w:rsid w:val="00A816A8"/>
    <w:rsid w:val="00AC375A"/>
    <w:rsid w:val="00AF455B"/>
    <w:rsid w:val="00B21026"/>
    <w:rsid w:val="00B45ADE"/>
    <w:rsid w:val="00B61B32"/>
    <w:rsid w:val="00B63EBB"/>
    <w:rsid w:val="00B73906"/>
    <w:rsid w:val="00B83574"/>
    <w:rsid w:val="00B83F0F"/>
    <w:rsid w:val="00B94E12"/>
    <w:rsid w:val="00BF2183"/>
    <w:rsid w:val="00BF4168"/>
    <w:rsid w:val="00BF448B"/>
    <w:rsid w:val="00C273E8"/>
    <w:rsid w:val="00C323ED"/>
    <w:rsid w:val="00C351F8"/>
    <w:rsid w:val="00C604BA"/>
    <w:rsid w:val="00C747DC"/>
    <w:rsid w:val="00C80A1D"/>
    <w:rsid w:val="00C934DC"/>
    <w:rsid w:val="00CA0745"/>
    <w:rsid w:val="00CC6963"/>
    <w:rsid w:val="00CD001C"/>
    <w:rsid w:val="00CD4DEC"/>
    <w:rsid w:val="00CE24DA"/>
    <w:rsid w:val="00D2647E"/>
    <w:rsid w:val="00D510E8"/>
    <w:rsid w:val="00D71DEC"/>
    <w:rsid w:val="00D76CC2"/>
    <w:rsid w:val="00D93F03"/>
    <w:rsid w:val="00DA7242"/>
    <w:rsid w:val="00DB19D5"/>
    <w:rsid w:val="00DB32B5"/>
    <w:rsid w:val="00DD37AB"/>
    <w:rsid w:val="00DE6D01"/>
    <w:rsid w:val="00DF7343"/>
    <w:rsid w:val="00DF7974"/>
    <w:rsid w:val="00E001A6"/>
    <w:rsid w:val="00E126D1"/>
    <w:rsid w:val="00E4319E"/>
    <w:rsid w:val="00E72631"/>
    <w:rsid w:val="00E80746"/>
    <w:rsid w:val="00E9374A"/>
    <w:rsid w:val="00EB25D1"/>
    <w:rsid w:val="00EC41BE"/>
    <w:rsid w:val="00ED765E"/>
    <w:rsid w:val="00EE070B"/>
    <w:rsid w:val="00EF6E25"/>
    <w:rsid w:val="00F0777B"/>
    <w:rsid w:val="00F10FF6"/>
    <w:rsid w:val="00F4371C"/>
    <w:rsid w:val="00F47517"/>
    <w:rsid w:val="00F47D51"/>
    <w:rsid w:val="00F47E47"/>
    <w:rsid w:val="00F5420D"/>
    <w:rsid w:val="00F70672"/>
    <w:rsid w:val="00F94584"/>
    <w:rsid w:val="00FB2A14"/>
    <w:rsid w:val="03484DB8"/>
    <w:rsid w:val="0DDA3B0C"/>
    <w:rsid w:val="12896361"/>
    <w:rsid w:val="18505296"/>
    <w:rsid w:val="19080076"/>
    <w:rsid w:val="22C45835"/>
    <w:rsid w:val="2BA77EAF"/>
    <w:rsid w:val="2DDD2942"/>
    <w:rsid w:val="2DEE5A28"/>
    <w:rsid w:val="2E831C83"/>
    <w:rsid w:val="309C166B"/>
    <w:rsid w:val="31350E65"/>
    <w:rsid w:val="3B924404"/>
    <w:rsid w:val="3F994E16"/>
    <w:rsid w:val="409E174C"/>
    <w:rsid w:val="44EF3E66"/>
    <w:rsid w:val="46311BFF"/>
    <w:rsid w:val="577C3BD1"/>
    <w:rsid w:val="6A8A45CC"/>
    <w:rsid w:val="76DC5D7A"/>
    <w:rsid w:val="7CD83BB8"/>
    <w:rsid w:val="7F8D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after="120"/>
    </w:pPr>
    <w:rPr>
      <w:szCs w:val="24"/>
    </w:rPr>
  </w:style>
  <w:style w:type="paragraph" w:styleId="4">
    <w:name w:val="Body Text Indent"/>
    <w:basedOn w:val="1"/>
    <w:next w:val="5"/>
    <w:link w:val="21"/>
    <w:qFormat/>
    <w:uiPriority w:val="0"/>
    <w:pPr>
      <w:spacing w:after="120"/>
      <w:ind w:left="420" w:leftChars="200"/>
    </w:pPr>
    <w:rPr>
      <w:szCs w:val="24"/>
    </w:rPr>
  </w:style>
  <w:style w:type="paragraph" w:styleId="5">
    <w:name w:val="envelope return"/>
    <w:basedOn w:val="1"/>
    <w:semiHidden/>
    <w:unhideWhenUsed/>
    <w:qFormat/>
    <w:uiPriority w:val="99"/>
    <w:pPr>
      <w:snapToGrid w:val="0"/>
    </w:pPr>
    <w:rPr>
      <w:rFonts w:asciiTheme="majorHAnsi" w:hAnsiTheme="majorHAnsi" w:eastAsiaTheme="majorEastAsia" w:cstheme="majorBidi"/>
    </w:rPr>
  </w:style>
  <w:style w:type="paragraph" w:styleId="6">
    <w:name w:val="Balloon Text"/>
    <w:basedOn w:val="1"/>
    <w:link w:val="25"/>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link w:val="22"/>
    <w:qFormat/>
    <w:uiPriority w:val="0"/>
    <w:pPr>
      <w:ind w:firstLine="420" w:firstLineChars="200"/>
    </w:p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themeColor="hyperlink"/>
      <w:u w:val="single"/>
      <w14:textFill>
        <w14:solidFill>
          <w14:schemeClr w14:val="hlink"/>
        </w14:solidFill>
      </w14:textFill>
    </w:rPr>
  </w:style>
  <w:style w:type="character" w:customStyle="1" w:styleId="16">
    <w:name w:val="正文文本 Char"/>
    <w:basedOn w:val="13"/>
    <w:link w:val="3"/>
    <w:qFormat/>
    <w:uiPriority w:val="99"/>
    <w:rPr>
      <w:szCs w:val="24"/>
    </w:rPr>
  </w:style>
  <w:style w:type="paragraph" w:customStyle="1" w:styleId="17">
    <w:name w:val="WPSOffice手动目录 1"/>
    <w:qFormat/>
    <w:uiPriority w:val="0"/>
    <w:rPr>
      <w:rFonts w:asciiTheme="minorHAnsi" w:hAnsiTheme="minorHAnsi" w:eastAsiaTheme="minorEastAsia" w:cstheme="minorBidi"/>
      <w:kern w:val="0"/>
      <w:sz w:val="20"/>
      <w:szCs w:val="20"/>
      <w:lang w:val="en-US" w:eastAsia="zh-CN" w:bidi="ar-SA"/>
    </w:rPr>
  </w:style>
  <w:style w:type="character" w:customStyle="1" w:styleId="18">
    <w:name w:val="页眉 Char"/>
    <w:basedOn w:val="13"/>
    <w:link w:val="8"/>
    <w:semiHidden/>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标题 1 Char"/>
    <w:basedOn w:val="13"/>
    <w:link w:val="2"/>
    <w:qFormat/>
    <w:uiPriority w:val="0"/>
    <w:rPr>
      <w:rFonts w:eastAsia="微软雅黑"/>
      <w:b/>
      <w:bCs/>
      <w:kern w:val="44"/>
      <w:sz w:val="36"/>
      <w:szCs w:val="44"/>
    </w:rPr>
  </w:style>
  <w:style w:type="character" w:customStyle="1" w:styleId="21">
    <w:name w:val="正文文本缩进 Char"/>
    <w:basedOn w:val="13"/>
    <w:link w:val="4"/>
    <w:qFormat/>
    <w:uiPriority w:val="0"/>
    <w:rPr>
      <w:szCs w:val="24"/>
    </w:rPr>
  </w:style>
  <w:style w:type="character" w:customStyle="1" w:styleId="22">
    <w:name w:val="正文首行缩进 2 Char"/>
    <w:basedOn w:val="21"/>
    <w:link w:val="10"/>
    <w:qFormat/>
    <w:uiPriority w:val="0"/>
  </w:style>
  <w:style w:type="paragraph" w:customStyle="1" w:styleId="23">
    <w:name w:val="Default"/>
    <w:qFormat/>
    <w:uiPriority w:val="0"/>
    <w:pPr>
      <w:widowControl w:val="0"/>
      <w:autoSpaceDE w:val="0"/>
      <w:autoSpaceDN w:val="0"/>
    </w:pPr>
    <w:rPr>
      <w:rFonts w:hint="eastAsia" w:ascii="Fang Song" w:hAnsi="Fang Song" w:eastAsia="Fang Song" w:cs="Times New Roman"/>
      <w:color w:val="000000"/>
      <w:kern w:val="0"/>
      <w:sz w:val="24"/>
      <w:szCs w:val="20"/>
      <w:lang w:val="en-US" w:eastAsia="zh-CN" w:bidi="ar-SA"/>
    </w:rPr>
  </w:style>
  <w:style w:type="paragraph" w:styleId="24">
    <w:name w:val="List Paragraph"/>
    <w:basedOn w:val="1"/>
    <w:qFormat/>
    <w:uiPriority w:val="34"/>
    <w:pPr>
      <w:ind w:firstLine="420" w:firstLineChars="200"/>
    </w:pPr>
  </w:style>
  <w:style w:type="character" w:customStyle="1" w:styleId="25">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6479</Words>
  <Characters>6795</Characters>
  <Lines>81</Lines>
  <Paragraphs>22</Paragraphs>
  <TotalTime>1</TotalTime>
  <ScaleCrop>false</ScaleCrop>
  <LinksUpToDate>false</LinksUpToDate>
  <CharactersWithSpaces>6877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2023-10-16T08:03:00Z</dcterms:created>
  <dc:creator>汪梅子</dc:creator>
  <cp:lastModifiedBy>陈欣语</cp:lastModifiedBy>
  <cp:lastPrinted>2025-06-11T03:34:00Z</cp:lastPrinted>
  <dcterms:modified xsi:type="dcterms:W3CDTF">2025-06-11T09:40:44Z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D1553C30AEEC45D2B17E7FF7D873C1EC_13</vt:lpwstr>
  </property>
  <property fmtid="{D5CDD505-2E9C-101B-9397-08002B2CF9AE}" pid="4" name="KSOTemplateDocerSaveRecord">
    <vt:lpwstr>eyJoZGlkIjoiMjAyMjBjYzM3M2QzZjEzMjNmNjJiMjhjZjhlMTM5MWIiLCJ1c2VySWQiOiIxNjkxNjUwNzI0In0=</vt:lpwstr>
  </property>
</Properties>
</file>