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60630">
      <w:pPr>
        <w:spacing w:line="400" w:lineRule="exact"/>
        <w:ind w:firstLine="627" w:firstLineChars="196"/>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14:paraId="49C7037A">
      <w:pPr>
        <w:jc w:val="center"/>
        <w:rPr>
          <w:rFonts w:ascii="Times New Roman" w:hAnsi="Times New Roman" w:eastAsia="方正小标宋简体" w:cs="Times New Roman"/>
          <w:sz w:val="52"/>
          <w:szCs w:val="52"/>
        </w:rPr>
      </w:pPr>
    </w:p>
    <w:p w14:paraId="2ACFFE51">
      <w:pPr>
        <w:jc w:val="center"/>
        <w:rPr>
          <w:rFonts w:ascii="方正小标宋简体" w:eastAsia="方正小标宋简体"/>
          <w:sz w:val="44"/>
          <w:szCs w:val="44"/>
        </w:rPr>
      </w:pPr>
      <w:r>
        <w:rPr>
          <w:rFonts w:hint="eastAsia" w:ascii="方正小标宋简体" w:eastAsia="方正小标宋简体"/>
          <w:sz w:val="44"/>
          <w:szCs w:val="44"/>
        </w:rPr>
        <w:t>合同主要条款</w:t>
      </w:r>
    </w:p>
    <w:p w14:paraId="79791497">
      <w:pPr>
        <w:jc w:val="center"/>
        <w:rPr>
          <w:rFonts w:ascii="方正小标宋简体" w:eastAsia="方正小标宋简体"/>
          <w:sz w:val="32"/>
          <w:szCs w:val="32"/>
        </w:rPr>
      </w:pPr>
      <w:r>
        <w:rPr>
          <w:rFonts w:hint="eastAsia" w:ascii="方正小标宋简体" w:eastAsia="方正小标宋简体"/>
          <w:sz w:val="32"/>
          <w:szCs w:val="32"/>
        </w:rPr>
        <w:t>（供参考）</w:t>
      </w:r>
    </w:p>
    <w:p w14:paraId="21665C8E">
      <w:pPr>
        <w:spacing w:line="400" w:lineRule="exact"/>
        <w:rPr>
          <w:rFonts w:ascii="Times New Roman" w:hAnsi="Times New Roman" w:cs="Times New Roman"/>
          <w:sz w:val="24"/>
        </w:rPr>
      </w:pPr>
      <w:bookmarkStart w:id="0" w:name="_bookmark259"/>
      <w:bookmarkEnd w:id="0"/>
      <w:bookmarkStart w:id="1" w:name="_Toc501460622"/>
    </w:p>
    <w:p w14:paraId="3DFDC572">
      <w:pPr>
        <w:spacing w:line="400" w:lineRule="exact"/>
        <w:rPr>
          <w:rFonts w:hint="eastAsia" w:ascii="Times New Roman" w:hAnsi="Times New Roman" w:cs="Times New Roman"/>
          <w:szCs w:val="21"/>
          <w:lang w:val="en-US" w:eastAsia="zh-CN"/>
        </w:rPr>
      </w:pPr>
      <w:r>
        <w:rPr>
          <w:rFonts w:ascii="Times New Roman" w:hAnsi="Times New Roman" w:cs="Times New Roman"/>
          <w:szCs w:val="21"/>
        </w:rPr>
        <w:t>甲方：</w:t>
      </w:r>
      <w:r>
        <w:rPr>
          <w:rFonts w:hint="eastAsia" w:ascii="Times New Roman" w:hAnsi="Times New Roman" w:cs="Times New Roman"/>
          <w:szCs w:val="21"/>
          <w:lang w:val="en-US" w:eastAsia="zh-CN"/>
        </w:rPr>
        <w:t>安徽交控建设工程集团有限公司</w:t>
      </w:r>
    </w:p>
    <w:p w14:paraId="3352D1F8">
      <w:pPr>
        <w:spacing w:line="400" w:lineRule="exact"/>
        <w:rPr>
          <w:rFonts w:ascii="Times New Roman" w:hAnsi="Times New Roman" w:cs="Times New Roman"/>
          <w:szCs w:val="21"/>
        </w:rPr>
      </w:pPr>
      <w:r>
        <w:rPr>
          <w:rFonts w:ascii="Times New Roman" w:hAnsi="Times New Roman" w:cs="Times New Roman"/>
          <w:szCs w:val="21"/>
        </w:rPr>
        <w:t>乙方：</w:t>
      </w:r>
    </w:p>
    <w:p w14:paraId="26F611E4">
      <w:pPr>
        <w:spacing w:line="400" w:lineRule="exact"/>
        <w:rPr>
          <w:rFonts w:ascii="Times New Roman" w:hAnsi="Times New Roman" w:cs="Times New Roman"/>
          <w:szCs w:val="21"/>
        </w:rPr>
      </w:pPr>
    </w:p>
    <w:p w14:paraId="1415967F">
      <w:pPr>
        <w:spacing w:line="400" w:lineRule="exact"/>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根据《中华人民共和国民法典》及相关法律法规的规定，甲乙双方在平等、自愿、公平、协商一致的基础上，就甲方委托乙方提供员工工作服订制生产及</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5629DFB9">
      <w:pPr>
        <w:spacing w:line="400" w:lineRule="exact"/>
        <w:ind w:firstLine="413" w:firstLineChars="196"/>
        <w:rPr>
          <w:rFonts w:ascii="Times New Roman" w:hAnsi="Times New Roman" w:cs="Times New Roman"/>
          <w:b/>
          <w:bCs/>
          <w:szCs w:val="21"/>
        </w:rPr>
      </w:pPr>
      <w:r>
        <w:rPr>
          <w:rFonts w:hint="eastAsia" w:ascii="Times New Roman" w:hAnsi="Times New Roman" w:cs="Times New Roman"/>
          <w:b/>
          <w:bCs/>
          <w:szCs w:val="21"/>
        </w:rPr>
        <w:t>一、供货期限</w:t>
      </w:r>
    </w:p>
    <w:p w14:paraId="0717E42B">
      <w:pPr>
        <w:pStyle w:val="3"/>
        <w:spacing w:after="0" w:line="400" w:lineRule="exact"/>
        <w:ind w:firstLine="420" w:firstLineChars="200"/>
      </w:pPr>
      <w:r>
        <w:rPr>
          <w:rFonts w:hint="eastAsia"/>
        </w:rPr>
        <w:t>本项目供货期限为：</w:t>
      </w:r>
      <w:r>
        <w:t>202</w:t>
      </w:r>
      <w:r>
        <w:rPr>
          <w:rFonts w:hint="eastAsia"/>
          <w:lang w:val="en-US" w:eastAsia="zh-CN"/>
        </w:rPr>
        <w:t>4</w:t>
      </w:r>
      <w:r>
        <w:rPr>
          <w:rFonts w:hint="eastAsia"/>
        </w:rPr>
        <w:t>年12月至</w:t>
      </w:r>
      <w:r>
        <w:t>202</w:t>
      </w:r>
      <w:r>
        <w:rPr>
          <w:rFonts w:hint="eastAsia"/>
          <w:lang w:val="en-US" w:eastAsia="zh-CN"/>
        </w:rPr>
        <w:t>6</w:t>
      </w:r>
      <w:r>
        <w:rPr>
          <w:rFonts w:hint="eastAsia"/>
        </w:rPr>
        <w:t>年12月。</w:t>
      </w:r>
    </w:p>
    <w:p w14:paraId="7446507B">
      <w:pPr>
        <w:spacing w:line="400" w:lineRule="exact"/>
        <w:ind w:firstLine="422" w:firstLineChars="200"/>
        <w:rPr>
          <w:rFonts w:ascii="Times New Roman" w:hAnsi="Times New Roman" w:cs="Times New Roman"/>
          <w:b/>
          <w:bCs/>
          <w:szCs w:val="21"/>
        </w:rPr>
      </w:pPr>
      <w:r>
        <w:rPr>
          <w:rFonts w:hint="eastAsia" w:ascii="Times New Roman" w:hAnsi="Times New Roman" w:cs="Times New Roman"/>
          <w:b/>
          <w:bCs/>
          <w:szCs w:val="21"/>
        </w:rPr>
        <w:t>二、采购</w:t>
      </w:r>
      <w:r>
        <w:rPr>
          <w:rFonts w:ascii="Times New Roman" w:hAnsi="Times New Roman" w:cs="Times New Roman"/>
          <w:b/>
          <w:bCs/>
          <w:szCs w:val="21"/>
        </w:rPr>
        <w:t>内容</w:t>
      </w:r>
    </w:p>
    <w:p w14:paraId="3D449355">
      <w:pPr>
        <w:spacing w:line="400" w:lineRule="exact"/>
        <w:ind w:firstLine="420" w:firstLineChars="200"/>
        <w:rPr>
          <w:rFonts w:ascii="Times New Roman" w:hAnsi="Times New Roman" w:cs="Times New Roman"/>
          <w:szCs w:val="21"/>
        </w:rPr>
      </w:pPr>
      <w:r>
        <w:rPr>
          <w:rFonts w:ascii="Times New Roman" w:hAnsi="Times New Roman" w:cs="Times New Roman"/>
          <w:szCs w:val="21"/>
        </w:rPr>
        <w:t>甲方委托乙方生产供应</w:t>
      </w:r>
      <w:bookmarkEnd w:id="1"/>
      <w:r>
        <w:rPr>
          <w:rFonts w:hint="eastAsia" w:ascii="Times New Roman" w:hAnsi="Times New Roman" w:cs="Times New Roman"/>
          <w:szCs w:val="21"/>
        </w:rPr>
        <w:t>的服装类别、数量和价格如下表</w:t>
      </w:r>
      <w:r>
        <w:rPr>
          <w:rFonts w:ascii="Times New Roman" w:hAnsi="Times New Roman" w:cs="Times New Roman"/>
          <w:szCs w:val="21"/>
        </w:rPr>
        <w:t>。</w:t>
      </w:r>
    </w:p>
    <w:tbl>
      <w:tblPr>
        <w:tblStyle w:val="12"/>
        <w:tblW w:w="8080" w:type="dxa"/>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992"/>
        <w:gridCol w:w="1559"/>
        <w:gridCol w:w="1276"/>
        <w:gridCol w:w="851"/>
        <w:gridCol w:w="1417"/>
        <w:gridCol w:w="1276"/>
      </w:tblGrid>
      <w:tr w14:paraId="5DC92E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vAlign w:val="center"/>
          </w:tcPr>
          <w:p w14:paraId="4AE4ED4A">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992" w:type="dxa"/>
            <w:vAlign w:val="center"/>
          </w:tcPr>
          <w:p w14:paraId="7A2C58F6">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品目</w:t>
            </w:r>
          </w:p>
        </w:tc>
        <w:tc>
          <w:tcPr>
            <w:tcW w:w="1559" w:type="dxa"/>
            <w:vAlign w:val="center"/>
          </w:tcPr>
          <w:p w14:paraId="3C65389C">
            <w:pPr>
              <w:spacing w:line="300" w:lineRule="exact"/>
              <w:jc w:val="center"/>
              <w:rPr>
                <w:rFonts w:ascii="Times New Roman" w:hAnsi="Times New Roman" w:cs="Times New Roman"/>
                <w:szCs w:val="21"/>
              </w:rPr>
            </w:pPr>
            <w:r>
              <w:rPr>
                <w:rFonts w:hint="eastAsia" w:ascii="Times New Roman" w:hAnsi="Times New Roman" w:cs="Times New Roman"/>
                <w:szCs w:val="21"/>
              </w:rPr>
              <w:t>细目</w:t>
            </w:r>
          </w:p>
        </w:tc>
        <w:tc>
          <w:tcPr>
            <w:tcW w:w="1276" w:type="dxa"/>
            <w:vAlign w:val="center"/>
          </w:tcPr>
          <w:p w14:paraId="06C6743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851" w:type="dxa"/>
            <w:vAlign w:val="center"/>
          </w:tcPr>
          <w:p w14:paraId="4924D70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单位</w:t>
            </w:r>
          </w:p>
        </w:tc>
        <w:tc>
          <w:tcPr>
            <w:tcW w:w="1417" w:type="dxa"/>
          </w:tcPr>
          <w:p w14:paraId="12C84AB2">
            <w:pPr>
              <w:spacing w:line="360" w:lineRule="auto"/>
              <w:jc w:val="center"/>
              <w:rPr>
                <w:rFonts w:ascii="Times New Roman" w:hAnsi="Times New Roman" w:cs="Times New Roman"/>
                <w:szCs w:val="21"/>
              </w:rPr>
            </w:pPr>
            <w:r>
              <w:rPr>
                <w:rFonts w:hint="eastAsia" w:ascii="Times New Roman" w:hAnsi="Times New Roman" w:cs="Times New Roman"/>
                <w:szCs w:val="21"/>
              </w:rPr>
              <w:t>单价</w:t>
            </w:r>
          </w:p>
        </w:tc>
        <w:tc>
          <w:tcPr>
            <w:tcW w:w="1276" w:type="dxa"/>
            <w:vAlign w:val="center"/>
          </w:tcPr>
          <w:p w14:paraId="6052F837">
            <w:pPr>
              <w:spacing w:line="360" w:lineRule="auto"/>
              <w:jc w:val="center"/>
              <w:rPr>
                <w:rFonts w:ascii="Times New Roman" w:hAnsi="Times New Roman" w:cs="Times New Roman"/>
                <w:szCs w:val="21"/>
              </w:rPr>
            </w:pPr>
            <w:r>
              <w:rPr>
                <w:rFonts w:hint="eastAsia" w:ascii="Times New Roman" w:hAnsi="Times New Roman" w:cs="Times New Roman"/>
                <w:szCs w:val="21"/>
              </w:rPr>
              <w:t>合计</w:t>
            </w:r>
          </w:p>
        </w:tc>
      </w:tr>
      <w:tr w14:paraId="48E6EF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vAlign w:val="center"/>
          </w:tcPr>
          <w:p w14:paraId="069AFB1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992" w:type="dxa"/>
            <w:vAlign w:val="center"/>
          </w:tcPr>
          <w:p w14:paraId="166A8937">
            <w:pPr>
              <w:spacing w:line="360" w:lineRule="auto"/>
              <w:jc w:val="center"/>
              <w:rPr>
                <w:rFonts w:ascii="Times New Roman" w:hAnsi="Times New Roman" w:cs="Times New Roman"/>
                <w:szCs w:val="21"/>
              </w:rPr>
            </w:pPr>
          </w:p>
        </w:tc>
        <w:tc>
          <w:tcPr>
            <w:tcW w:w="1559" w:type="dxa"/>
            <w:vAlign w:val="center"/>
          </w:tcPr>
          <w:p w14:paraId="760F0F32">
            <w:pPr>
              <w:spacing w:line="360" w:lineRule="auto"/>
              <w:jc w:val="center"/>
              <w:rPr>
                <w:rFonts w:ascii="Times New Roman" w:hAnsi="Times New Roman" w:cs="Times New Roman"/>
                <w:szCs w:val="21"/>
              </w:rPr>
            </w:pPr>
          </w:p>
        </w:tc>
        <w:tc>
          <w:tcPr>
            <w:tcW w:w="1276" w:type="dxa"/>
            <w:vAlign w:val="center"/>
          </w:tcPr>
          <w:p w14:paraId="3D58EAC2">
            <w:pPr>
              <w:spacing w:line="360" w:lineRule="auto"/>
              <w:jc w:val="center"/>
              <w:rPr>
                <w:rFonts w:ascii="Times New Roman" w:hAnsi="Times New Roman" w:cs="Times New Roman"/>
                <w:szCs w:val="21"/>
              </w:rPr>
            </w:pPr>
          </w:p>
        </w:tc>
        <w:tc>
          <w:tcPr>
            <w:tcW w:w="851" w:type="dxa"/>
            <w:vAlign w:val="center"/>
          </w:tcPr>
          <w:p w14:paraId="6B4DA94A">
            <w:pPr>
              <w:spacing w:line="360" w:lineRule="auto"/>
              <w:jc w:val="center"/>
              <w:rPr>
                <w:rFonts w:ascii="Times New Roman" w:hAnsi="Times New Roman" w:cs="Times New Roman"/>
                <w:szCs w:val="21"/>
              </w:rPr>
            </w:pPr>
          </w:p>
        </w:tc>
        <w:tc>
          <w:tcPr>
            <w:tcW w:w="1417" w:type="dxa"/>
          </w:tcPr>
          <w:p w14:paraId="38F1807A">
            <w:pPr>
              <w:spacing w:line="360" w:lineRule="auto"/>
              <w:jc w:val="center"/>
              <w:rPr>
                <w:rFonts w:ascii="Times New Roman" w:hAnsi="Times New Roman" w:cs="Times New Roman"/>
                <w:szCs w:val="21"/>
              </w:rPr>
            </w:pPr>
          </w:p>
        </w:tc>
        <w:tc>
          <w:tcPr>
            <w:tcW w:w="1276" w:type="dxa"/>
            <w:vAlign w:val="center"/>
          </w:tcPr>
          <w:p w14:paraId="240AC529">
            <w:pPr>
              <w:spacing w:line="360" w:lineRule="auto"/>
              <w:jc w:val="center"/>
              <w:rPr>
                <w:rFonts w:ascii="Times New Roman" w:hAnsi="Times New Roman" w:cs="Times New Roman"/>
                <w:szCs w:val="21"/>
              </w:rPr>
            </w:pPr>
          </w:p>
        </w:tc>
      </w:tr>
      <w:tr w14:paraId="0C2AC0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vAlign w:val="center"/>
          </w:tcPr>
          <w:p w14:paraId="58384BE1">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992" w:type="dxa"/>
            <w:vAlign w:val="center"/>
          </w:tcPr>
          <w:p w14:paraId="04864AB8">
            <w:pPr>
              <w:spacing w:line="360" w:lineRule="auto"/>
              <w:jc w:val="center"/>
              <w:rPr>
                <w:rFonts w:ascii="Times New Roman" w:hAnsi="Times New Roman" w:cs="Times New Roman"/>
                <w:szCs w:val="21"/>
              </w:rPr>
            </w:pPr>
          </w:p>
        </w:tc>
        <w:tc>
          <w:tcPr>
            <w:tcW w:w="1559" w:type="dxa"/>
            <w:vAlign w:val="center"/>
          </w:tcPr>
          <w:p w14:paraId="71D4759E">
            <w:pPr>
              <w:spacing w:line="360" w:lineRule="auto"/>
              <w:jc w:val="center"/>
              <w:rPr>
                <w:rFonts w:ascii="Times New Roman" w:hAnsi="Times New Roman" w:cs="Times New Roman"/>
                <w:szCs w:val="21"/>
              </w:rPr>
            </w:pPr>
          </w:p>
        </w:tc>
        <w:tc>
          <w:tcPr>
            <w:tcW w:w="1276" w:type="dxa"/>
            <w:vAlign w:val="center"/>
          </w:tcPr>
          <w:p w14:paraId="4D539F0F">
            <w:pPr>
              <w:spacing w:line="360" w:lineRule="auto"/>
              <w:jc w:val="center"/>
              <w:rPr>
                <w:rFonts w:ascii="Times New Roman" w:hAnsi="Times New Roman" w:cs="Times New Roman"/>
                <w:szCs w:val="21"/>
              </w:rPr>
            </w:pPr>
          </w:p>
        </w:tc>
        <w:tc>
          <w:tcPr>
            <w:tcW w:w="851" w:type="dxa"/>
            <w:vAlign w:val="center"/>
          </w:tcPr>
          <w:p w14:paraId="329920C9">
            <w:pPr>
              <w:spacing w:line="360" w:lineRule="auto"/>
              <w:jc w:val="center"/>
              <w:rPr>
                <w:rFonts w:ascii="Times New Roman" w:hAnsi="Times New Roman" w:cs="Times New Roman"/>
                <w:szCs w:val="21"/>
              </w:rPr>
            </w:pPr>
          </w:p>
        </w:tc>
        <w:tc>
          <w:tcPr>
            <w:tcW w:w="1417" w:type="dxa"/>
          </w:tcPr>
          <w:p w14:paraId="51B1A318">
            <w:pPr>
              <w:spacing w:line="360" w:lineRule="auto"/>
              <w:jc w:val="center"/>
              <w:rPr>
                <w:rFonts w:ascii="Times New Roman" w:hAnsi="Times New Roman" w:cs="Times New Roman"/>
                <w:szCs w:val="21"/>
              </w:rPr>
            </w:pPr>
          </w:p>
        </w:tc>
        <w:tc>
          <w:tcPr>
            <w:tcW w:w="1276" w:type="dxa"/>
            <w:vAlign w:val="center"/>
          </w:tcPr>
          <w:p w14:paraId="5CD5F799">
            <w:pPr>
              <w:spacing w:line="360" w:lineRule="auto"/>
              <w:jc w:val="center"/>
              <w:rPr>
                <w:rFonts w:ascii="Times New Roman" w:hAnsi="Times New Roman" w:cs="Times New Roman"/>
                <w:szCs w:val="21"/>
              </w:rPr>
            </w:pPr>
          </w:p>
        </w:tc>
      </w:tr>
      <w:tr w14:paraId="2BBCC1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vAlign w:val="center"/>
          </w:tcPr>
          <w:p w14:paraId="682E2A99">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992" w:type="dxa"/>
            <w:vAlign w:val="center"/>
          </w:tcPr>
          <w:p w14:paraId="1A3EF25A">
            <w:pPr>
              <w:spacing w:line="360" w:lineRule="auto"/>
              <w:jc w:val="center"/>
              <w:rPr>
                <w:rFonts w:ascii="Times New Roman" w:hAnsi="Times New Roman" w:cs="Times New Roman"/>
                <w:szCs w:val="21"/>
              </w:rPr>
            </w:pPr>
          </w:p>
        </w:tc>
        <w:tc>
          <w:tcPr>
            <w:tcW w:w="1559" w:type="dxa"/>
            <w:vAlign w:val="center"/>
          </w:tcPr>
          <w:p w14:paraId="1B55DEFB">
            <w:pPr>
              <w:spacing w:line="360" w:lineRule="auto"/>
              <w:jc w:val="center"/>
              <w:rPr>
                <w:rFonts w:ascii="Times New Roman" w:hAnsi="Times New Roman" w:cs="Times New Roman"/>
                <w:szCs w:val="21"/>
              </w:rPr>
            </w:pPr>
          </w:p>
        </w:tc>
        <w:tc>
          <w:tcPr>
            <w:tcW w:w="1276" w:type="dxa"/>
            <w:vAlign w:val="center"/>
          </w:tcPr>
          <w:p w14:paraId="76F115B9">
            <w:pPr>
              <w:spacing w:line="360" w:lineRule="auto"/>
              <w:jc w:val="center"/>
              <w:rPr>
                <w:rFonts w:ascii="Times New Roman" w:hAnsi="Times New Roman" w:cs="Times New Roman"/>
                <w:szCs w:val="21"/>
              </w:rPr>
            </w:pPr>
          </w:p>
        </w:tc>
        <w:tc>
          <w:tcPr>
            <w:tcW w:w="851" w:type="dxa"/>
            <w:vAlign w:val="center"/>
          </w:tcPr>
          <w:p w14:paraId="41B01C85">
            <w:pPr>
              <w:spacing w:line="360" w:lineRule="auto"/>
              <w:jc w:val="center"/>
              <w:rPr>
                <w:rFonts w:ascii="Times New Roman" w:hAnsi="Times New Roman" w:cs="Times New Roman"/>
                <w:szCs w:val="21"/>
              </w:rPr>
            </w:pPr>
          </w:p>
        </w:tc>
        <w:tc>
          <w:tcPr>
            <w:tcW w:w="1417" w:type="dxa"/>
          </w:tcPr>
          <w:p w14:paraId="44D79623">
            <w:pPr>
              <w:spacing w:line="360" w:lineRule="auto"/>
              <w:jc w:val="center"/>
              <w:rPr>
                <w:rFonts w:ascii="Times New Roman" w:hAnsi="Times New Roman" w:cs="Times New Roman"/>
                <w:szCs w:val="21"/>
              </w:rPr>
            </w:pPr>
          </w:p>
        </w:tc>
        <w:tc>
          <w:tcPr>
            <w:tcW w:w="1276" w:type="dxa"/>
            <w:vAlign w:val="center"/>
          </w:tcPr>
          <w:p w14:paraId="0F7F2365">
            <w:pPr>
              <w:spacing w:line="360" w:lineRule="auto"/>
              <w:jc w:val="center"/>
              <w:rPr>
                <w:rFonts w:ascii="Times New Roman" w:hAnsi="Times New Roman" w:cs="Times New Roman"/>
                <w:szCs w:val="21"/>
              </w:rPr>
            </w:pPr>
          </w:p>
        </w:tc>
      </w:tr>
      <w:tr w14:paraId="5C87D5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vAlign w:val="center"/>
          </w:tcPr>
          <w:p w14:paraId="25BA4D5A">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w:t>
            </w:r>
          </w:p>
        </w:tc>
        <w:tc>
          <w:tcPr>
            <w:tcW w:w="992" w:type="dxa"/>
            <w:vAlign w:val="center"/>
          </w:tcPr>
          <w:p w14:paraId="3B075A1F">
            <w:pPr>
              <w:spacing w:line="360" w:lineRule="auto"/>
              <w:jc w:val="center"/>
              <w:rPr>
                <w:rFonts w:ascii="Times New Roman" w:hAnsi="Times New Roman" w:cs="Times New Roman"/>
                <w:szCs w:val="21"/>
              </w:rPr>
            </w:pPr>
          </w:p>
        </w:tc>
        <w:tc>
          <w:tcPr>
            <w:tcW w:w="1559" w:type="dxa"/>
            <w:vAlign w:val="center"/>
          </w:tcPr>
          <w:p w14:paraId="61398833">
            <w:pPr>
              <w:spacing w:line="360" w:lineRule="auto"/>
              <w:jc w:val="center"/>
              <w:rPr>
                <w:rFonts w:ascii="Times New Roman" w:hAnsi="Times New Roman" w:cs="Times New Roman"/>
                <w:szCs w:val="21"/>
              </w:rPr>
            </w:pPr>
          </w:p>
        </w:tc>
        <w:tc>
          <w:tcPr>
            <w:tcW w:w="1276" w:type="dxa"/>
            <w:vAlign w:val="center"/>
          </w:tcPr>
          <w:p w14:paraId="3D68363B">
            <w:pPr>
              <w:spacing w:line="360" w:lineRule="auto"/>
              <w:jc w:val="center"/>
              <w:rPr>
                <w:rFonts w:ascii="Times New Roman" w:hAnsi="Times New Roman" w:cs="Times New Roman"/>
                <w:szCs w:val="21"/>
              </w:rPr>
            </w:pPr>
          </w:p>
        </w:tc>
        <w:tc>
          <w:tcPr>
            <w:tcW w:w="851" w:type="dxa"/>
            <w:vAlign w:val="center"/>
          </w:tcPr>
          <w:p w14:paraId="3FCA91AA">
            <w:pPr>
              <w:spacing w:line="360" w:lineRule="auto"/>
              <w:jc w:val="center"/>
              <w:rPr>
                <w:rFonts w:ascii="Times New Roman" w:hAnsi="Times New Roman" w:cs="Times New Roman"/>
                <w:szCs w:val="21"/>
              </w:rPr>
            </w:pPr>
          </w:p>
        </w:tc>
        <w:tc>
          <w:tcPr>
            <w:tcW w:w="1417" w:type="dxa"/>
          </w:tcPr>
          <w:p w14:paraId="1E9469F2">
            <w:pPr>
              <w:spacing w:line="360" w:lineRule="auto"/>
              <w:jc w:val="center"/>
              <w:rPr>
                <w:rFonts w:ascii="Times New Roman" w:hAnsi="Times New Roman" w:cs="Times New Roman"/>
                <w:szCs w:val="21"/>
              </w:rPr>
            </w:pPr>
          </w:p>
        </w:tc>
        <w:tc>
          <w:tcPr>
            <w:tcW w:w="1276" w:type="dxa"/>
            <w:vAlign w:val="center"/>
          </w:tcPr>
          <w:p w14:paraId="2A14E66B">
            <w:pPr>
              <w:spacing w:line="360" w:lineRule="auto"/>
              <w:jc w:val="center"/>
              <w:rPr>
                <w:rFonts w:ascii="Times New Roman" w:hAnsi="Times New Roman" w:cs="Times New Roman"/>
                <w:szCs w:val="21"/>
              </w:rPr>
            </w:pPr>
          </w:p>
        </w:tc>
      </w:tr>
    </w:tbl>
    <w:p w14:paraId="7A63EEAB">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说明：（1）上述费用包括服装的原材料、生产、包装、</w:t>
      </w:r>
      <w:r>
        <w:rPr>
          <w:rFonts w:ascii="Times New Roman" w:hAnsi="Times New Roman" w:cs="Times New Roman"/>
          <w:szCs w:val="21"/>
        </w:rPr>
        <w:t>运输</w:t>
      </w:r>
      <w:r>
        <w:rPr>
          <w:rFonts w:hint="eastAsia" w:ascii="Times New Roman" w:hAnsi="Times New Roman" w:cs="Times New Roman"/>
          <w:szCs w:val="21"/>
        </w:rPr>
        <w:t>、保险及所需的附属材料</w:t>
      </w:r>
      <w:r>
        <w:rPr>
          <w:rFonts w:ascii="Times New Roman" w:hAnsi="Times New Roman" w:cs="Times New Roman"/>
          <w:szCs w:val="21"/>
        </w:rPr>
        <w:t>、报检验收</w:t>
      </w:r>
      <w:r>
        <w:rPr>
          <w:rFonts w:hint="eastAsia" w:ascii="Times New Roman" w:hAnsi="Times New Roman" w:cs="Times New Roman"/>
          <w:szCs w:val="21"/>
        </w:rPr>
        <w:t>、利润、税费等</w:t>
      </w:r>
      <w:r>
        <w:rPr>
          <w:rFonts w:ascii="Times New Roman" w:hAnsi="Times New Roman" w:cs="Times New Roman"/>
          <w:szCs w:val="21"/>
        </w:rPr>
        <w:t>一切相关费用</w:t>
      </w:r>
      <w:r>
        <w:rPr>
          <w:rFonts w:hint="eastAsia" w:ascii="Times New Roman" w:hAnsi="Times New Roman" w:cs="Times New Roman"/>
          <w:szCs w:val="21"/>
        </w:rPr>
        <w:t>；</w:t>
      </w:r>
    </w:p>
    <w:p w14:paraId="305DC3A0">
      <w:pPr>
        <w:pStyle w:val="3"/>
        <w:spacing w:after="0" w:line="400" w:lineRule="exact"/>
        <w:ind w:firstLine="405"/>
      </w:pPr>
      <w:r>
        <w:rPr>
          <w:rFonts w:hint="eastAsia"/>
        </w:rPr>
        <w:t>（2）合同期内，甲方不定期补货均按上表中单价执行；</w:t>
      </w:r>
    </w:p>
    <w:p w14:paraId="41ED1E0D">
      <w:pPr>
        <w:pStyle w:val="3"/>
        <w:spacing w:after="0" w:line="400" w:lineRule="exact"/>
        <w:ind w:firstLine="405"/>
      </w:pPr>
      <w:r>
        <w:rPr>
          <w:rFonts w:hint="eastAsia"/>
        </w:rPr>
        <w:t>（3）上表中订购数量为估算数，双方结算以实际采购数量为准。</w:t>
      </w:r>
    </w:p>
    <w:p w14:paraId="550B72D9">
      <w:pPr>
        <w:spacing w:line="400" w:lineRule="exact"/>
        <w:ind w:firstLine="422" w:firstLineChars="200"/>
        <w:rPr>
          <w:rFonts w:ascii="Times New Roman" w:hAnsi="Times New Roman" w:cs="Times New Roman"/>
          <w:b/>
          <w:szCs w:val="21"/>
        </w:rPr>
      </w:pPr>
      <w:r>
        <w:rPr>
          <w:rFonts w:hint="eastAsia" w:ascii="Times New Roman" w:hAnsi="Times New Roman" w:cs="Times New Roman"/>
          <w:b/>
          <w:szCs w:val="21"/>
        </w:rPr>
        <w:t>三、技术标准及</w:t>
      </w:r>
      <w:r>
        <w:rPr>
          <w:rFonts w:ascii="Times New Roman" w:hAnsi="Times New Roman" w:cs="Times New Roman"/>
          <w:b/>
          <w:szCs w:val="21"/>
        </w:rPr>
        <w:t>质量要求</w:t>
      </w:r>
    </w:p>
    <w:p w14:paraId="200B7D2C">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1. 有关面料、工艺等技术及质量要求如下表。</w:t>
      </w:r>
    </w:p>
    <w:tbl>
      <w:tblPr>
        <w:tblStyle w:val="12"/>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82"/>
        <w:gridCol w:w="2132"/>
        <w:gridCol w:w="4066"/>
      </w:tblGrid>
      <w:tr w14:paraId="02502B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882" w:type="dxa"/>
            <w:vAlign w:val="center"/>
          </w:tcPr>
          <w:p w14:paraId="3192E2A6">
            <w:pPr>
              <w:spacing w:line="360" w:lineRule="auto"/>
              <w:jc w:val="center"/>
              <w:rPr>
                <w:rFonts w:ascii="Times New Roman" w:hAnsi="Times New Roman" w:cs="Times New Roman"/>
                <w:szCs w:val="21"/>
              </w:rPr>
            </w:pPr>
            <w:r>
              <w:rPr>
                <w:rFonts w:hint="eastAsia" w:ascii="Times New Roman" w:hAnsi="Times New Roman" w:cs="Times New Roman"/>
                <w:szCs w:val="21"/>
              </w:rPr>
              <w:t>类型</w:t>
            </w:r>
          </w:p>
        </w:tc>
        <w:tc>
          <w:tcPr>
            <w:tcW w:w="2132" w:type="dxa"/>
            <w:vAlign w:val="center"/>
          </w:tcPr>
          <w:p w14:paraId="6B6C6C54">
            <w:pPr>
              <w:spacing w:line="360" w:lineRule="auto"/>
              <w:jc w:val="center"/>
              <w:rPr>
                <w:rFonts w:ascii="Times New Roman" w:hAnsi="Times New Roman" w:cs="Times New Roman"/>
                <w:szCs w:val="21"/>
              </w:rPr>
            </w:pPr>
            <w:r>
              <w:rPr>
                <w:rFonts w:hint="eastAsia" w:ascii="Times New Roman" w:hAnsi="Times New Roman" w:cs="Times New Roman"/>
                <w:szCs w:val="21"/>
              </w:rPr>
              <w:t>品目</w:t>
            </w:r>
          </w:p>
        </w:tc>
        <w:tc>
          <w:tcPr>
            <w:tcW w:w="4066" w:type="dxa"/>
            <w:vAlign w:val="center"/>
          </w:tcPr>
          <w:p w14:paraId="08BF0E52">
            <w:pPr>
              <w:spacing w:line="360" w:lineRule="auto"/>
              <w:jc w:val="center"/>
              <w:rPr>
                <w:rFonts w:ascii="Times New Roman" w:hAnsi="Times New Roman" w:cs="Times New Roman"/>
                <w:szCs w:val="21"/>
              </w:rPr>
            </w:pPr>
            <w:r>
              <w:rPr>
                <w:rFonts w:hint="eastAsia" w:ascii="Times New Roman" w:hAnsi="Times New Roman" w:cs="Times New Roman"/>
                <w:szCs w:val="21"/>
              </w:rPr>
              <w:t>面料及工艺要求</w:t>
            </w:r>
          </w:p>
        </w:tc>
      </w:tr>
      <w:tr w14:paraId="497CC6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82" w:type="dxa"/>
          </w:tcPr>
          <w:p w14:paraId="3C582651">
            <w:pPr>
              <w:spacing w:line="360" w:lineRule="auto"/>
              <w:rPr>
                <w:rFonts w:ascii="Times New Roman" w:hAnsi="Times New Roman" w:cs="Times New Roman"/>
                <w:b/>
                <w:szCs w:val="21"/>
              </w:rPr>
            </w:pPr>
          </w:p>
        </w:tc>
        <w:tc>
          <w:tcPr>
            <w:tcW w:w="2132" w:type="dxa"/>
          </w:tcPr>
          <w:p w14:paraId="119B18DE">
            <w:pPr>
              <w:spacing w:line="360" w:lineRule="auto"/>
              <w:rPr>
                <w:rFonts w:ascii="Times New Roman" w:hAnsi="Times New Roman" w:cs="Times New Roman"/>
                <w:b/>
                <w:szCs w:val="21"/>
              </w:rPr>
            </w:pPr>
          </w:p>
        </w:tc>
        <w:tc>
          <w:tcPr>
            <w:tcW w:w="4066" w:type="dxa"/>
          </w:tcPr>
          <w:p w14:paraId="0EDCB79D">
            <w:pPr>
              <w:spacing w:line="360" w:lineRule="auto"/>
              <w:rPr>
                <w:rFonts w:ascii="Times New Roman" w:hAnsi="Times New Roman" w:cs="Times New Roman"/>
                <w:b/>
                <w:szCs w:val="21"/>
              </w:rPr>
            </w:pPr>
          </w:p>
        </w:tc>
      </w:tr>
      <w:tr w14:paraId="573D75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82" w:type="dxa"/>
          </w:tcPr>
          <w:p w14:paraId="2CA6D814">
            <w:pPr>
              <w:spacing w:line="360" w:lineRule="auto"/>
              <w:rPr>
                <w:rFonts w:ascii="Times New Roman" w:hAnsi="Times New Roman" w:cs="Times New Roman"/>
                <w:b/>
                <w:szCs w:val="21"/>
              </w:rPr>
            </w:pPr>
          </w:p>
        </w:tc>
        <w:tc>
          <w:tcPr>
            <w:tcW w:w="2132" w:type="dxa"/>
          </w:tcPr>
          <w:p w14:paraId="21732E09">
            <w:pPr>
              <w:spacing w:line="360" w:lineRule="auto"/>
              <w:rPr>
                <w:rFonts w:ascii="Times New Roman" w:hAnsi="Times New Roman" w:cs="Times New Roman"/>
                <w:b/>
                <w:szCs w:val="21"/>
              </w:rPr>
            </w:pPr>
          </w:p>
        </w:tc>
        <w:tc>
          <w:tcPr>
            <w:tcW w:w="4066" w:type="dxa"/>
          </w:tcPr>
          <w:p w14:paraId="4F0AB86F">
            <w:pPr>
              <w:spacing w:line="360" w:lineRule="auto"/>
              <w:rPr>
                <w:rFonts w:ascii="Times New Roman" w:hAnsi="Times New Roman" w:cs="Times New Roman"/>
                <w:b/>
                <w:szCs w:val="21"/>
              </w:rPr>
            </w:pPr>
          </w:p>
        </w:tc>
      </w:tr>
      <w:tr w14:paraId="452CF4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82" w:type="dxa"/>
          </w:tcPr>
          <w:p w14:paraId="513CB31E">
            <w:pPr>
              <w:spacing w:line="360" w:lineRule="auto"/>
              <w:rPr>
                <w:rFonts w:ascii="Times New Roman" w:hAnsi="Times New Roman" w:cs="Times New Roman"/>
                <w:b/>
                <w:szCs w:val="21"/>
              </w:rPr>
            </w:pPr>
          </w:p>
        </w:tc>
        <w:tc>
          <w:tcPr>
            <w:tcW w:w="2132" w:type="dxa"/>
          </w:tcPr>
          <w:p w14:paraId="6CBA2D30">
            <w:pPr>
              <w:spacing w:line="360" w:lineRule="auto"/>
              <w:rPr>
                <w:rFonts w:ascii="Times New Roman" w:hAnsi="Times New Roman" w:cs="Times New Roman"/>
                <w:b/>
                <w:szCs w:val="21"/>
              </w:rPr>
            </w:pPr>
          </w:p>
        </w:tc>
        <w:tc>
          <w:tcPr>
            <w:tcW w:w="4066" w:type="dxa"/>
          </w:tcPr>
          <w:p w14:paraId="5E464DAE">
            <w:pPr>
              <w:spacing w:line="360" w:lineRule="auto"/>
              <w:rPr>
                <w:rFonts w:ascii="Times New Roman" w:hAnsi="Times New Roman" w:cs="Times New Roman"/>
                <w:b/>
                <w:szCs w:val="21"/>
              </w:rPr>
            </w:pPr>
          </w:p>
        </w:tc>
      </w:tr>
    </w:tbl>
    <w:p w14:paraId="0852B998">
      <w:pPr>
        <w:spacing w:line="400" w:lineRule="exact"/>
        <w:ind w:firstLine="420" w:firstLineChars="200"/>
        <w:rPr>
          <w:rFonts w:ascii="Times New Roman" w:hAnsi="Times New Roman" w:cs="Times New Roman"/>
          <w:szCs w:val="21"/>
        </w:rPr>
      </w:pPr>
      <w:r>
        <w:rPr>
          <w:rFonts w:ascii="Times New Roman" w:hAnsi="Times New Roman" w:cs="Times New Roman"/>
          <w:szCs w:val="21"/>
        </w:rPr>
        <w:t xml:space="preserve">2. </w:t>
      </w:r>
      <w:r>
        <w:rPr>
          <w:rFonts w:hint="eastAsia" w:ascii="Times New Roman" w:hAnsi="Times New Roman" w:cs="Times New Roman"/>
          <w:szCs w:val="21"/>
        </w:rPr>
        <w:t>服装款式、颜色、工艺等按照经甲方评审确定、封存的样衣为标准制作。</w:t>
      </w:r>
    </w:p>
    <w:p w14:paraId="7BF72507">
      <w:pPr>
        <w:pStyle w:val="3"/>
        <w:spacing w:after="0" w:line="400" w:lineRule="exact"/>
        <w:ind w:firstLine="407" w:firstLineChars="194"/>
      </w:pPr>
      <w:r>
        <w:rPr>
          <w:rFonts w:hint="eastAsia"/>
        </w:rPr>
        <w:t>3. 乙方须向甲方提供面料供应厂家资质证明、合格机构出具的面料检测报告，所使用的面料性能与本项目询价文件要求一致。</w:t>
      </w:r>
    </w:p>
    <w:p w14:paraId="33879E5F">
      <w:pPr>
        <w:pStyle w:val="3"/>
        <w:spacing w:after="0" w:line="400" w:lineRule="exact"/>
        <w:ind w:firstLine="422"/>
        <w:rPr>
          <w:rFonts w:ascii="Times New Roman" w:hAnsi="Times New Roman" w:cs="Times New Roman"/>
          <w:b/>
          <w:bCs/>
          <w:szCs w:val="21"/>
        </w:rPr>
      </w:pPr>
      <w:r>
        <w:rPr>
          <w:rFonts w:hint="eastAsia" w:ascii="Times New Roman" w:hAnsi="Times New Roman" w:cs="Times New Roman"/>
          <w:b/>
          <w:bCs/>
          <w:szCs w:val="21"/>
        </w:rPr>
        <w:t>四、制作要求</w:t>
      </w:r>
    </w:p>
    <w:p w14:paraId="3920091B">
      <w:pPr>
        <w:pStyle w:val="3"/>
        <w:spacing w:after="0" w:line="400" w:lineRule="exact"/>
        <w:ind w:firstLine="420"/>
      </w:pPr>
      <w:r>
        <w:rPr>
          <w:rFonts w:hint="eastAsia"/>
        </w:rPr>
        <w:t>乙方不以转包、分包方式完成服装制作，必须由乙方在生产基地完成。</w:t>
      </w:r>
    </w:p>
    <w:p w14:paraId="1F9459CE">
      <w:pPr>
        <w:spacing w:line="400" w:lineRule="exact"/>
        <w:ind w:firstLine="422" w:firstLineChars="200"/>
        <w:rPr>
          <w:rFonts w:ascii="Times New Roman" w:hAnsi="Times New Roman" w:cs="Times New Roman"/>
          <w:b/>
          <w:szCs w:val="21"/>
        </w:rPr>
      </w:pPr>
      <w:r>
        <w:rPr>
          <w:rFonts w:hint="eastAsia" w:ascii="Times New Roman" w:hAnsi="Times New Roman" w:cs="Times New Roman"/>
          <w:b/>
          <w:szCs w:val="21"/>
        </w:rPr>
        <w:t>五、验收标准及方法</w:t>
      </w:r>
    </w:p>
    <w:p w14:paraId="7BBF54F5">
      <w:pPr>
        <w:pStyle w:val="3"/>
        <w:spacing w:after="0" w:line="400" w:lineRule="exact"/>
        <w:ind w:firstLine="420"/>
      </w:pPr>
      <w:r>
        <w:t xml:space="preserve">1. </w:t>
      </w:r>
      <w:r>
        <w:rPr>
          <w:rFonts w:hint="eastAsia"/>
        </w:rPr>
        <w:t>甲方随机抽样检查验收。抽样检测如合格，检测费用由甲方承担；抽样检测如不合格，检测费用由乙方承担。</w:t>
      </w:r>
    </w:p>
    <w:p w14:paraId="650FE318">
      <w:pPr>
        <w:pStyle w:val="3"/>
        <w:spacing w:after="0" w:line="400" w:lineRule="exact"/>
        <w:ind w:firstLine="420"/>
      </w:pPr>
      <w:r>
        <w:t xml:space="preserve">2. </w:t>
      </w:r>
      <w:r>
        <w:rPr>
          <w:rFonts w:hint="eastAsia"/>
        </w:rPr>
        <w:t>乙方交货，甲方进行验收时，如发现服装质量不符合合同约定的，甲方有权拒付不符合合同约定部分的货款。</w:t>
      </w:r>
    </w:p>
    <w:p w14:paraId="1CD2C535">
      <w:pPr>
        <w:spacing w:line="400" w:lineRule="exact"/>
        <w:ind w:firstLine="422" w:firstLineChars="200"/>
        <w:rPr>
          <w:rFonts w:ascii="Times New Roman" w:hAnsi="Times New Roman" w:cs="Times New Roman"/>
          <w:b/>
          <w:szCs w:val="21"/>
        </w:rPr>
      </w:pPr>
      <w:r>
        <w:rPr>
          <w:rFonts w:hint="eastAsia" w:ascii="Times New Roman" w:hAnsi="Times New Roman" w:cs="Times New Roman"/>
          <w:b/>
          <w:szCs w:val="21"/>
        </w:rPr>
        <w:t>六、交货日期及地点</w:t>
      </w:r>
    </w:p>
    <w:p w14:paraId="4842CB30">
      <w:pPr>
        <w:pStyle w:val="3"/>
        <w:spacing w:after="0" w:line="400" w:lineRule="exact"/>
        <w:ind w:firstLine="420"/>
      </w:pPr>
      <w:r>
        <w:rPr>
          <w:rFonts w:hint="eastAsia"/>
        </w:rPr>
        <w:t>自合同签订之日起45日内交货。</w:t>
      </w:r>
    </w:p>
    <w:p w14:paraId="7FEA5E09">
      <w:pPr>
        <w:pStyle w:val="3"/>
        <w:spacing w:after="0" w:line="400" w:lineRule="exact"/>
        <w:ind w:firstLine="420"/>
      </w:pPr>
      <w:r>
        <w:rPr>
          <w:rFonts w:hint="eastAsia"/>
        </w:rPr>
        <w:t>交货地点：合肥市</w:t>
      </w:r>
      <w:r>
        <w:rPr>
          <w:rFonts w:hint="eastAsia"/>
          <w:lang w:val="en-US" w:eastAsia="zh-CN"/>
        </w:rPr>
        <w:t>包河区滨湖高速时代广场C1座9层</w:t>
      </w:r>
      <w:r>
        <w:rPr>
          <w:rFonts w:hint="eastAsia"/>
        </w:rPr>
        <w:t>。</w:t>
      </w:r>
    </w:p>
    <w:p w14:paraId="24B53340">
      <w:pPr>
        <w:spacing w:line="400" w:lineRule="exact"/>
        <w:ind w:firstLine="422" w:firstLineChars="200"/>
        <w:rPr>
          <w:rFonts w:ascii="Times New Roman" w:hAnsi="Times New Roman" w:cs="Times New Roman"/>
          <w:b/>
          <w:szCs w:val="21"/>
        </w:rPr>
      </w:pPr>
      <w:r>
        <w:rPr>
          <w:rFonts w:hint="eastAsia" w:ascii="Times New Roman" w:hAnsi="Times New Roman" w:cs="Times New Roman"/>
          <w:b/>
          <w:szCs w:val="21"/>
        </w:rPr>
        <w:t>七、付款方式</w:t>
      </w:r>
    </w:p>
    <w:p w14:paraId="2E0E51A5">
      <w:pPr>
        <w:pStyle w:val="3"/>
        <w:spacing w:after="0" w:line="400" w:lineRule="exact"/>
        <w:ind w:firstLine="420"/>
      </w:pPr>
      <w:r>
        <w:t>中标方开具</w:t>
      </w:r>
      <w:r>
        <w:rPr>
          <w:rFonts w:hint="eastAsia"/>
        </w:rPr>
        <w:t>增值税</w:t>
      </w:r>
      <w:r>
        <w:rPr>
          <w:rFonts w:hint="eastAsia"/>
          <w:lang w:val="en-US" w:eastAsia="zh-CN"/>
        </w:rPr>
        <w:t>普通</w:t>
      </w:r>
      <w:r>
        <w:t>发票后，采购单位按合同约定转账到对方账户。合同签订后10个工作日内预付合同价款的4</w:t>
      </w:r>
      <w:r>
        <w:rPr>
          <w:rFonts w:hint="eastAsia"/>
          <w:lang w:val="en-US" w:eastAsia="zh-CN"/>
        </w:rPr>
        <w:t>5</w:t>
      </w:r>
      <w:r>
        <w:t>%；货到验收合格</w:t>
      </w:r>
      <w:r>
        <w:rPr>
          <w:rFonts w:hint="eastAsia"/>
        </w:rPr>
        <w:t>、</w:t>
      </w:r>
      <w:r>
        <w:t>完成返修</w:t>
      </w:r>
      <w:r>
        <w:rPr>
          <w:rFonts w:hint="eastAsia"/>
        </w:rPr>
        <w:t>并开具发票后</w:t>
      </w:r>
      <w:r>
        <w:t>10个工作日内支付合同价款的</w:t>
      </w:r>
      <w:r>
        <w:rPr>
          <w:rFonts w:hint="eastAsia"/>
          <w:lang w:val="en-US" w:eastAsia="zh-CN"/>
        </w:rPr>
        <w:t>55</w:t>
      </w:r>
      <w:r>
        <w:t>％。</w:t>
      </w:r>
    </w:p>
    <w:p w14:paraId="7D020F4D">
      <w:pPr>
        <w:pStyle w:val="3"/>
        <w:spacing w:after="0" w:line="400" w:lineRule="exact"/>
        <w:ind w:firstLine="420"/>
        <w:rPr>
          <w:rFonts w:hint="eastAsia" w:ascii="Times New Roman" w:hAnsi="Times New Roman" w:cs="Times New Roman" w:eastAsiaTheme="minorEastAsia"/>
          <w:b/>
          <w:kern w:val="2"/>
          <w:sz w:val="21"/>
          <w:szCs w:val="21"/>
          <w:lang w:val="en-US" w:eastAsia="zh-CN" w:bidi="ar-SA"/>
        </w:rPr>
      </w:pPr>
      <w:r>
        <w:rPr>
          <w:rFonts w:hint="eastAsia" w:ascii="Times New Roman" w:hAnsi="Times New Roman" w:cs="Times New Roman" w:eastAsiaTheme="minorEastAsia"/>
          <w:b/>
          <w:kern w:val="2"/>
          <w:sz w:val="21"/>
          <w:szCs w:val="21"/>
          <w:lang w:val="en-US" w:eastAsia="zh-CN" w:bidi="ar-SA"/>
        </w:rPr>
        <w:t>八、售后服务</w:t>
      </w:r>
    </w:p>
    <w:p w14:paraId="7F678535">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1. </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B8E5DB1">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2. </w:t>
      </w:r>
      <w:r>
        <w:rPr>
          <w:rFonts w:ascii="Times New Roman" w:hAnsi="Times New Roman" w:cs="Times New Roman"/>
          <w:szCs w:val="21"/>
        </w:rPr>
        <w:t>售后服务质量技术标准：</w:t>
      </w:r>
      <w:r>
        <w:rPr>
          <w:rFonts w:hint="eastAsia" w:ascii="Times New Roman" w:hAnsi="Times New Roman" w:cs="Times New Roman"/>
          <w:szCs w:val="21"/>
        </w:rPr>
        <w:t>按国家新</w:t>
      </w:r>
      <w:r>
        <w:rPr>
          <w:rFonts w:ascii="Times New Roman" w:hAnsi="Times New Roman" w:cs="Times New Roman"/>
          <w:szCs w:val="21"/>
        </w:rPr>
        <w:t>“</w:t>
      </w:r>
      <w:r>
        <w:rPr>
          <w:rFonts w:hint="eastAsia" w:ascii="Times New Roman" w:hAnsi="Times New Roman" w:cs="Times New Roman"/>
          <w:szCs w:val="21"/>
        </w:rPr>
        <w:t>三包</w:t>
      </w:r>
      <w:r>
        <w:rPr>
          <w:rFonts w:ascii="Times New Roman" w:hAnsi="Times New Roman" w:cs="Times New Roman"/>
          <w:szCs w:val="21"/>
        </w:rPr>
        <w:t>”</w:t>
      </w:r>
      <w:r>
        <w:rPr>
          <w:rFonts w:hint="eastAsia" w:ascii="Times New Roman" w:hAnsi="Times New Roman" w:cs="Times New Roman"/>
          <w:szCs w:val="21"/>
        </w:rPr>
        <w:t>规定执行，如有质量问题</w:t>
      </w:r>
      <w:r>
        <w:rPr>
          <w:rFonts w:ascii="Times New Roman" w:hAnsi="Times New Roman" w:cs="Times New Roman"/>
          <w:szCs w:val="21"/>
        </w:rPr>
        <w:t>7</w:t>
      </w:r>
      <w:r>
        <w:rPr>
          <w:rFonts w:hint="eastAsia" w:ascii="Times New Roman" w:hAnsi="Times New Roman" w:cs="Times New Roman"/>
          <w:szCs w:val="21"/>
        </w:rPr>
        <w:t>天内包退，</w:t>
      </w:r>
      <w:r>
        <w:rPr>
          <w:rFonts w:ascii="Times New Roman" w:hAnsi="Times New Roman" w:cs="Times New Roman"/>
          <w:szCs w:val="21"/>
        </w:rPr>
        <w:t>15</w:t>
      </w:r>
      <w:r>
        <w:rPr>
          <w:rFonts w:hint="eastAsia" w:ascii="Times New Roman" w:hAnsi="Times New Roman" w:cs="Times New Roman"/>
          <w:szCs w:val="21"/>
        </w:rPr>
        <w:t>天内包换。</w:t>
      </w:r>
    </w:p>
    <w:p w14:paraId="539D0689">
      <w:pPr>
        <w:spacing w:line="400" w:lineRule="exact"/>
        <w:ind w:firstLine="420" w:firstLineChars="200"/>
        <w:rPr>
          <w:rFonts w:ascii="Times New Roman" w:hAnsi="Times New Roman" w:cs="Times New Roman"/>
          <w:szCs w:val="21"/>
          <w:u w:val="single"/>
        </w:rPr>
      </w:pPr>
      <w:r>
        <w:rPr>
          <w:rFonts w:hint="eastAsia" w:ascii="Times New Roman" w:hAnsi="Times New Roman" w:cs="Times New Roman"/>
          <w:szCs w:val="21"/>
        </w:rPr>
        <w:t xml:space="preserve">3. </w:t>
      </w:r>
      <w:r>
        <w:rPr>
          <w:rFonts w:ascii="Times New Roman" w:hAnsi="Times New Roman" w:cs="Times New Roman"/>
          <w:szCs w:val="21"/>
        </w:rPr>
        <w:t>出现</w:t>
      </w:r>
      <w:r>
        <w:rPr>
          <w:rFonts w:hint="eastAsia" w:ascii="Times New Roman" w:hAnsi="Times New Roman" w:cs="Times New Roman"/>
          <w:szCs w:val="21"/>
        </w:rPr>
        <w:t>质量等</w:t>
      </w:r>
      <w:r>
        <w:rPr>
          <w:rFonts w:ascii="Times New Roman" w:hAnsi="Times New Roman" w:cs="Times New Roman"/>
          <w:szCs w:val="21"/>
        </w:rPr>
        <w:t>问题时，</w:t>
      </w:r>
      <w:r>
        <w:rPr>
          <w:rFonts w:hint="eastAsia" w:ascii="Times New Roman" w:hAnsi="Times New Roman" w:cs="Times New Roman"/>
          <w:szCs w:val="21"/>
        </w:rPr>
        <w:t>售后响应时间为</w:t>
      </w:r>
      <w:r>
        <w:rPr>
          <w:rFonts w:ascii="Times New Roman" w:hAnsi="Times New Roman" w:cs="Times New Roman"/>
          <w:szCs w:val="21"/>
        </w:rPr>
        <w:t>。售后服务由乙方全权负责，成立专门售后服务小组，保证提供完善的售后服务。</w:t>
      </w:r>
      <w:r>
        <w:rPr>
          <w:rFonts w:hint="eastAsia" w:ascii="Times New Roman" w:hAnsi="Times New Roman" w:cs="Times New Roman"/>
          <w:szCs w:val="21"/>
        </w:rPr>
        <w:t>售后联系人：。</w:t>
      </w:r>
    </w:p>
    <w:p w14:paraId="07DF4897">
      <w:pPr>
        <w:spacing w:line="400" w:lineRule="exact"/>
        <w:ind w:firstLine="413" w:firstLineChars="196"/>
        <w:outlineLvl w:val="1"/>
        <w:rPr>
          <w:rFonts w:ascii="宋体" w:hAnsi="宋体"/>
          <w:b/>
          <w:bCs/>
          <w:szCs w:val="21"/>
        </w:rPr>
      </w:pPr>
      <w:r>
        <w:rPr>
          <w:rFonts w:hint="eastAsia" w:ascii="宋体" w:hAnsi="宋体"/>
          <w:b/>
          <w:szCs w:val="21"/>
        </w:rPr>
        <w:t>九、</w:t>
      </w:r>
      <w:r>
        <w:rPr>
          <w:rFonts w:hint="eastAsia" w:ascii="宋体" w:hAnsi="宋体"/>
          <w:b/>
          <w:bCs/>
          <w:szCs w:val="21"/>
        </w:rPr>
        <w:t>知识产权</w:t>
      </w:r>
    </w:p>
    <w:p w14:paraId="7504F5B0">
      <w:pPr>
        <w:spacing w:line="400" w:lineRule="exact"/>
        <w:ind w:firstLine="420" w:firstLineChars="200"/>
        <w:rPr>
          <w:rFonts w:ascii="宋体" w:hAnsi="宋体"/>
          <w:szCs w:val="21"/>
        </w:rPr>
      </w:pPr>
      <w:r>
        <w:rPr>
          <w:rFonts w:hint="eastAsia" w:ascii="宋体" w:hAnsi="宋体"/>
          <w:szCs w:val="21"/>
        </w:rPr>
        <w:t>乙方应保证甲方在使用其服装、服务及其任何部分时，不受到第三方关于侵犯专利权、商标权或其它知识产权的指控。任何第三方如果提出侵犯指控、乙方须与第三方交涉并全部承担可能发生的一切法律责任。</w:t>
      </w:r>
    </w:p>
    <w:p w14:paraId="61E6A0B4">
      <w:pPr>
        <w:spacing w:line="400" w:lineRule="exact"/>
        <w:ind w:firstLine="422" w:firstLineChars="200"/>
        <w:rPr>
          <w:rFonts w:ascii="宋体" w:hAnsi="宋体"/>
          <w:b/>
          <w:szCs w:val="21"/>
        </w:rPr>
      </w:pPr>
      <w:r>
        <w:rPr>
          <w:rFonts w:hint="eastAsia" w:ascii="宋体" w:hAnsi="宋体"/>
          <w:b/>
          <w:bCs/>
          <w:szCs w:val="21"/>
        </w:rPr>
        <w:t>十、</w:t>
      </w:r>
      <w:r>
        <w:rPr>
          <w:rFonts w:hint="eastAsia" w:ascii="宋体" w:hAnsi="宋体"/>
          <w:b/>
          <w:szCs w:val="21"/>
        </w:rPr>
        <w:t>风险</w:t>
      </w:r>
    </w:p>
    <w:p w14:paraId="3364EC41">
      <w:pPr>
        <w:spacing w:line="400" w:lineRule="exact"/>
        <w:ind w:firstLine="420" w:firstLineChars="200"/>
        <w:rPr>
          <w:rFonts w:ascii="宋体" w:hAnsi="宋体"/>
          <w:szCs w:val="21"/>
        </w:rPr>
      </w:pPr>
      <w:r>
        <w:rPr>
          <w:rFonts w:hint="eastAsia" w:ascii="宋体" w:hAnsi="宋体"/>
          <w:szCs w:val="21"/>
        </w:rPr>
        <w:t>服装在全部运抵交货地点并经甲方验收合格之前的一切风险由乙方负责。</w:t>
      </w:r>
    </w:p>
    <w:p w14:paraId="1AFCFE01">
      <w:pPr>
        <w:spacing w:line="400" w:lineRule="exact"/>
        <w:ind w:firstLine="422" w:firstLineChars="200"/>
        <w:rPr>
          <w:rFonts w:ascii="宋体" w:hAnsi="宋体"/>
          <w:b/>
          <w:szCs w:val="21"/>
        </w:rPr>
      </w:pPr>
      <w:r>
        <w:rPr>
          <w:rFonts w:hint="eastAsia" w:ascii="宋体" w:hAnsi="宋体"/>
          <w:b/>
          <w:szCs w:val="21"/>
        </w:rPr>
        <w:t>十一、违约责任</w:t>
      </w:r>
    </w:p>
    <w:p w14:paraId="547E54C5">
      <w:pPr>
        <w:spacing w:line="400" w:lineRule="exact"/>
        <w:ind w:firstLine="525" w:firstLineChars="250"/>
        <w:jc w:val="left"/>
        <w:rPr>
          <w:rFonts w:ascii="宋体" w:hAnsi="宋体"/>
          <w:szCs w:val="21"/>
        </w:rPr>
      </w:pPr>
      <w:r>
        <w:rPr>
          <w:rFonts w:ascii="宋体" w:hAnsi="宋体"/>
          <w:szCs w:val="21"/>
        </w:rPr>
        <w:t xml:space="preserve">1. </w:t>
      </w:r>
      <w:r>
        <w:rPr>
          <w:rFonts w:hint="eastAsia" w:ascii="宋体" w:hAnsi="宋体"/>
          <w:szCs w:val="21"/>
        </w:rPr>
        <w:t>在履行合同过程中，如果乙方遇到妨碍按时交货和提供服务的情况时，应及时以书面形式将拖延的事实、可能拖延的时间和原因通知甲方。甲方在收到乙方通知后，应尽快对情况进行评价，并确定是否同意延长交货时间以及是否收取误期赔偿费。</w:t>
      </w:r>
    </w:p>
    <w:p w14:paraId="09B448D3">
      <w:pPr>
        <w:spacing w:line="400" w:lineRule="exact"/>
        <w:jc w:val="left"/>
        <w:rPr>
          <w:rFonts w:ascii="宋体" w:hAnsi="宋体"/>
          <w:szCs w:val="21"/>
        </w:rPr>
      </w:pPr>
      <w:r>
        <w:rPr>
          <w:rFonts w:ascii="宋体" w:hAnsi="宋体"/>
          <w:szCs w:val="21"/>
        </w:rPr>
        <w:t xml:space="preserve">     2. 如果乙方未能按合同规定的时间按期交货和提供服务（不可抗力除外），并同意支付误期赔偿费。误期赔偿费的支付将从合同付款中扣除。产品延误不超过7天(含7天)，每天赔偿费按迟交产品金额的1‰计收，7天以上，每天赔偿费按迟交产品金额的2‰计收，直至交货或提供服务为止。误期赔偿费的最高限额为合同价格的10％。一旦达到误期赔偿费的最高限额或一年内出现5次以上(含5次)延期交货，甲方可终止合同。</w:t>
      </w:r>
    </w:p>
    <w:p w14:paraId="34B1D2F4">
      <w:pPr>
        <w:spacing w:line="400" w:lineRule="exact"/>
        <w:rPr>
          <w:rFonts w:ascii="宋体" w:hAnsi="宋体"/>
          <w:szCs w:val="21"/>
        </w:rPr>
      </w:pPr>
      <w:r>
        <w:rPr>
          <w:rFonts w:ascii="宋体" w:hAnsi="宋体"/>
          <w:szCs w:val="21"/>
        </w:rPr>
        <w:t xml:space="preserve">     3. 如果发现产品的质量规格与合同不符或发现产品的质量、材料缺陷，甲方可以要求乙方无条件返工。情节特别严重的，甲方依据相关法律向乙方索赔。</w:t>
      </w:r>
    </w:p>
    <w:p w14:paraId="57BCEBED">
      <w:pPr>
        <w:spacing w:line="400" w:lineRule="exact"/>
        <w:ind w:firstLine="422" w:firstLineChars="200"/>
        <w:rPr>
          <w:rFonts w:ascii="Times New Roman" w:hAnsi="Times New Roman" w:cs="Times New Roman"/>
          <w:b/>
          <w:bCs/>
          <w:szCs w:val="21"/>
        </w:rPr>
      </w:pPr>
      <w:r>
        <w:rPr>
          <w:rFonts w:hint="eastAsia" w:ascii="Times New Roman" w:hAnsi="Times New Roman" w:cs="Times New Roman"/>
          <w:b/>
          <w:bCs/>
          <w:szCs w:val="21"/>
        </w:rPr>
        <w:t>十二、</w:t>
      </w:r>
      <w:r>
        <w:rPr>
          <w:rFonts w:ascii="Times New Roman" w:hAnsi="Times New Roman" w:cs="Times New Roman"/>
          <w:b/>
          <w:bCs/>
          <w:szCs w:val="21"/>
        </w:rPr>
        <w:t>争议解决方式</w:t>
      </w:r>
    </w:p>
    <w:p w14:paraId="5879EF7C">
      <w:pPr>
        <w:spacing w:line="400" w:lineRule="exact"/>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049CF212">
      <w:pPr>
        <w:spacing w:line="400" w:lineRule="exact"/>
        <w:ind w:firstLine="422" w:firstLineChars="200"/>
        <w:rPr>
          <w:rFonts w:ascii="Times New Roman" w:hAnsi="Times New Roman" w:cs="Times New Roman"/>
          <w:b/>
          <w:bCs/>
          <w:szCs w:val="21"/>
        </w:rPr>
      </w:pPr>
      <w:r>
        <w:rPr>
          <w:rFonts w:hint="eastAsia" w:ascii="Times New Roman" w:hAnsi="Times New Roman" w:cs="Times New Roman"/>
          <w:b/>
          <w:bCs/>
          <w:szCs w:val="21"/>
        </w:rPr>
        <w:t>十三、</w:t>
      </w:r>
      <w:r>
        <w:rPr>
          <w:rFonts w:ascii="Times New Roman" w:hAnsi="Times New Roman" w:cs="Times New Roman"/>
          <w:b/>
          <w:bCs/>
          <w:szCs w:val="21"/>
        </w:rPr>
        <w:t>其他条款</w:t>
      </w:r>
    </w:p>
    <w:p w14:paraId="26490EFA">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1. </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盖章之日起生效。一式</w:t>
      </w:r>
      <w:r>
        <w:rPr>
          <w:rFonts w:hint="eastAsia" w:ascii="Times New Roman" w:hAnsi="Times New Roman" w:cs="Times New Roman"/>
          <w:szCs w:val="21"/>
        </w:rPr>
        <w:t>六</w:t>
      </w:r>
      <w:r>
        <w:rPr>
          <w:rFonts w:ascii="Times New Roman" w:hAnsi="Times New Roman" w:cs="Times New Roman"/>
          <w:szCs w:val="21"/>
        </w:rPr>
        <w:t>份，具有同等法律效力，其中甲方</w:t>
      </w:r>
      <w:r>
        <w:rPr>
          <w:rFonts w:hint="eastAsia" w:ascii="Times New Roman" w:hAnsi="Times New Roman" w:cs="Times New Roman"/>
          <w:szCs w:val="21"/>
        </w:rPr>
        <w:t>三</w:t>
      </w:r>
      <w:r>
        <w:rPr>
          <w:rFonts w:ascii="Times New Roman" w:hAnsi="Times New Roman" w:cs="Times New Roman"/>
          <w:szCs w:val="21"/>
        </w:rPr>
        <w:t>份，乙方</w:t>
      </w:r>
      <w:r>
        <w:rPr>
          <w:rFonts w:hint="eastAsia" w:ascii="Times New Roman" w:hAnsi="Times New Roman" w:cs="Times New Roman"/>
          <w:szCs w:val="21"/>
        </w:rPr>
        <w:t>三</w:t>
      </w:r>
      <w:r>
        <w:rPr>
          <w:rFonts w:ascii="Times New Roman" w:hAnsi="Times New Roman" w:cs="Times New Roman"/>
          <w:szCs w:val="21"/>
        </w:rPr>
        <w:t>份。</w:t>
      </w:r>
    </w:p>
    <w:p w14:paraId="64CC260C">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2. </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667B80B">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3. </w:t>
      </w:r>
      <w:r>
        <w:rPr>
          <w:rFonts w:ascii="Times New Roman" w:hAnsi="Times New Roman" w:cs="Times New Roman"/>
          <w:szCs w:val="21"/>
        </w:rPr>
        <w:t>本合同未尽事宜，双方可协商签订补充协议，补充协议与本合同具有同等法律效力。</w:t>
      </w:r>
    </w:p>
    <w:p w14:paraId="71F29576">
      <w:pPr>
        <w:spacing w:line="400" w:lineRule="exact"/>
        <w:ind w:firstLine="420" w:firstLineChars="200"/>
        <w:rPr>
          <w:rFonts w:ascii="Times New Roman" w:hAnsi="Times New Roman" w:cs="Times New Roman"/>
          <w:szCs w:val="21"/>
        </w:rPr>
      </w:pPr>
    </w:p>
    <w:p w14:paraId="0C05FA2D">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10E074D9">
      <w:pPr>
        <w:spacing w:line="400" w:lineRule="exact"/>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31E25D69">
      <w:pPr>
        <w:spacing w:line="400" w:lineRule="exact"/>
        <w:ind w:firstLine="1365" w:firstLineChars="650"/>
        <w:rPr>
          <w:rFonts w:ascii="Times New Roman" w:hAnsi="Times New Roman" w:cs="Times New Roman"/>
          <w:szCs w:val="21"/>
        </w:rPr>
      </w:pPr>
      <w:r>
        <w:rPr>
          <w:rFonts w:ascii="Times New Roman" w:hAnsi="Times New Roman" w:cs="Times New Roman"/>
          <w:szCs w:val="21"/>
        </w:rPr>
        <w:t>年月日</w:t>
      </w:r>
    </w:p>
    <w:p w14:paraId="6BAC9590">
      <w:pPr>
        <w:spacing w:line="400" w:lineRule="exact"/>
        <w:ind w:firstLine="420" w:firstLineChars="200"/>
        <w:rPr>
          <w:rFonts w:ascii="Times New Roman" w:hAnsi="Times New Roman" w:cs="Times New Roman"/>
          <w:szCs w:val="21"/>
        </w:rPr>
      </w:pPr>
    </w:p>
    <w:p w14:paraId="5263AD98">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2D1F670E">
      <w:pPr>
        <w:spacing w:line="400" w:lineRule="exact"/>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27FC8B2C">
      <w:pPr>
        <w:spacing w:line="400" w:lineRule="exact"/>
        <w:ind w:firstLine="1365" w:firstLineChars="650"/>
        <w:rPr>
          <w:rFonts w:ascii="方正小标宋简体" w:eastAsia="方正小标宋简体"/>
          <w:sz w:val="44"/>
          <w:szCs w:val="44"/>
        </w:rPr>
      </w:pPr>
      <w:r>
        <w:rPr>
          <w:rFonts w:ascii="Times New Roman" w:hAnsi="Times New Roman" w:cs="Times New Roman"/>
          <w:szCs w:val="21"/>
        </w:rPr>
        <w:t>年月日</w:t>
      </w:r>
      <w:bookmarkStart w:id="3" w:name="_GoBack"/>
      <w:bookmarkEnd w:id="3"/>
      <w:bookmarkStart w:id="2" w:name="_Toc21707_WPSOffice_Level1"/>
      <w:bookmarkEnd w:id="2"/>
    </w:p>
    <w:sectPr>
      <w:footerReference r:id="rId3"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29BF">
    <w:pPr>
      <w:pStyle w:val="7"/>
      <w:jc w:val="center"/>
    </w:pPr>
    <w:r>
      <w:fldChar w:fldCharType="begin"/>
    </w:r>
    <w:r>
      <w:instrText xml:space="preserve"> PAGE   \* MERGEFORMAT </w:instrText>
    </w:r>
    <w:r>
      <w:fldChar w:fldCharType="separate"/>
    </w:r>
    <w:r>
      <w:rPr>
        <w:lang w:val="zh-CN"/>
      </w:rPr>
      <w:t>-</w:t>
    </w:r>
    <w:r>
      <w:t xml:space="preserve"> 37 -</w:t>
    </w:r>
    <w:r>
      <w:fldChar w:fldCharType="end"/>
    </w:r>
  </w:p>
  <w:p w14:paraId="6396FB6D">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46"/>
    <w:rsid w:val="0001459C"/>
    <w:rsid w:val="000213FD"/>
    <w:rsid w:val="00033874"/>
    <w:rsid w:val="0004184E"/>
    <w:rsid w:val="00044FEA"/>
    <w:rsid w:val="000473D8"/>
    <w:rsid w:val="0004761E"/>
    <w:rsid w:val="000510E7"/>
    <w:rsid w:val="00052544"/>
    <w:rsid w:val="00080058"/>
    <w:rsid w:val="000951D7"/>
    <w:rsid w:val="000A2591"/>
    <w:rsid w:val="000B0003"/>
    <w:rsid w:val="000D0CBF"/>
    <w:rsid w:val="000D1A1E"/>
    <w:rsid w:val="000E3D17"/>
    <w:rsid w:val="000E554B"/>
    <w:rsid w:val="00123C56"/>
    <w:rsid w:val="00143CE0"/>
    <w:rsid w:val="001465D6"/>
    <w:rsid w:val="00197219"/>
    <w:rsid w:val="001A2BA1"/>
    <w:rsid w:val="001D490C"/>
    <w:rsid w:val="002003DC"/>
    <w:rsid w:val="00203C69"/>
    <w:rsid w:val="0023398A"/>
    <w:rsid w:val="00237B93"/>
    <w:rsid w:val="00251106"/>
    <w:rsid w:val="002609A5"/>
    <w:rsid w:val="00287B3D"/>
    <w:rsid w:val="00287C35"/>
    <w:rsid w:val="002A244C"/>
    <w:rsid w:val="002B17CA"/>
    <w:rsid w:val="002C2207"/>
    <w:rsid w:val="002C4C0B"/>
    <w:rsid w:val="002D5270"/>
    <w:rsid w:val="002D65EF"/>
    <w:rsid w:val="00303E7F"/>
    <w:rsid w:val="003164FA"/>
    <w:rsid w:val="00317950"/>
    <w:rsid w:val="00344583"/>
    <w:rsid w:val="00345900"/>
    <w:rsid w:val="003751E0"/>
    <w:rsid w:val="00390E74"/>
    <w:rsid w:val="003A4009"/>
    <w:rsid w:val="003B3527"/>
    <w:rsid w:val="003C2C73"/>
    <w:rsid w:val="003D6B17"/>
    <w:rsid w:val="003F0900"/>
    <w:rsid w:val="003F3C62"/>
    <w:rsid w:val="003F586C"/>
    <w:rsid w:val="00400A68"/>
    <w:rsid w:val="004031B9"/>
    <w:rsid w:val="004236B1"/>
    <w:rsid w:val="00425CA6"/>
    <w:rsid w:val="00445FB7"/>
    <w:rsid w:val="00456D9C"/>
    <w:rsid w:val="004867F1"/>
    <w:rsid w:val="00492ACF"/>
    <w:rsid w:val="004930D2"/>
    <w:rsid w:val="004A0432"/>
    <w:rsid w:val="004D287C"/>
    <w:rsid w:val="004E28BB"/>
    <w:rsid w:val="004E6141"/>
    <w:rsid w:val="00505B69"/>
    <w:rsid w:val="005210F6"/>
    <w:rsid w:val="0053698E"/>
    <w:rsid w:val="0054222D"/>
    <w:rsid w:val="00564798"/>
    <w:rsid w:val="005814AC"/>
    <w:rsid w:val="005955CC"/>
    <w:rsid w:val="005A01C4"/>
    <w:rsid w:val="005A6692"/>
    <w:rsid w:val="005C0C42"/>
    <w:rsid w:val="005C4638"/>
    <w:rsid w:val="005D476C"/>
    <w:rsid w:val="005F1D92"/>
    <w:rsid w:val="006C67DC"/>
    <w:rsid w:val="006D0C76"/>
    <w:rsid w:val="006E112C"/>
    <w:rsid w:val="006E47A7"/>
    <w:rsid w:val="006F5799"/>
    <w:rsid w:val="00731469"/>
    <w:rsid w:val="00735414"/>
    <w:rsid w:val="0074669B"/>
    <w:rsid w:val="007800E6"/>
    <w:rsid w:val="007830D3"/>
    <w:rsid w:val="00785EF6"/>
    <w:rsid w:val="007A7A59"/>
    <w:rsid w:val="007B44FD"/>
    <w:rsid w:val="007D09B7"/>
    <w:rsid w:val="007E641A"/>
    <w:rsid w:val="00824DA8"/>
    <w:rsid w:val="0083408A"/>
    <w:rsid w:val="00844B1B"/>
    <w:rsid w:val="008578AB"/>
    <w:rsid w:val="00876089"/>
    <w:rsid w:val="00877A2C"/>
    <w:rsid w:val="00882705"/>
    <w:rsid w:val="00884EC3"/>
    <w:rsid w:val="008920EE"/>
    <w:rsid w:val="00893610"/>
    <w:rsid w:val="00896826"/>
    <w:rsid w:val="008A1E1D"/>
    <w:rsid w:val="008B7E68"/>
    <w:rsid w:val="008D09DB"/>
    <w:rsid w:val="00911AB6"/>
    <w:rsid w:val="00936765"/>
    <w:rsid w:val="00974E8D"/>
    <w:rsid w:val="00975341"/>
    <w:rsid w:val="009B65CB"/>
    <w:rsid w:val="009C3554"/>
    <w:rsid w:val="009C7DAF"/>
    <w:rsid w:val="009E0275"/>
    <w:rsid w:val="009E129E"/>
    <w:rsid w:val="009E6501"/>
    <w:rsid w:val="009F2ABF"/>
    <w:rsid w:val="00A05FE4"/>
    <w:rsid w:val="00A35350"/>
    <w:rsid w:val="00A37EED"/>
    <w:rsid w:val="00A615D7"/>
    <w:rsid w:val="00A816A8"/>
    <w:rsid w:val="00AC375A"/>
    <w:rsid w:val="00AF455B"/>
    <w:rsid w:val="00B21026"/>
    <w:rsid w:val="00B45ADE"/>
    <w:rsid w:val="00B61B32"/>
    <w:rsid w:val="00B63EBB"/>
    <w:rsid w:val="00B73906"/>
    <w:rsid w:val="00B83574"/>
    <w:rsid w:val="00B83F0F"/>
    <w:rsid w:val="00B94E12"/>
    <w:rsid w:val="00BF2183"/>
    <w:rsid w:val="00BF4168"/>
    <w:rsid w:val="00BF448B"/>
    <w:rsid w:val="00C273E8"/>
    <w:rsid w:val="00C323ED"/>
    <w:rsid w:val="00C351F8"/>
    <w:rsid w:val="00C604BA"/>
    <w:rsid w:val="00C747DC"/>
    <w:rsid w:val="00C80A1D"/>
    <w:rsid w:val="00C934DC"/>
    <w:rsid w:val="00CA0745"/>
    <w:rsid w:val="00CC6963"/>
    <w:rsid w:val="00CD001C"/>
    <w:rsid w:val="00CD4DEC"/>
    <w:rsid w:val="00CE24DA"/>
    <w:rsid w:val="00D2647E"/>
    <w:rsid w:val="00D510E8"/>
    <w:rsid w:val="00D71DEC"/>
    <w:rsid w:val="00D76CC2"/>
    <w:rsid w:val="00D93F03"/>
    <w:rsid w:val="00DA7242"/>
    <w:rsid w:val="00DB19D5"/>
    <w:rsid w:val="00DB32B5"/>
    <w:rsid w:val="00DD37AB"/>
    <w:rsid w:val="00DE6D01"/>
    <w:rsid w:val="00DF7343"/>
    <w:rsid w:val="00DF7974"/>
    <w:rsid w:val="00E001A6"/>
    <w:rsid w:val="00E126D1"/>
    <w:rsid w:val="00E4319E"/>
    <w:rsid w:val="00E72631"/>
    <w:rsid w:val="00E80746"/>
    <w:rsid w:val="00E9374A"/>
    <w:rsid w:val="00EB25D1"/>
    <w:rsid w:val="00EC41BE"/>
    <w:rsid w:val="00ED765E"/>
    <w:rsid w:val="00EE070B"/>
    <w:rsid w:val="00EF6E25"/>
    <w:rsid w:val="00F0777B"/>
    <w:rsid w:val="00F10FF6"/>
    <w:rsid w:val="00F4371C"/>
    <w:rsid w:val="00F47517"/>
    <w:rsid w:val="00F47D51"/>
    <w:rsid w:val="00F47E47"/>
    <w:rsid w:val="00F5420D"/>
    <w:rsid w:val="00F70672"/>
    <w:rsid w:val="00F94584"/>
    <w:rsid w:val="00FB2A14"/>
    <w:rsid w:val="03484DB8"/>
    <w:rsid w:val="0B954CEE"/>
    <w:rsid w:val="0DDA3B0C"/>
    <w:rsid w:val="12896361"/>
    <w:rsid w:val="18505296"/>
    <w:rsid w:val="19080076"/>
    <w:rsid w:val="22C45835"/>
    <w:rsid w:val="2BA77EAF"/>
    <w:rsid w:val="2DDD2942"/>
    <w:rsid w:val="2DEE5A28"/>
    <w:rsid w:val="2E831C83"/>
    <w:rsid w:val="309C166B"/>
    <w:rsid w:val="31350E65"/>
    <w:rsid w:val="3B924404"/>
    <w:rsid w:val="3F994E16"/>
    <w:rsid w:val="409E174C"/>
    <w:rsid w:val="44EF3E66"/>
    <w:rsid w:val="46311BFF"/>
    <w:rsid w:val="577C3BD1"/>
    <w:rsid w:val="6A8A45CC"/>
    <w:rsid w:val="6C0A3B4F"/>
    <w:rsid w:val="76DC5D7A"/>
    <w:rsid w:val="7F8D5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99"/>
    <w:pPr>
      <w:spacing w:after="120"/>
    </w:pPr>
    <w:rPr>
      <w:szCs w:val="24"/>
    </w:rPr>
  </w:style>
  <w:style w:type="paragraph" w:styleId="4">
    <w:name w:val="Body Text Indent"/>
    <w:basedOn w:val="1"/>
    <w:next w:val="5"/>
    <w:link w:val="21"/>
    <w:qFormat/>
    <w:uiPriority w:val="0"/>
    <w:pPr>
      <w:spacing w:after="120"/>
      <w:ind w:left="420" w:leftChars="200"/>
    </w:pPr>
    <w:rPr>
      <w:szCs w:val="24"/>
    </w:rPr>
  </w:style>
  <w:style w:type="paragraph" w:styleId="5">
    <w:name w:val="envelope return"/>
    <w:basedOn w:val="1"/>
    <w:semiHidden/>
    <w:unhideWhenUsed/>
    <w:qFormat/>
    <w:uiPriority w:val="99"/>
    <w:pPr>
      <w:snapToGrid w:val="0"/>
    </w:pPr>
    <w:rPr>
      <w:rFonts w:asciiTheme="majorHAnsi" w:hAnsiTheme="majorHAnsi" w:eastAsiaTheme="majorEastAsia" w:cstheme="majorBidi"/>
    </w:rPr>
  </w:style>
  <w:style w:type="paragraph" w:styleId="6">
    <w:name w:val="Balloon Text"/>
    <w:basedOn w:val="1"/>
    <w:link w:val="25"/>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4"/>
    <w:link w:val="22"/>
    <w:qFormat/>
    <w:uiPriority w:val="0"/>
    <w:pPr>
      <w:ind w:firstLine="420" w:firstLineChars="200"/>
    </w:p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themeColor="hyperlink"/>
      <w:u w:val="single"/>
      <w14:textFill>
        <w14:solidFill>
          <w14:schemeClr w14:val="hlink"/>
        </w14:solidFill>
      </w14:textFill>
    </w:rPr>
  </w:style>
  <w:style w:type="character" w:customStyle="1" w:styleId="16">
    <w:name w:val="正文文本 Char"/>
    <w:basedOn w:val="13"/>
    <w:link w:val="3"/>
    <w:qFormat/>
    <w:uiPriority w:val="99"/>
    <w:rPr>
      <w:szCs w:val="24"/>
    </w:rPr>
  </w:style>
  <w:style w:type="paragraph" w:customStyle="1" w:styleId="17">
    <w:name w:val="WPSOffice手动目录 1"/>
    <w:qFormat/>
    <w:uiPriority w:val="0"/>
    <w:rPr>
      <w:rFonts w:asciiTheme="minorHAnsi" w:hAnsiTheme="minorHAnsi" w:eastAsiaTheme="minorEastAsia" w:cstheme="minorBidi"/>
      <w:kern w:val="0"/>
      <w:sz w:val="20"/>
      <w:szCs w:val="20"/>
      <w:lang w:val="en-US" w:eastAsia="zh-CN" w:bidi="ar-SA"/>
    </w:rPr>
  </w:style>
  <w:style w:type="character" w:customStyle="1" w:styleId="18">
    <w:name w:val="页眉 Char"/>
    <w:basedOn w:val="13"/>
    <w:link w:val="8"/>
    <w:semiHidden/>
    <w:qFormat/>
    <w:uiPriority w:val="99"/>
    <w:rPr>
      <w:sz w:val="18"/>
      <w:szCs w:val="18"/>
    </w:rPr>
  </w:style>
  <w:style w:type="character" w:customStyle="1" w:styleId="19">
    <w:name w:val="页脚 Char"/>
    <w:basedOn w:val="13"/>
    <w:link w:val="7"/>
    <w:qFormat/>
    <w:uiPriority w:val="99"/>
    <w:rPr>
      <w:sz w:val="18"/>
      <w:szCs w:val="18"/>
    </w:rPr>
  </w:style>
  <w:style w:type="character" w:customStyle="1" w:styleId="20">
    <w:name w:val="标题 1 Char"/>
    <w:basedOn w:val="13"/>
    <w:link w:val="2"/>
    <w:qFormat/>
    <w:uiPriority w:val="0"/>
    <w:rPr>
      <w:rFonts w:eastAsia="微软雅黑"/>
      <w:b/>
      <w:bCs/>
      <w:kern w:val="44"/>
      <w:sz w:val="36"/>
      <w:szCs w:val="44"/>
    </w:rPr>
  </w:style>
  <w:style w:type="character" w:customStyle="1" w:styleId="21">
    <w:name w:val="正文文本缩进 Char"/>
    <w:basedOn w:val="13"/>
    <w:link w:val="4"/>
    <w:qFormat/>
    <w:uiPriority w:val="0"/>
    <w:rPr>
      <w:szCs w:val="24"/>
    </w:rPr>
  </w:style>
  <w:style w:type="character" w:customStyle="1" w:styleId="22">
    <w:name w:val="正文首行缩进 2 Char"/>
    <w:basedOn w:val="21"/>
    <w:link w:val="10"/>
    <w:qFormat/>
    <w:uiPriority w:val="0"/>
  </w:style>
  <w:style w:type="paragraph" w:customStyle="1" w:styleId="23">
    <w:name w:val="Default"/>
    <w:qFormat/>
    <w:uiPriority w:val="0"/>
    <w:pPr>
      <w:widowControl w:val="0"/>
      <w:autoSpaceDE w:val="0"/>
      <w:autoSpaceDN w:val="0"/>
    </w:pPr>
    <w:rPr>
      <w:rFonts w:hint="eastAsia" w:ascii="Fang Song" w:hAnsi="Fang Song" w:eastAsia="Fang Song" w:cs="Times New Roman"/>
      <w:color w:val="000000"/>
      <w:kern w:val="0"/>
      <w:sz w:val="24"/>
      <w:szCs w:val="20"/>
      <w:lang w:val="en-US" w:eastAsia="zh-CN" w:bidi="ar-SA"/>
    </w:rPr>
  </w:style>
  <w:style w:type="paragraph" w:styleId="24">
    <w:name w:val="List Paragraph"/>
    <w:basedOn w:val="1"/>
    <w:qFormat/>
    <w:uiPriority w:val="34"/>
    <w:pPr>
      <w:ind w:firstLine="420" w:firstLineChars="200"/>
    </w:pPr>
  </w:style>
  <w:style w:type="character" w:customStyle="1" w:styleId="25">
    <w:name w:val="批注框文本 Char"/>
    <w:basedOn w:val="13"/>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6479</Words>
  <Characters>6795</Characters>
  <Lines>81</Lines>
  <Paragraphs>22</Paragraphs>
  <TotalTime>0</TotalTime>
  <ScaleCrop>false</ScaleCrop>
  <LinksUpToDate>false</LinksUpToDate>
  <CharactersWithSpaces>6877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2023-10-16T08:03:00Z</dcterms:created>
  <dc:creator>汪梅子</dc:creator>
  <cp:lastModifiedBy>陈欣语</cp:lastModifiedBy>
  <cp:lastPrinted>2025-06-11T03:34:00Z</cp:lastPrinted>
  <dcterms:modified xsi:type="dcterms:W3CDTF">2025-06-11T09:42:02Z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8126EFCF44AA43DE8180401C82F7AE85_13</vt:lpwstr>
  </property>
  <property fmtid="{D5CDD505-2E9C-101B-9397-08002B2CF9AE}" pid="4" name="KSOTemplateDocerSaveRecord">
    <vt:lpwstr>eyJoZGlkIjoiMjAyMjBjYzM3M2QzZjEzMjNmNjJiMjhjZjhlMTM5MWIiLCJ1c2VySWQiOiIxNjkxNjUwNzI0In0=</vt:lpwstr>
  </property>
</Properties>
</file>