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E1392">
      <w:pPr>
        <w:spacing w:line="540" w:lineRule="exact"/>
        <w:jc w:val="center"/>
        <w:rPr>
          <w:rFonts w:hint="eastAsia" w:asciiTheme="minorEastAsia" w:hAnsiTheme="minorEastAsia" w:cstheme="minorEastAsia"/>
          <w:b/>
          <w:bCs/>
          <w:color w:val="00000A"/>
          <w:spacing w:val="-11"/>
          <w:w w:val="100"/>
          <w:kern w:val="0"/>
          <w:sz w:val="48"/>
          <w:szCs w:val="48"/>
          <w:highlight w:val="none"/>
          <w:lang w:val="en-US" w:eastAsia="zh-CN" w:bidi="hi-IN"/>
        </w:rPr>
      </w:pPr>
      <w:r>
        <w:rPr>
          <w:rFonts w:hint="eastAsia" w:asciiTheme="minorEastAsia" w:hAnsiTheme="minorEastAsia" w:cstheme="minorEastAsia"/>
          <w:b/>
          <w:bCs/>
          <w:color w:val="00000A"/>
          <w:spacing w:val="-11"/>
          <w:w w:val="100"/>
          <w:kern w:val="0"/>
          <w:sz w:val="48"/>
          <w:szCs w:val="48"/>
          <w:highlight w:val="none"/>
          <w:lang w:val="en-US" w:eastAsia="zh-CN" w:bidi="hi-IN"/>
        </w:rPr>
        <w:t>亳州至蒙城高速公路涡阳至蒙城段房建</w:t>
      </w:r>
    </w:p>
    <w:p w14:paraId="1B12C91D">
      <w:pPr>
        <w:spacing w:line="540" w:lineRule="exact"/>
        <w:jc w:val="center"/>
        <w:rPr>
          <w:rFonts w:hint="eastAsia" w:asciiTheme="minorEastAsia" w:hAnsiTheme="minorEastAsia" w:eastAsiaTheme="minorEastAsia" w:cstheme="minorEastAsia"/>
          <w:b/>
          <w:bCs/>
          <w:sz w:val="48"/>
          <w:szCs w:val="48"/>
          <w:highlight w:val="none"/>
          <w:lang w:val="en-US"/>
        </w:rPr>
      </w:pPr>
      <w:r>
        <w:rPr>
          <w:rFonts w:hint="eastAsia" w:asciiTheme="minorEastAsia" w:hAnsiTheme="minorEastAsia" w:cstheme="minorEastAsia"/>
          <w:b/>
          <w:bCs/>
          <w:color w:val="00000A"/>
          <w:spacing w:val="-11"/>
          <w:w w:val="100"/>
          <w:kern w:val="0"/>
          <w:sz w:val="48"/>
          <w:szCs w:val="48"/>
          <w:highlight w:val="none"/>
          <w:lang w:val="en-US" w:eastAsia="zh-CN" w:bidi="hi-IN"/>
        </w:rPr>
        <w:t>工程铝单板采购项目（二次采购）</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highlight w:val="none"/>
        </w:rPr>
      </w:pPr>
    </w:p>
    <w:p w14:paraId="0D3160AD">
      <w:pPr>
        <w:pStyle w:val="10"/>
        <w:rPr>
          <w:rFonts w:ascii="Times New Roman" w:hAnsi="Times New Roman" w:cs="Times New Roman"/>
          <w:color w:val="auto"/>
          <w:szCs w:val="21"/>
          <w:highlight w:val="none"/>
        </w:rPr>
      </w:pPr>
    </w:p>
    <w:p w14:paraId="6B3871F8">
      <w:pPr>
        <w:rPr>
          <w:color w:val="auto"/>
          <w:highlight w:val="none"/>
        </w:rPr>
      </w:pPr>
    </w:p>
    <w:p w14:paraId="28B17120">
      <w:pPr>
        <w:pStyle w:val="10"/>
        <w:rPr>
          <w:rFonts w:ascii="Times New Roman" w:hAnsi="Times New Roman" w:cs="Times New Roman"/>
          <w:color w:val="auto"/>
          <w:szCs w:val="21"/>
          <w:highlight w:val="none"/>
        </w:rPr>
      </w:pPr>
    </w:p>
    <w:p w14:paraId="3E23AC69">
      <w:pPr>
        <w:pStyle w:val="10"/>
        <w:rPr>
          <w:rFonts w:ascii="Times New Roman" w:hAnsi="Times New Roman" w:cs="Times New Roman"/>
          <w:color w:val="auto"/>
          <w:szCs w:val="21"/>
          <w:highlight w:val="none"/>
        </w:rPr>
      </w:pPr>
    </w:p>
    <w:p w14:paraId="33EC8FBC">
      <w:pPr>
        <w:pStyle w:val="15"/>
        <w:rPr>
          <w:rFonts w:ascii="Times New Roman" w:hAnsi="Times New Roman" w:cs="Times New Roman"/>
          <w:color w:val="auto"/>
          <w:szCs w:val="21"/>
          <w:highlight w:val="none"/>
        </w:rPr>
      </w:pPr>
    </w:p>
    <w:p w14:paraId="66600C50">
      <w:pPr>
        <w:jc w:val="center"/>
        <w:rPr>
          <w:rFonts w:hint="eastAsia" w:ascii="Times New Roman" w:hAnsi="Times New Roman" w:eastAsia="黑体" w:cs="Times New Roman"/>
          <w:color w:val="auto"/>
          <w:sz w:val="72"/>
          <w:szCs w:val="72"/>
          <w:highlight w:val="none"/>
          <w:lang w:eastAsia="zh-CN"/>
        </w:rPr>
      </w:pPr>
      <w:r>
        <w:rPr>
          <w:rFonts w:ascii="Times New Roman" w:hAnsi="Times New Roman" w:eastAsia="黑体" w:cs="Times New Roman"/>
          <w:color w:val="auto"/>
          <w:sz w:val="72"/>
          <w:szCs w:val="72"/>
          <w:highlight w:val="none"/>
        </w:rPr>
        <w:t>询  比  文  件</w:t>
      </w:r>
    </w:p>
    <w:p w14:paraId="29855586">
      <w:pPr>
        <w:spacing w:line="540" w:lineRule="exact"/>
        <w:ind w:firstLine="420"/>
        <w:rPr>
          <w:rFonts w:ascii="Times New Roman" w:hAnsi="Times New Roman" w:cs="Times New Roman"/>
          <w:color w:val="auto"/>
          <w:szCs w:val="21"/>
          <w:highlight w:val="none"/>
        </w:rPr>
      </w:pPr>
    </w:p>
    <w:p w14:paraId="49468AB4">
      <w:pPr>
        <w:spacing w:line="540" w:lineRule="exact"/>
        <w:ind w:firstLine="420"/>
        <w:rPr>
          <w:rFonts w:ascii="Times New Roman" w:hAnsi="Times New Roman" w:cs="Times New Roman"/>
          <w:color w:val="auto"/>
          <w:szCs w:val="21"/>
          <w:highlight w:val="none"/>
        </w:rPr>
      </w:pPr>
    </w:p>
    <w:p w14:paraId="349D569A">
      <w:pPr>
        <w:spacing w:line="540" w:lineRule="exact"/>
        <w:ind w:firstLine="420"/>
        <w:rPr>
          <w:rFonts w:ascii="Times New Roman" w:hAnsi="Times New Roman" w:cs="Times New Roman"/>
          <w:color w:val="auto"/>
          <w:szCs w:val="21"/>
          <w:highlight w:val="none"/>
        </w:rPr>
      </w:pPr>
    </w:p>
    <w:p w14:paraId="3A05B35C">
      <w:pPr>
        <w:spacing w:line="540" w:lineRule="exact"/>
        <w:ind w:firstLine="420"/>
        <w:rPr>
          <w:rFonts w:ascii="Times New Roman" w:hAnsi="Times New Roman" w:cs="Times New Roman"/>
          <w:color w:val="auto"/>
          <w:szCs w:val="21"/>
          <w:highlight w:val="none"/>
        </w:rPr>
      </w:pPr>
    </w:p>
    <w:p w14:paraId="46AEBA11">
      <w:pPr>
        <w:spacing w:line="540" w:lineRule="exact"/>
        <w:ind w:firstLine="420"/>
        <w:rPr>
          <w:rFonts w:ascii="Times New Roman" w:hAnsi="Times New Roman" w:cs="Times New Roman"/>
          <w:color w:val="auto"/>
          <w:szCs w:val="21"/>
          <w:highlight w:val="none"/>
        </w:rPr>
      </w:pPr>
    </w:p>
    <w:p w14:paraId="35849173">
      <w:pPr>
        <w:spacing w:line="540" w:lineRule="exact"/>
        <w:ind w:firstLine="420"/>
        <w:rPr>
          <w:rFonts w:ascii="Times New Roman" w:hAnsi="Times New Roman" w:cs="Times New Roman"/>
          <w:color w:val="auto"/>
          <w:szCs w:val="21"/>
          <w:highlight w:val="none"/>
        </w:rPr>
      </w:pPr>
    </w:p>
    <w:p w14:paraId="424D0981">
      <w:pPr>
        <w:spacing w:line="540" w:lineRule="exact"/>
        <w:ind w:firstLine="420"/>
        <w:rPr>
          <w:rFonts w:ascii="Times New Roman" w:hAnsi="Times New Roman" w:cs="Times New Roman"/>
          <w:color w:val="auto"/>
          <w:szCs w:val="21"/>
          <w:highlight w:val="none"/>
        </w:rPr>
      </w:pPr>
    </w:p>
    <w:p w14:paraId="07A1887D">
      <w:pPr>
        <w:spacing w:line="540" w:lineRule="exact"/>
        <w:ind w:firstLine="420"/>
        <w:rPr>
          <w:rFonts w:ascii="Times New Roman" w:hAnsi="Times New Roman" w:cs="Times New Roman"/>
          <w:color w:val="auto"/>
          <w:szCs w:val="21"/>
          <w:highlight w:val="none"/>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highlight w:val="none"/>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highlight w:val="none"/>
          <w:u w:val="single"/>
        </w:rPr>
      </w:pPr>
      <w:r>
        <w:rPr>
          <w:rFonts w:hint="eastAsia" w:ascii="黑体" w:hAnsi="黑体" w:eastAsia="黑体" w:cs="黑体"/>
          <w:color w:val="auto"/>
          <w:sz w:val="32"/>
          <w:szCs w:val="32"/>
          <w:highlight w:val="none"/>
        </w:rPr>
        <w:t>采</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购</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人：</w:t>
      </w:r>
      <w:r>
        <w:rPr>
          <w:rFonts w:hint="eastAsia" w:ascii="黑体" w:hAnsi="黑体" w:eastAsia="黑体" w:cs="黑体"/>
          <w:color w:val="auto"/>
          <w:sz w:val="32"/>
          <w:szCs w:val="32"/>
          <w:highlight w:val="none"/>
          <w:u w:val="single"/>
        </w:rPr>
        <w:t>安徽</w:t>
      </w:r>
      <w:r>
        <w:rPr>
          <w:rFonts w:hint="eastAsia" w:ascii="黑体" w:hAnsi="黑体" w:eastAsia="黑体" w:cs="黑体"/>
          <w:color w:val="auto"/>
          <w:sz w:val="32"/>
          <w:szCs w:val="32"/>
          <w:highlight w:val="none"/>
          <w:u w:val="single"/>
          <w:lang w:val="en-US" w:eastAsia="zh-CN"/>
        </w:rPr>
        <w:t>省经工物资</w:t>
      </w:r>
      <w:r>
        <w:rPr>
          <w:rFonts w:hint="eastAsia" w:ascii="黑体" w:hAnsi="黑体" w:eastAsia="黑体" w:cs="黑体"/>
          <w:color w:val="auto"/>
          <w:sz w:val="32"/>
          <w:szCs w:val="32"/>
          <w:highlight w:val="none"/>
          <w:u w:val="single"/>
        </w:rPr>
        <w:t>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日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6</w:t>
      </w:r>
      <w:r>
        <w:rPr>
          <w:rFonts w:hint="eastAsia" w:ascii="黑体" w:hAnsi="黑体" w:eastAsia="黑体" w:cs="黑体"/>
          <w:color w:val="auto"/>
          <w:sz w:val="32"/>
          <w:szCs w:val="32"/>
          <w:highlight w:val="none"/>
        </w:rPr>
        <w:t>月</w:t>
      </w:r>
    </w:p>
    <w:p w14:paraId="709741F4">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FF0000"/>
          <w:sz w:val="32"/>
          <w:szCs w:val="32"/>
          <w:highlight w:val="none"/>
        </w:rPr>
      </w:pPr>
    </w:p>
    <w:sdt>
      <w:sdtPr>
        <w:rPr>
          <w:rFonts w:ascii="宋体" w:hAnsi="宋体" w:eastAsia="宋体" w:cstheme="minorBidi"/>
          <w:color w:val="auto"/>
          <w:kern w:val="2"/>
          <w:sz w:val="32"/>
          <w:szCs w:val="40"/>
          <w:highlight w:val="none"/>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highlight w:val="none"/>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highlight w:val="none"/>
            </w:rPr>
          </w:pPr>
          <w:r>
            <w:rPr>
              <w:rFonts w:ascii="宋体" w:hAnsi="宋体" w:eastAsia="宋体"/>
              <w:b/>
              <w:bCs/>
              <w:color w:val="auto"/>
              <w:sz w:val="32"/>
              <w:szCs w:val="40"/>
              <w:highlight w:val="none"/>
            </w:rPr>
            <w:t>目</w:t>
          </w:r>
          <w:r>
            <w:rPr>
              <w:rFonts w:hint="eastAsia" w:ascii="宋体" w:hAnsi="宋体" w:eastAsia="宋体"/>
              <w:b/>
              <w:bCs/>
              <w:color w:val="auto"/>
              <w:sz w:val="32"/>
              <w:szCs w:val="40"/>
              <w:highlight w:val="none"/>
              <w:lang w:val="en-US" w:eastAsia="zh-CN"/>
            </w:rPr>
            <w:t xml:space="preserve"> </w:t>
          </w:r>
          <w:r>
            <w:rPr>
              <w:rFonts w:ascii="宋体" w:hAnsi="宋体" w:eastAsia="宋体"/>
              <w:b/>
              <w:bCs/>
              <w:color w:val="auto"/>
              <w:sz w:val="32"/>
              <w:szCs w:val="40"/>
              <w:highlight w:val="none"/>
            </w:rPr>
            <w:t>录</w:t>
          </w:r>
        </w:p>
        <w:p w14:paraId="6AAD02EC">
          <w:pPr>
            <w:pStyle w:val="17"/>
            <w:tabs>
              <w:tab w:val="right" w:leader="dot" w:pos="8312"/>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_Toc15705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highlight w:val="none"/>
            </w:rPr>
            <w:t>采购公告</w:t>
          </w:r>
          <w:r>
            <w:tab/>
          </w:r>
          <w:r>
            <w:fldChar w:fldCharType="begin"/>
          </w:r>
          <w:r>
            <w:instrText xml:space="preserve"> PAGEREF _Toc15705 \h </w:instrText>
          </w:r>
          <w:r>
            <w:fldChar w:fldCharType="separate"/>
          </w:r>
          <w:r>
            <w:t>3</w:t>
          </w:r>
          <w:r>
            <w:fldChar w:fldCharType="end"/>
          </w:r>
          <w:r>
            <w:rPr>
              <w:rFonts w:hint="eastAsia" w:ascii="宋体" w:hAnsi="宋体" w:eastAsia="宋体" w:cs="宋体"/>
              <w:color w:val="auto"/>
              <w:szCs w:val="24"/>
              <w:highlight w:val="none"/>
            </w:rPr>
            <w:fldChar w:fldCharType="end"/>
          </w:r>
        </w:p>
        <w:p w14:paraId="7DD3A4C4">
          <w:pPr>
            <w:pStyle w:val="17"/>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_Toc29064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highlight w:val="none"/>
            </w:rPr>
            <w:t>供应商须知</w:t>
          </w:r>
          <w:r>
            <w:tab/>
          </w:r>
          <w:r>
            <w:fldChar w:fldCharType="begin"/>
          </w:r>
          <w:r>
            <w:instrText xml:space="preserve"> PAGEREF _Toc29064 \h </w:instrText>
          </w:r>
          <w:r>
            <w:fldChar w:fldCharType="separate"/>
          </w:r>
          <w:r>
            <w:t>7</w:t>
          </w:r>
          <w:r>
            <w:fldChar w:fldCharType="end"/>
          </w:r>
          <w:r>
            <w:rPr>
              <w:rFonts w:hint="eastAsia" w:ascii="宋体" w:hAnsi="宋体" w:eastAsia="宋体" w:cs="宋体"/>
              <w:color w:val="auto"/>
              <w:szCs w:val="24"/>
              <w:highlight w:val="none"/>
            </w:rPr>
            <w:fldChar w:fldCharType="end"/>
          </w:r>
        </w:p>
        <w:p w14:paraId="20A4C83E">
          <w:pPr>
            <w:pStyle w:val="17"/>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_Toc6809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highlight w:val="none"/>
            </w:rPr>
            <w:t>评审办法</w:t>
          </w:r>
          <w:r>
            <w:tab/>
          </w:r>
          <w:r>
            <w:fldChar w:fldCharType="begin"/>
          </w:r>
          <w:r>
            <w:instrText xml:space="preserve"> PAGEREF _Toc6809 \h </w:instrText>
          </w:r>
          <w:r>
            <w:fldChar w:fldCharType="separate"/>
          </w:r>
          <w:r>
            <w:t>18</w:t>
          </w:r>
          <w:r>
            <w:fldChar w:fldCharType="end"/>
          </w:r>
          <w:r>
            <w:rPr>
              <w:rFonts w:hint="eastAsia" w:ascii="宋体" w:hAnsi="宋体" w:eastAsia="宋体" w:cs="宋体"/>
              <w:color w:val="auto"/>
              <w:szCs w:val="24"/>
              <w:highlight w:val="none"/>
            </w:rPr>
            <w:fldChar w:fldCharType="end"/>
          </w:r>
        </w:p>
        <w:p w14:paraId="470871BD">
          <w:pPr>
            <w:pStyle w:val="17"/>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_Toc1341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 xml:space="preserve">第四章 </w:t>
          </w:r>
          <w:r>
            <w:rPr>
              <w:rFonts w:ascii="Times New Roman" w:hAnsi="Times New Roman" w:eastAsia="宋体" w:cs="Times New Roman"/>
              <w:highlight w:val="none"/>
            </w:rPr>
            <w:t>合同内容</w:t>
          </w:r>
          <w:r>
            <w:tab/>
          </w:r>
          <w:r>
            <w:fldChar w:fldCharType="begin"/>
          </w:r>
          <w:r>
            <w:instrText xml:space="preserve"> PAGEREF _Toc1341 \h </w:instrText>
          </w:r>
          <w:r>
            <w:fldChar w:fldCharType="separate"/>
          </w:r>
          <w:r>
            <w:t>26</w:t>
          </w:r>
          <w:r>
            <w:fldChar w:fldCharType="end"/>
          </w:r>
          <w:r>
            <w:rPr>
              <w:rFonts w:hint="eastAsia" w:ascii="宋体" w:hAnsi="宋体" w:eastAsia="宋体" w:cs="宋体"/>
              <w:color w:val="auto"/>
              <w:szCs w:val="24"/>
              <w:highlight w:val="none"/>
            </w:rPr>
            <w:fldChar w:fldCharType="end"/>
          </w:r>
        </w:p>
        <w:p w14:paraId="50E150AF">
          <w:pPr>
            <w:pStyle w:val="17"/>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_Toc12221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第五章 采购需求及清单</w:t>
          </w:r>
          <w:r>
            <w:tab/>
          </w:r>
          <w:r>
            <w:fldChar w:fldCharType="begin"/>
          </w:r>
          <w:r>
            <w:instrText xml:space="preserve"> PAGEREF _Toc12221 \h </w:instrText>
          </w:r>
          <w:r>
            <w:fldChar w:fldCharType="separate"/>
          </w:r>
          <w:r>
            <w:t>40</w:t>
          </w:r>
          <w:r>
            <w:fldChar w:fldCharType="end"/>
          </w:r>
          <w:r>
            <w:rPr>
              <w:rFonts w:hint="eastAsia" w:ascii="宋体" w:hAnsi="宋体" w:eastAsia="宋体" w:cs="宋体"/>
              <w:color w:val="auto"/>
              <w:szCs w:val="24"/>
              <w:highlight w:val="none"/>
            </w:rPr>
            <w:fldChar w:fldCharType="end"/>
          </w:r>
        </w:p>
        <w:p w14:paraId="11C5C3EB">
          <w:pPr>
            <w:pStyle w:val="17"/>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_Toc23844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 xml:space="preserve">第六章 </w:t>
          </w:r>
          <w:r>
            <w:rPr>
              <w:rFonts w:hint="eastAsia" w:ascii="Times New Roman" w:hAnsi="Times New Roman" w:eastAsia="宋体" w:cs="Times New Roman"/>
              <w:highlight w:val="none"/>
            </w:rPr>
            <w:t>响应文件格式</w:t>
          </w:r>
          <w:r>
            <w:tab/>
          </w:r>
          <w:r>
            <w:fldChar w:fldCharType="begin"/>
          </w:r>
          <w:r>
            <w:instrText xml:space="preserve"> PAGEREF _Toc23844 \h </w:instrText>
          </w:r>
          <w:r>
            <w:fldChar w:fldCharType="separate"/>
          </w:r>
          <w:r>
            <w:t>41</w:t>
          </w:r>
          <w:r>
            <w:fldChar w:fldCharType="end"/>
          </w:r>
          <w:r>
            <w:rPr>
              <w:rFonts w:hint="eastAsia" w:ascii="宋体" w:hAnsi="宋体" w:eastAsia="宋体" w:cs="宋体"/>
              <w:color w:val="auto"/>
              <w:szCs w:val="24"/>
              <w:highlight w:val="none"/>
            </w:rPr>
            <w:fldChar w:fldCharType="end"/>
          </w: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highlight w:val="none"/>
            </w:rPr>
          </w:pPr>
          <w:r>
            <w:rPr>
              <w:rFonts w:hint="eastAsia" w:ascii="宋体" w:hAnsi="宋体" w:eastAsia="宋体" w:cs="宋体"/>
              <w:color w:val="auto"/>
              <w:szCs w:val="24"/>
              <w:highlight w:val="none"/>
            </w:rPr>
            <w:fldChar w:fldCharType="end"/>
          </w:r>
        </w:p>
      </w:sdtContent>
    </w:sdt>
    <w:p w14:paraId="3BF787A3">
      <w:pPr>
        <w:jc w:val="center"/>
        <w:rPr>
          <w:rFonts w:ascii="宋体" w:hAnsi="宋体" w:eastAsia="宋体"/>
          <w:color w:val="auto"/>
          <w:highlight w:val="none"/>
        </w:rPr>
      </w:pPr>
    </w:p>
    <w:p w14:paraId="46EE0C31">
      <w:pPr>
        <w:jc w:val="center"/>
        <w:rPr>
          <w:rFonts w:ascii="宋体" w:hAnsi="宋体" w:eastAsia="宋体"/>
          <w:color w:val="auto"/>
          <w:highlight w:val="none"/>
        </w:rPr>
      </w:pPr>
    </w:p>
    <w:p w14:paraId="30FB8451">
      <w:pPr>
        <w:pStyle w:val="2"/>
        <w:spacing w:before="312" w:after="312"/>
        <w:rPr>
          <w:rFonts w:ascii="Times New Roman" w:hAnsi="Times New Roman" w:eastAsia="宋体" w:cs="Times New Roman"/>
          <w:color w:val="auto"/>
          <w:highlight w:val="none"/>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highlight w:val="none"/>
        </w:rPr>
      </w:pPr>
      <w:bookmarkStart w:id="0" w:name="_Toc15705"/>
      <w:r>
        <w:rPr>
          <w:rFonts w:ascii="Times New Roman" w:hAnsi="Times New Roman" w:eastAsia="宋体" w:cs="Times New Roman"/>
          <w:color w:val="auto"/>
          <w:highlight w:val="none"/>
        </w:rPr>
        <w:t>采购公告</w:t>
      </w:r>
      <w:bookmarkEnd w:id="0"/>
      <w:bookmarkStart w:id="157" w:name="_GoBack"/>
      <w:bookmarkEnd w:id="157"/>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6496_WPSOffice_Level2"/>
      <w:bookmarkStart w:id="2" w:name="_Toc10395_WPSOffice_Level2"/>
      <w:bookmarkStart w:id="3" w:name="_Toc12765"/>
      <w:bookmarkStart w:id="4" w:name="_Toc24354_WPSOffice_Level2"/>
      <w:bookmarkStart w:id="5" w:name="_Toc13871"/>
      <w:bookmarkStart w:id="6" w:name="_Toc4489_WPSOffice_Level2"/>
      <w:bookmarkStart w:id="7" w:name="_Toc525632585"/>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000000" w:themeColor="text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1.1项目名称：</w:t>
      </w:r>
      <w:r>
        <w:rPr>
          <w:rFonts w:hint="eastAsia"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t>亳州至蒙城高速公路涡阳至蒙城段房建工程铝单板采购项目</w:t>
      </w: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1.2 采 购 人：</w:t>
      </w:r>
      <w:r>
        <w:rPr>
          <w:rFonts w:hint="default" w:ascii="Times New Roman" w:hAnsi="Times New Roman" w:eastAsia="宋体" w:cs="Times New Roman"/>
          <w:color w:val="000000" w:themeColor="text1"/>
          <w:sz w:val="21"/>
          <w:szCs w:val="21"/>
          <w:highlight w:val="none"/>
          <w:u w:val="single"/>
          <w14:textFill>
            <w14:solidFill>
              <w14:schemeClr w14:val="tx1"/>
            </w14:solidFill>
          </w14:textFill>
        </w:rPr>
        <w:t>本项目采购主体为安徽省经工物资有限公司。</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1.3 项目概况：</w:t>
      </w:r>
      <w:r>
        <w:rPr>
          <w:rFonts w:hint="eastAsia"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t>亳州至蒙城高速公路涡阳至蒙城段工程全长 92.609 公里，项目起于涡阳县标里镇北侧，经王集乡止于蒙城县双涧镇西南侧，接G36 宁洛高速公路。房建工程包括服务区2处(楚店、漆园)、收费站5处(涡南、楚店岳坊、蒙城北、蒙城东)、养护工区1处(岳坊)，总建筑面积约31425平方米</w:t>
      </w:r>
      <w:r>
        <w:rPr>
          <w:rFonts w:hint="default" w:ascii="Times New Roman" w:hAnsi="Times New Roman" w:eastAsia="宋体" w:cs="Times New Roman"/>
          <w:color w:val="000000" w:themeColor="text1"/>
          <w:kern w:val="0"/>
          <w:sz w:val="21"/>
          <w:szCs w:val="21"/>
          <w:highlight w:val="none"/>
          <w:u w:val="none"/>
          <w:lang w:eastAsia="zh-CN"/>
          <w14:textFill>
            <w14:solidFill>
              <w14:schemeClr w14:val="tx1"/>
            </w14:solidFill>
          </w14:textFill>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pPr>
      <w:bookmarkStart w:id="8" w:name="_Toc10274"/>
      <w:bookmarkStart w:id="9" w:name="_Toc18453"/>
      <w:bookmarkStart w:id="10" w:name="_Toc525632586"/>
      <w:bookmarkStart w:id="11" w:name="_Toc17858_WPSOffice_Level2"/>
      <w:bookmarkStart w:id="12" w:name="_Toc18367_WPSOffice_Level2"/>
      <w:bookmarkStart w:id="13" w:name="_Toc8128_WPSOffice_Level2"/>
      <w:bookmarkStart w:id="14" w:name="_Toc23266_WPSOffice_Level2"/>
      <w:r>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000000" w:themeColor="text1"/>
          <w:szCs w:val="21"/>
          <w:highlight w:val="none"/>
          <w:u w:val="single"/>
          <w:lang w:val="en-US" w:eastAsia="zh-CN"/>
          <w14:textFill>
            <w14:solidFill>
              <w14:schemeClr w14:val="tx1"/>
            </w14:solidFill>
          </w14:textFill>
        </w:rPr>
      </w:pPr>
      <w:bookmarkStart w:id="15" w:name="_Toc4489_WPSOffice_Level3"/>
      <w:r>
        <w:rPr>
          <w:rFonts w:hint="default" w:ascii="Times New Roman" w:hAnsi="Times New Roman" w:eastAsia="宋体" w:cs="Times New Roman"/>
          <w:color w:val="000000" w:themeColor="text1"/>
          <w:szCs w:val="21"/>
          <w:highlight w:val="none"/>
          <w14:textFill>
            <w14:solidFill>
              <w14:schemeClr w14:val="tx1"/>
            </w14:solidFill>
          </w14:textFill>
        </w:rPr>
        <w:t>2.1 采购方式：</w:t>
      </w:r>
      <w:bookmarkEnd w:id="15"/>
      <w:r>
        <w:rPr>
          <w:rFonts w:hint="default" w:ascii="Times New Roman" w:hAnsi="Times New Roman" w:eastAsia="宋体" w:cs="Times New Roman"/>
          <w:color w:val="000000" w:themeColor="text1"/>
          <w:szCs w:val="21"/>
          <w:highlight w:val="none"/>
          <w:u w:val="single"/>
          <w:lang w:val="en-US" w:eastAsia="zh-CN"/>
          <w14:textFill>
            <w14:solidFill>
              <w14:schemeClr w14:val="tx1"/>
            </w14:solidFill>
          </w14:textFill>
        </w:rPr>
        <w:t>询比采购</w:t>
      </w:r>
      <w:r>
        <w:rPr>
          <w:rFonts w:hint="eastAsia" w:ascii="Times New Roman" w:hAnsi="Times New Roman" w:eastAsia="宋体" w:cs="Times New Roman"/>
          <w:color w:val="000000" w:themeColor="text1"/>
          <w:szCs w:val="21"/>
          <w:highlight w:val="none"/>
          <w:u w:val="single"/>
          <w:lang w:val="en-US" w:eastAsia="zh-CN"/>
          <w14:textFill>
            <w14:solidFill>
              <w14:schemeClr w14:val="tx1"/>
            </w14:solidFill>
          </w14:textFill>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000000" w:themeColor="text1"/>
          <w:szCs w:val="21"/>
          <w:highlight w:val="none"/>
          <w:lang w:eastAsia="zh-CN"/>
          <w14:textFill>
            <w14:solidFill>
              <w14:schemeClr w14:val="tx1"/>
            </w14:solidFill>
          </w14:textFill>
        </w:rPr>
      </w:pPr>
      <w:bookmarkStart w:id="16" w:name="_Toc23266_WPSOffice_Level3"/>
      <w:r>
        <w:rPr>
          <w:rFonts w:hint="default" w:ascii="Times New Roman" w:hAnsi="Times New Roman" w:eastAsia="宋体" w:cs="Times New Roman"/>
          <w:color w:val="000000" w:themeColor="text1"/>
          <w:szCs w:val="21"/>
          <w:highlight w:val="none"/>
          <w14:textFill>
            <w14:solidFill>
              <w14:schemeClr w14:val="tx1"/>
            </w14:solidFill>
          </w14:textFill>
        </w:rPr>
        <w:t>2.2 资金来源及比例：</w:t>
      </w:r>
      <w:bookmarkEnd w:id="16"/>
      <w:bookmarkStart w:id="17" w:name="_Toc22379_WPSOffice_Level3"/>
      <w:r>
        <w:rPr>
          <w:rFonts w:hint="default" w:ascii="Times New Roman" w:hAnsi="Times New Roman" w:eastAsia="宋体" w:cs="Times New Roman"/>
          <w:color w:val="000000" w:themeColor="text1"/>
          <w:szCs w:val="21"/>
          <w:highlight w:val="none"/>
          <w:u w:val="single"/>
          <w14:textFill>
            <w14:solidFill>
              <w14:schemeClr w14:val="tx1"/>
            </w14:solidFill>
          </w14:textFill>
        </w:rPr>
        <w:t>100%来自企业自筹</w:t>
      </w:r>
      <w:r>
        <w:rPr>
          <w:rFonts w:hint="eastAsia" w:ascii="Times New Roman" w:hAnsi="Times New Roman" w:eastAsia="宋体" w:cs="Times New Roman"/>
          <w:color w:val="000000" w:themeColor="text1"/>
          <w:szCs w:val="21"/>
          <w:highlight w:val="none"/>
          <w:u w:val="single"/>
          <w:lang w:eastAsia="zh-CN"/>
          <w14:textFill>
            <w14:solidFill>
              <w14:schemeClr w14:val="tx1"/>
            </w14:solidFill>
          </w14:textFill>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2.3 采购范围：</w:t>
      </w:r>
      <w:r>
        <w:rPr>
          <w:rFonts w:hint="default" w:ascii="Times New Roman" w:hAnsi="Times New Roman" w:eastAsia="宋体" w:cs="Times New Roman"/>
          <w:color w:val="000000" w:themeColor="text1"/>
          <w:szCs w:val="21"/>
          <w:highlight w:val="none"/>
          <w:u w:val="single"/>
          <w:lang w:val="en-US" w:eastAsia="zh-CN"/>
          <w14:textFill>
            <w14:solidFill>
              <w14:schemeClr w14:val="tx1"/>
            </w14:solidFill>
          </w14:textFill>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color w:val="000000" w:themeColor="text1"/>
          <w:szCs w:val="2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2.4 品牌范围：</w:t>
      </w:r>
      <w:r>
        <w:rPr>
          <w:rFonts w:hint="eastAsia" w:ascii="Times New Roman" w:hAnsi="Times New Roman" w:eastAsia="宋体" w:cs="Times New Roman"/>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无。</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000000" w:themeColor="text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2.5 合同包划分：</w:t>
      </w:r>
      <w:r>
        <w:rPr>
          <w:rFonts w:hint="eastAsia" w:ascii="Times New Roman" w:hAnsi="Times New Roman" w:eastAsia="宋体" w:cs="Times New Roman"/>
          <w:color w:val="000000" w:themeColor="text1"/>
          <w:szCs w:val="21"/>
          <w:highlight w:val="none"/>
          <w:u w:val="single"/>
          <w:lang w:val="en-US" w:eastAsia="zh-CN"/>
          <w14:textFill>
            <w14:solidFill>
              <w14:schemeClr w14:val="tx1"/>
            </w14:solidFill>
          </w14:textFill>
        </w:rPr>
        <w:t>1个</w:t>
      </w:r>
      <w:r>
        <w:rPr>
          <w:rFonts w:hint="default" w:ascii="Times New Roman" w:hAnsi="Times New Roman" w:eastAsia="宋体" w:cs="Times New Roman"/>
          <w:color w:val="000000" w:themeColor="text1"/>
          <w:szCs w:val="21"/>
          <w:highlight w:val="none"/>
          <w:u w:val="single"/>
          <w:lang w:val="en-US" w:eastAsia="zh-CN"/>
          <w14:textFill>
            <w14:solidFill>
              <w14:schemeClr w14:val="tx1"/>
            </w14:solidFill>
          </w14:textFill>
        </w:rPr>
        <w:t>采购包</w:t>
      </w:r>
      <w:r>
        <w:rPr>
          <w:rFonts w:hint="eastAsia" w:ascii="Times New Roman" w:hAnsi="Times New Roman" w:eastAsia="宋体" w:cs="Times New Roman"/>
          <w:color w:val="000000" w:themeColor="text1"/>
          <w:szCs w:val="21"/>
          <w:highlight w:val="none"/>
          <w:u w:val="single"/>
          <w:lang w:val="en-US" w:eastAsia="zh-CN"/>
          <w14:textFill>
            <w14:solidFill>
              <w14:schemeClr w14:val="tx1"/>
            </w14:solidFill>
          </w14:textFill>
        </w:rPr>
        <w:t>段</w:t>
      </w:r>
      <w:r>
        <w:rPr>
          <w:rFonts w:hint="default" w:ascii="Times New Roman" w:hAnsi="Times New Roman" w:eastAsia="宋体" w:cs="Times New Roman"/>
          <w:color w:val="000000" w:themeColor="text1"/>
          <w:szCs w:val="21"/>
          <w:highlight w:val="none"/>
          <w:u w:val="none"/>
          <w:lang w:val="en-US" w:eastAsia="zh-CN"/>
          <w14:textFill>
            <w14:solidFill>
              <w14:schemeClr w14:val="tx1"/>
            </w14:solidFill>
          </w14:textFill>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000000" w:themeColor="text1"/>
          <w:szCs w:val="2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2.</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Cs w:val="21"/>
          <w:highlight w:val="none"/>
          <w14:textFill>
            <w14:solidFill>
              <w14:schemeClr w14:val="tx1"/>
            </w14:solidFill>
          </w14:textFill>
        </w:rPr>
        <w:t xml:space="preserve"> 最高限价：</w:t>
      </w:r>
      <w:bookmarkEnd w:id="17"/>
      <w:r>
        <w:rPr>
          <w:rFonts w:hint="eastAsia" w:ascii="Times New Roman" w:hAnsi="Times New Roman" w:cs="Times New Roman"/>
          <w:color w:val="000000" w:themeColor="text1"/>
          <w:szCs w:val="22"/>
          <w:highlight w:val="none"/>
          <w:u w:val="single"/>
          <w:lang w:val="en-US" w:eastAsia="zh-CN"/>
          <w14:textFill>
            <w14:solidFill>
              <w14:schemeClr w14:val="tx1"/>
            </w14:solidFill>
          </w14:textFill>
        </w:rPr>
        <w:t>119.8万元</w:t>
      </w:r>
      <w:r>
        <w:rPr>
          <w:rFonts w:hint="eastAsia" w:ascii="宋体" w:hAnsi="宋体" w:eastAsia="宋体" w:cs="宋体"/>
          <w:b w:val="0"/>
          <w:bCs w:val="0"/>
          <w:color w:val="000000" w:themeColor="text1"/>
          <w:szCs w:val="21"/>
          <w:highlight w:val="none"/>
          <w:u w:val="single"/>
          <w:lang w:val="en-US" w:eastAsia="zh-CN"/>
          <w14:textFill>
            <w14:solidFill>
              <w14:schemeClr w14:val="tx1"/>
            </w14:solidFill>
          </w14:textFill>
        </w:rPr>
        <w:t>。</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000000" w:themeColor="text1"/>
          <w:kern w:val="0"/>
          <w:sz w:val="21"/>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2.</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szCs w:val="21"/>
          <w:highlight w:val="none"/>
          <w14:textFill>
            <w14:solidFill>
              <w14:schemeClr w14:val="tx1"/>
            </w14:solidFill>
          </w14:textFill>
        </w:rPr>
        <w:t xml:space="preserve"> </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交货期</w:t>
      </w:r>
      <w:r>
        <w:rPr>
          <w:rFonts w:hint="default" w:ascii="Times New Roman" w:hAnsi="Times New Roman" w:eastAsia="宋体" w:cs="Times New Roman"/>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lang w:val="en-US" w:eastAsia="zh-CN"/>
          <w14:textFill>
            <w14:solidFill>
              <w14:schemeClr w14:val="tx1"/>
            </w14:solidFill>
          </w14:textFill>
        </w:rPr>
        <w:t>在接到甲方通知之日起10天内交货</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（具体根据实际情况安排进度）</w:t>
      </w:r>
      <w:r>
        <w:rPr>
          <w:rFonts w:hint="eastAsia" w:ascii="宋体" w:hAnsi="宋体" w:eastAsia="宋体" w:cs="宋体"/>
          <w:color w:val="000000" w:themeColor="text1"/>
          <w:kern w:val="0"/>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Cs w:val="21"/>
          <w:highlight w:val="none"/>
          <w:u w:val="none"/>
          <w:lang w:val="en-US" w:eastAsia="zh-CN"/>
          <w14:textFill>
            <w14:solidFill>
              <w14:schemeClr w14:val="tx1"/>
            </w14:solidFill>
          </w14:textFill>
        </w:rPr>
        <w:t xml:space="preserve"> </w:t>
      </w:r>
    </w:p>
    <w:p w14:paraId="1908B3BB">
      <w:pPr>
        <w:keepNext w:val="0"/>
        <w:keepLines w:val="0"/>
        <w:pageBreakBefore w:val="0"/>
        <w:widowControl/>
        <w:suppressLineNumbers w:val="0"/>
        <w:kinsoku/>
        <w:wordWrap/>
        <w:overflowPunct/>
        <w:topLinePunct w:val="0"/>
        <w:autoSpaceDE/>
        <w:autoSpaceDN/>
        <w:bidi w:val="0"/>
        <w:adjustRightInd/>
        <w:spacing w:line="440" w:lineRule="exact"/>
        <w:ind w:firstLine="420" w:firstLineChars="200"/>
        <w:jc w:val="left"/>
        <w:textAlignment w:val="auto"/>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2.8交货地点：</w:t>
      </w:r>
      <w:r>
        <w:rPr>
          <w:rFonts w:hint="eastAsia" w:ascii="Times New Roman" w:hAnsi="Times New Roman" w:eastAsia="宋体" w:cs="Times New Roman"/>
          <w:b w:val="0"/>
          <w:bCs w:val="0"/>
          <w:color w:val="000000" w:themeColor="text1"/>
          <w:szCs w:val="21"/>
          <w:highlight w:val="none"/>
          <w:u w:val="single"/>
          <w:lang w:val="en-US" w:eastAsia="zh-CN"/>
          <w14:textFill>
            <w14:solidFill>
              <w14:schemeClr w14:val="tx1"/>
            </w14:solidFill>
          </w14:textFill>
        </w:rPr>
        <w:t>岳坊收费区站、蒙城北收费站、蒙城东收费站</w:t>
      </w:r>
      <w:r>
        <w:rPr>
          <w:rFonts w:hint="eastAsia" w:ascii="Times New Roman" w:hAnsi="Times New Roman" w:eastAsia="宋体" w:cs="Times New Roman"/>
          <w:color w:val="000000" w:themeColor="text1"/>
          <w:szCs w:val="21"/>
          <w:highlight w:val="none"/>
          <w:u w:val="singl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具体详细交货地点根据实际情况安排</w:t>
      </w:r>
      <w:r>
        <w:rPr>
          <w:rFonts w:hint="eastAsia" w:ascii="Times New Roman" w:hAnsi="Times New Roman" w:eastAsia="宋体" w:cs="Times New Roman"/>
          <w:color w:val="000000" w:themeColor="text1"/>
          <w:szCs w:val="21"/>
          <w:highlight w:val="none"/>
          <w:u w:val="none"/>
          <w:lang w:val="en-US" w:eastAsia="zh-CN"/>
          <w14:textFill>
            <w14:solidFill>
              <w14:schemeClr w14:val="tx1"/>
            </w14:solidFill>
          </w14:textFill>
        </w:rPr>
        <w:t>。</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 xml:space="preserve">   </w:t>
      </w:r>
    </w:p>
    <w:p w14:paraId="60F1E61F">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Times New Roman" w:hAnsi="Times New Roman" w:eastAsia="宋体" w:cs="Times New Roman"/>
          <w:color w:val="000000" w:themeColor="text1"/>
          <w:szCs w:val="21"/>
          <w:highlight w:val="yellow"/>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yellow"/>
          <w:lang w:val="en-US" w:eastAsia="zh-CN"/>
          <w14:textFill>
            <w14:solidFill>
              <w14:schemeClr w14:val="tx1"/>
            </w14:solidFill>
          </w14:textFill>
        </w:rPr>
        <w:t>2.9本项目铝单板已封样，各潜在投标人自行前往安徽省亳州市蒙城县漆园街道庄子大桥北安徽交控建工项目部（联系人：郑经理15255750911）确认铝单板样品，并承诺按样品报价。拟中标人须在采购人通知之日起5日内，按封样铝单板标准再次送铝单板小样并经项目部确认。如所送样品不符合要求，采购人有权没收投标保证金，按中标候选人排序重新确定成交人；或重新组织采购。</w:t>
      </w:r>
    </w:p>
    <w:p w14:paraId="22830808">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pPr>
      <w:r>
        <w:rPr>
          <w:rFonts w:hint="eastAsia"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t xml:space="preserve"> </w:t>
      </w:r>
      <w:r>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t>供应商资格条件</w:t>
      </w:r>
    </w:p>
    <w:p w14:paraId="71F8C970">
      <w:pPr>
        <w:snapToGrid w:val="0"/>
        <w:spacing w:beforeLines="0" w:afterLines="0" w:line="400" w:lineRule="exact"/>
        <w:ind w:firstLine="420" w:firstLineChars="200"/>
        <w:rPr>
          <w:rFonts w:hint="eastAsia" w:ascii="宋体" w:hAnsi="宋体" w:cs="宋体"/>
          <w:color w:val="000000" w:themeColor="text1"/>
          <w:sz w:val="21"/>
          <w:szCs w:val="22"/>
          <w:highlight w:val="none"/>
          <w14:textFill>
            <w14:solidFill>
              <w14:schemeClr w14:val="tx1"/>
            </w14:solidFill>
          </w14:textFill>
        </w:rPr>
      </w:pPr>
      <w:r>
        <w:rPr>
          <w:rFonts w:hint="eastAsia" w:ascii="宋体" w:hAnsi="宋体" w:cs="宋体"/>
          <w:color w:val="000000" w:themeColor="text1"/>
          <w:sz w:val="21"/>
          <w:szCs w:val="22"/>
          <w:highlight w:val="none"/>
          <w14:textFill>
            <w14:solidFill>
              <w14:schemeClr w14:val="tx1"/>
            </w14:solidFill>
          </w14:textFill>
        </w:rPr>
        <w:t>3.1 本次采购要求供应商须同时具备：</w:t>
      </w:r>
    </w:p>
    <w:p w14:paraId="7ED83F0D">
      <w:pPr>
        <w:snapToGrid w:val="0"/>
        <w:spacing w:beforeLines="0" w:afterLines="0" w:line="400" w:lineRule="exact"/>
        <w:ind w:firstLine="420" w:firstLineChars="200"/>
        <w:rPr>
          <w:rFonts w:hint="eastAsia" w:ascii="宋体" w:hAnsi="宋体" w:cs="宋体"/>
          <w:color w:val="000000" w:themeColor="text1"/>
          <w:sz w:val="21"/>
          <w:szCs w:val="22"/>
          <w:highlight w:val="none"/>
          <w14:textFill>
            <w14:solidFill>
              <w14:schemeClr w14:val="tx1"/>
            </w14:solidFill>
          </w14:textFill>
        </w:rPr>
      </w:pPr>
      <w:r>
        <w:rPr>
          <w:rFonts w:hint="eastAsia" w:ascii="Times New Roman" w:hAnsi="Times New Roman"/>
          <w:color w:val="000000" w:themeColor="text1"/>
          <w:sz w:val="21"/>
          <w:szCs w:val="22"/>
          <w:highlight w:val="none"/>
          <w14:textFill>
            <w14:solidFill>
              <w14:schemeClr w14:val="tx1"/>
            </w14:solidFill>
          </w14:textFill>
        </w:rPr>
        <w:t>（1）</w:t>
      </w:r>
      <w:r>
        <w:rPr>
          <w:rFonts w:hint="eastAsia" w:ascii="宋体" w:hAnsi="宋体" w:cs="宋体"/>
          <w:color w:val="000000" w:themeColor="text1"/>
          <w:sz w:val="21"/>
          <w:szCs w:val="22"/>
          <w:highlight w:val="none"/>
          <w14:textFill>
            <w14:solidFill>
              <w14:schemeClr w14:val="tx1"/>
            </w14:solidFill>
          </w14:textFill>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eastAsiaTheme="minorEastAsia"/>
          <w:color w:val="000000" w:themeColor="text1"/>
          <w:sz w:val="21"/>
          <w:szCs w:val="22"/>
          <w:highlight w:val="none"/>
          <w:lang w:val="en-US" w:eastAsia="zh-CN"/>
          <w14:textFill>
            <w14:solidFill>
              <w14:schemeClr w14:val="tx1"/>
            </w14:solidFill>
          </w14:textFill>
        </w:rPr>
      </w:pPr>
      <w:r>
        <w:rPr>
          <w:rFonts w:hint="eastAsia" w:ascii="宋体" w:hAnsi="宋体" w:cs="宋体"/>
          <w:color w:val="000000" w:themeColor="text1"/>
          <w:sz w:val="21"/>
          <w:szCs w:val="22"/>
          <w:highlight w:val="none"/>
          <w14:textFill>
            <w14:solidFill>
              <w14:schemeClr w14:val="tx1"/>
            </w14:solidFill>
          </w14:textFill>
        </w:rPr>
        <w:t xml:space="preserve">具备独立法人资格，持有有效的营业执照。 </w:t>
      </w:r>
      <w:r>
        <w:rPr>
          <w:rFonts w:hint="eastAsia" w:ascii="宋体" w:hAnsi="宋体" w:cs="宋体"/>
          <w:color w:val="000000" w:themeColor="text1"/>
          <w:sz w:val="21"/>
          <w:szCs w:val="22"/>
          <w:highlight w:val="none"/>
          <w:lang w:val="en-US" w:eastAsia="zh-CN"/>
          <w14:textFill>
            <w14:solidFill>
              <w14:schemeClr w14:val="tx1"/>
            </w14:solidFill>
          </w14:textFill>
        </w:rPr>
        <w:t xml:space="preserve"> </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szCs w:val="22"/>
          <w:highlight w:val="none"/>
          <w14:textFill>
            <w14:solidFill>
              <w14:schemeClr w14:val="tx1"/>
            </w14:solidFill>
          </w14:textFill>
        </w:rPr>
      </w:pPr>
      <w:r>
        <w:rPr>
          <w:rFonts w:hint="default" w:ascii="Times New Roman" w:hAnsi="Times New Roman" w:cs="Times New Roman" w:eastAsiaTheme="minorEastAsia"/>
          <w:color w:val="000000" w:themeColor="text1"/>
          <w:szCs w:val="22"/>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szCs w:val="22"/>
          <w:highlight w:val="none"/>
          <w:lang w:val="en-US" w:eastAsia="zh-CN"/>
          <w14:textFill>
            <w14:solidFill>
              <w14:schemeClr w14:val="tx1"/>
            </w14:solidFill>
          </w14:textFill>
        </w:rPr>
        <w:t>2</w:t>
      </w:r>
      <w:r>
        <w:rPr>
          <w:rFonts w:hint="default" w:ascii="Times New Roman" w:hAnsi="Times New Roman" w:cs="Times New Roman" w:eastAsiaTheme="minorEastAsia"/>
          <w:color w:val="000000" w:themeColor="text1"/>
          <w:szCs w:val="22"/>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szCs w:val="22"/>
          <w:highlight w:val="none"/>
          <w14:textFill>
            <w14:solidFill>
              <w14:schemeClr w14:val="tx1"/>
            </w14:solidFill>
          </w14:textFill>
        </w:rPr>
        <w:t>业绩最低要求：</w:t>
      </w:r>
    </w:p>
    <w:p w14:paraId="4CFF6869">
      <w:pPr>
        <w:pStyle w:val="10"/>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000000" w:themeColor="text1"/>
          <w:highlight w:val="none"/>
          <w:u w:val="single"/>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highlight w:val="none"/>
          <w:u w:val="single"/>
          <w:lang w:val="en-US" w:eastAsia="zh-CN"/>
          <w14:textFill>
            <w14:solidFill>
              <w14:schemeClr w14:val="tx1"/>
            </w14:solidFill>
          </w14:textFill>
        </w:rPr>
        <w:t>至少提供1个自202</w:t>
      </w:r>
      <w:r>
        <w:rPr>
          <w:rFonts w:hint="eastAsia" w:ascii="Times New Roman" w:hAnsi="Times New Roman" w:cs="Times New Roman"/>
          <w:b w:val="0"/>
          <w:bCs w:val="0"/>
          <w:color w:val="000000" w:themeColor="text1"/>
          <w:highlight w:val="none"/>
          <w:u w:val="single"/>
          <w:lang w:val="en-US" w:eastAsia="zh-CN"/>
          <w14:textFill>
            <w14:solidFill>
              <w14:schemeClr w14:val="tx1"/>
            </w14:solidFill>
          </w14:textFill>
        </w:rPr>
        <w:t>2</w:t>
      </w:r>
      <w:r>
        <w:rPr>
          <w:rFonts w:hint="default" w:ascii="Times New Roman" w:hAnsi="Times New Roman" w:cs="Times New Roman" w:eastAsiaTheme="minorEastAsia"/>
          <w:b w:val="0"/>
          <w:bCs w:val="0"/>
          <w:color w:val="000000" w:themeColor="text1"/>
          <w:highlight w:val="none"/>
          <w:u w:val="single"/>
          <w:lang w:val="en-US" w:eastAsia="zh-CN"/>
          <w14:textFill>
            <w14:solidFill>
              <w14:schemeClr w14:val="tx1"/>
            </w14:solidFill>
          </w14:textFill>
        </w:rPr>
        <w:t>年1月1日以来，单项合同额不低于</w:t>
      </w:r>
      <w:r>
        <w:rPr>
          <w:rFonts w:hint="eastAsia" w:ascii="Times New Roman" w:hAnsi="Times New Roman" w:cs="Times New Roman"/>
          <w:b w:val="0"/>
          <w:bCs w:val="0"/>
          <w:color w:val="000000" w:themeColor="text1"/>
          <w:highlight w:val="none"/>
          <w:u w:val="single"/>
          <w:lang w:val="en-US" w:eastAsia="zh-CN"/>
          <w14:textFill>
            <w14:solidFill>
              <w14:schemeClr w14:val="tx1"/>
            </w14:solidFill>
          </w14:textFill>
        </w:rPr>
        <w:t>90</w:t>
      </w:r>
      <w:r>
        <w:rPr>
          <w:rFonts w:hint="default" w:ascii="Times New Roman" w:hAnsi="Times New Roman" w:cs="Times New Roman" w:eastAsiaTheme="minorEastAsia"/>
          <w:b w:val="0"/>
          <w:bCs w:val="0"/>
          <w:color w:val="000000" w:themeColor="text1"/>
          <w:highlight w:val="none"/>
          <w:u w:val="single"/>
          <w:lang w:val="en-US" w:eastAsia="zh-CN"/>
          <w14:textFill>
            <w14:solidFill>
              <w14:schemeClr w14:val="tx1"/>
            </w14:solidFill>
          </w14:textFill>
        </w:rPr>
        <w:t>万元的</w:t>
      </w:r>
      <w:r>
        <w:rPr>
          <w:rFonts w:hint="eastAsia" w:ascii="Times New Roman" w:hAnsi="Times New Roman" w:cs="Times New Roman"/>
          <w:b w:val="0"/>
          <w:bCs w:val="0"/>
          <w:color w:val="000000" w:themeColor="text1"/>
          <w:highlight w:val="none"/>
          <w:u w:val="single"/>
          <w:lang w:val="en-US" w:eastAsia="zh-CN"/>
          <w14:textFill>
            <w14:solidFill>
              <w14:schemeClr w14:val="tx1"/>
            </w14:solidFill>
          </w14:textFill>
        </w:rPr>
        <w:t>铝单板</w:t>
      </w:r>
      <w:r>
        <w:rPr>
          <w:rFonts w:hint="default" w:ascii="Times New Roman" w:hAnsi="Times New Roman" w:cs="Times New Roman" w:eastAsiaTheme="minorEastAsia"/>
          <w:b w:val="0"/>
          <w:bCs w:val="0"/>
          <w:color w:val="000000" w:themeColor="text1"/>
          <w:highlight w:val="none"/>
          <w:u w:val="single"/>
          <w:lang w:val="en-US" w:eastAsia="zh-CN"/>
          <w14:textFill>
            <w14:solidFill>
              <w14:schemeClr w14:val="tx1"/>
            </w14:solidFill>
          </w14:textFill>
        </w:rPr>
        <w:t>供应</w:t>
      </w:r>
      <w:r>
        <w:rPr>
          <w:rFonts w:hint="default" w:ascii="Times New Roman" w:hAnsi="Times New Roman" w:cs="Times New Roman" w:eastAsiaTheme="minorEastAsia"/>
          <w:b w:val="0"/>
          <w:bCs w:val="0"/>
          <w:color w:val="000000" w:themeColor="text1"/>
          <w:szCs w:val="21"/>
          <w:highlight w:val="none"/>
          <w:u w:val="single"/>
          <w:lang w:val="en-US" w:eastAsia="zh-CN"/>
          <w14:textFill>
            <w14:solidFill>
              <w14:schemeClr w14:val="tx1"/>
            </w14:solidFill>
          </w14:textFill>
        </w:rPr>
        <w:t>合同业绩（</w:t>
      </w:r>
      <w:r>
        <w:rPr>
          <w:rFonts w:hint="eastAsia" w:ascii="Times New Roman" w:hAnsi="Times New Roman" w:cs="Times New Roman"/>
          <w:b w:val="0"/>
          <w:bCs w:val="0"/>
          <w:color w:val="000000" w:themeColor="text1"/>
          <w:szCs w:val="21"/>
          <w:highlight w:val="none"/>
          <w:u w:val="single"/>
          <w:lang w:val="en-US" w:eastAsia="zh-CN"/>
          <w14:textFill>
            <w14:solidFill>
              <w14:schemeClr w14:val="tx1"/>
            </w14:solidFill>
          </w14:textFill>
        </w:rPr>
        <w:t>每个业绩至少提供不低于合同金额50%的增值税发票或收到业主转账的收款凭证，未提供，该业绩无效</w:t>
      </w:r>
      <w:r>
        <w:rPr>
          <w:rFonts w:hint="default" w:ascii="Times New Roman" w:hAnsi="Times New Roman" w:cs="Times New Roman" w:eastAsiaTheme="minorEastAsia"/>
          <w:b w:val="0"/>
          <w:bCs w:val="0"/>
          <w:color w:val="000000" w:themeColor="text1"/>
          <w:szCs w:val="21"/>
          <w:highlight w:val="none"/>
          <w:u w:val="single"/>
          <w:lang w:val="en-US" w:eastAsia="zh-CN"/>
          <w14:textFill>
            <w14:solidFill>
              <w14:schemeClr w14:val="tx1"/>
            </w14:solidFill>
          </w14:textFill>
        </w:rPr>
        <w:t>）</w:t>
      </w:r>
      <w:r>
        <w:rPr>
          <w:rFonts w:hint="eastAsia" w:ascii="Times New Roman" w:hAnsi="Times New Roman" w:cs="Times New Roman"/>
          <w:b w:val="0"/>
          <w:bCs w:val="0"/>
          <w:color w:val="000000" w:themeColor="text1"/>
          <w:szCs w:val="21"/>
          <w:highlight w:val="none"/>
          <w:u w:val="single"/>
          <w:lang w:val="en-US" w:eastAsia="zh-CN"/>
          <w14:textFill>
            <w14:solidFill>
              <w14:schemeClr w14:val="tx1"/>
            </w14:solidFill>
          </w14:textFill>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业绩证明材料要求：</w:t>
      </w:r>
    </w:p>
    <w:p w14:paraId="7DE2D19D">
      <w:pPr>
        <w:pStyle w:val="10"/>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000000" w:themeColor="text1"/>
          <w:kern w:val="2"/>
          <w:sz w:val="21"/>
          <w:szCs w:val="24"/>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4"/>
          <w:highlight w:val="none"/>
          <w:lang w:val="en-US" w:eastAsia="zh-CN" w:bidi="ar-SA"/>
          <w14:textFill>
            <w14:solidFill>
              <w14:schemeClr w14:val="tx1"/>
            </w14:solidFill>
          </w14:textFill>
        </w:rPr>
        <w:t>①合同协议书复印件；</w:t>
      </w:r>
    </w:p>
    <w:p w14:paraId="3FCCA2B9">
      <w:pPr>
        <w:pStyle w:val="10"/>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000000" w:themeColor="text1"/>
          <w:kern w:val="2"/>
          <w:sz w:val="21"/>
          <w:szCs w:val="24"/>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4"/>
          <w:highlight w:val="none"/>
          <w:lang w:val="en-US" w:eastAsia="zh-CN" w:bidi="ar-SA"/>
          <w14:textFill>
            <w14:solidFill>
              <w14:schemeClr w14:val="tx1"/>
            </w14:solidFill>
          </w14:textFill>
        </w:rPr>
        <w:t>②若合同协议书中不能明确反映出采购文件所要求内容的（如合同金额、合同签订时间、供货内容等），则须提供业主单位（甲方）出具加盖公章的证明材料复印件。</w:t>
      </w:r>
    </w:p>
    <w:p w14:paraId="4D67D860">
      <w:pPr>
        <w:pStyle w:val="22"/>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000000" w:themeColor="text1"/>
          <w:kern w:val="2"/>
          <w:sz w:val="21"/>
          <w:szCs w:val="24"/>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4"/>
          <w:highlight w:val="none"/>
          <w:lang w:val="en-US" w:eastAsia="zh-CN" w:bidi="ar-SA"/>
          <w14:textFill>
            <w14:solidFill>
              <w14:schemeClr w14:val="tx1"/>
            </w14:solidFill>
          </w14:textFill>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szCs w:val="22"/>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szCs w:val="22"/>
          <w:highlight w:val="none"/>
          <w14:textFill>
            <w14:solidFill>
              <w14:schemeClr w14:val="tx1"/>
            </w14:solidFill>
          </w14:textFill>
        </w:rPr>
        <w:t>（</w:t>
      </w:r>
      <w:r>
        <w:rPr>
          <w:rFonts w:hint="default" w:ascii="Times New Roman" w:hAnsi="Times New Roman" w:cs="Times New Roman" w:eastAsiaTheme="minorEastAsia"/>
          <w:color w:val="000000" w:themeColor="text1"/>
          <w:szCs w:val="22"/>
          <w:highlight w:val="none"/>
          <w:lang w:val="en-US" w:eastAsia="zh-CN"/>
          <w14:textFill>
            <w14:solidFill>
              <w14:schemeClr w14:val="tx1"/>
            </w14:solidFill>
          </w14:textFill>
        </w:rPr>
        <w:t>3</w:t>
      </w:r>
      <w:r>
        <w:rPr>
          <w:rFonts w:hint="default" w:ascii="Times New Roman" w:hAnsi="Times New Roman" w:cs="Times New Roman" w:eastAsiaTheme="minorEastAsia"/>
          <w:color w:val="000000" w:themeColor="text1"/>
          <w:szCs w:val="22"/>
          <w:highlight w:val="none"/>
          <w14:textFill>
            <w14:solidFill>
              <w14:schemeClr w14:val="tx1"/>
            </w14:solidFill>
          </w14:textFill>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szCs w:val="22"/>
          <w:highlight w:val="none"/>
          <w14:textFill>
            <w14:solidFill>
              <w14:schemeClr w14:val="tx1"/>
            </w14:solidFill>
          </w14:textFill>
        </w:rPr>
      </w:pPr>
      <w:r>
        <w:rPr>
          <w:rFonts w:hint="default" w:ascii="Times New Roman" w:hAnsi="Times New Roman" w:cs="Times New Roman" w:eastAsiaTheme="minorEastAsia"/>
          <w:color w:val="000000" w:themeColor="text1"/>
          <w:szCs w:val="22"/>
          <w:highlight w:val="none"/>
          <w14:textFill>
            <w14:solidFill>
              <w14:schemeClr w14:val="tx1"/>
            </w14:solidFill>
          </w14:textFill>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szCs w:val="22"/>
          <w:highlight w:val="none"/>
          <w14:textFill>
            <w14:solidFill>
              <w14:schemeClr w14:val="tx1"/>
            </w14:solidFill>
          </w14:textFill>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szCs w:val="22"/>
          <w:highlight w:val="none"/>
          <w14:textFill>
            <w14:solidFill>
              <w14:schemeClr w14:val="tx1"/>
            </w14:solidFill>
          </w14:textFill>
        </w:rPr>
      </w:pPr>
      <w:r>
        <w:rPr>
          <w:rFonts w:hint="default" w:ascii="Times New Roman" w:hAnsi="Times New Roman" w:cs="Times New Roman" w:eastAsiaTheme="minorEastAsia"/>
          <w:color w:val="000000" w:themeColor="text1"/>
          <w:szCs w:val="22"/>
          <w:highlight w:val="none"/>
          <w14:textFill>
            <w14:solidFill>
              <w14:schemeClr w14:val="tx1"/>
            </w14:solidFill>
          </w14:textFill>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szCs w:val="22"/>
          <w:highlight w:val="none"/>
          <w14:textFill>
            <w14:solidFill>
              <w14:schemeClr w14:val="tx1"/>
            </w14:solidFill>
          </w14:textFill>
        </w:rPr>
      </w:pPr>
      <w:r>
        <w:rPr>
          <w:rFonts w:hint="default" w:ascii="Times New Roman" w:hAnsi="Times New Roman" w:cs="Times New Roman" w:eastAsiaTheme="minorEastAsia"/>
          <w:color w:val="000000" w:themeColor="text1"/>
          <w:szCs w:val="22"/>
          <w:highlight w:val="none"/>
          <w14:textFill>
            <w14:solidFill>
              <w14:schemeClr w14:val="tx1"/>
            </w14:solidFill>
          </w14:textFill>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szCs w:val="22"/>
          <w:highlight w:val="none"/>
          <w14:textFill>
            <w14:solidFill>
              <w14:schemeClr w14:val="tx1"/>
            </w14:solidFill>
          </w14:textFill>
        </w:rPr>
      </w:pPr>
      <w:r>
        <w:rPr>
          <w:rFonts w:hint="default" w:ascii="Times New Roman" w:hAnsi="Times New Roman" w:cs="Times New Roman" w:eastAsiaTheme="minorEastAsia"/>
          <w:color w:val="000000" w:themeColor="text1"/>
          <w:szCs w:val="22"/>
          <w:highlight w:val="none"/>
          <w14:textFill>
            <w14:solidFill>
              <w14:schemeClr w14:val="tx1"/>
            </w14:solidFill>
          </w14:textFill>
        </w:rPr>
        <w:t>⑤在近三年内（自响应文件递交截止之日向前追溯3年）供应商或其法定代表人、拟委任的项目经理</w:t>
      </w:r>
      <w:r>
        <w:rPr>
          <w:rFonts w:hint="default" w:ascii="Times New Roman" w:hAnsi="Times New Roman" w:cs="Times New Roman" w:eastAsiaTheme="minorEastAsia"/>
          <w:color w:val="000000" w:themeColor="text1"/>
          <w:szCs w:val="22"/>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szCs w:val="22"/>
          <w:highlight w:val="none"/>
          <w:lang w:val="en-US" w:eastAsia="zh-CN"/>
          <w14:textFill>
            <w14:solidFill>
              <w14:schemeClr w14:val="tx1"/>
            </w14:solidFill>
          </w14:textFill>
        </w:rPr>
        <w:t>如有</w:t>
      </w:r>
      <w:r>
        <w:rPr>
          <w:rFonts w:hint="default" w:ascii="Times New Roman" w:hAnsi="Times New Roman" w:cs="Times New Roman" w:eastAsiaTheme="minorEastAsia"/>
          <w:color w:val="000000" w:themeColor="text1"/>
          <w:szCs w:val="22"/>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szCs w:val="22"/>
          <w:highlight w:val="none"/>
          <w14:textFill>
            <w14:solidFill>
              <w14:schemeClr w14:val="tx1"/>
            </w14:solidFill>
          </w14:textFill>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⑥其他要求：</w:t>
      </w:r>
      <w:r>
        <w:rPr>
          <w:rFonts w:hint="default" w:ascii="Times New Roman" w:hAnsi="Times New Roman" w:cs="Times New Roman" w:eastAsiaTheme="minorEastAsia"/>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highlight w:val="none"/>
          <w14:textFill>
            <w14:solidFill>
              <w14:schemeClr w14:val="tx1"/>
            </w14:solidFill>
          </w14:textFill>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sz w:val="18"/>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2"/>
          <w:highlight w:val="none"/>
          <w14:textFill>
            <w14:solidFill>
              <w14:schemeClr w14:val="tx1"/>
            </w14:solidFill>
          </w14:textFill>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sz w:val="18"/>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2"/>
          <w:highlight w:val="none"/>
          <w14:textFill>
            <w14:solidFill>
              <w14:schemeClr w14:val="tx1"/>
            </w14:solidFill>
          </w14:textFill>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pPr>
      <w:bookmarkStart w:id="18" w:name="_Toc525632588"/>
      <w:bookmarkStart w:id="19" w:name="_Toc29452_WPSOffice_Level2"/>
      <w:bookmarkStart w:id="20" w:name="_Toc4751"/>
      <w:bookmarkStart w:id="21" w:name="_Toc4109_WPSOffice_Level2"/>
      <w:bookmarkStart w:id="22" w:name="_Toc1994"/>
      <w:bookmarkStart w:id="23" w:name="_Toc2996_WPSOffice_Level2"/>
      <w:bookmarkStart w:id="24" w:name="_Toc25666_WPSOffice_Level2"/>
      <w:r>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t>询比文件的获取</w:t>
      </w:r>
      <w:bookmarkEnd w:id="18"/>
      <w:bookmarkEnd w:id="19"/>
      <w:bookmarkEnd w:id="20"/>
      <w:bookmarkEnd w:id="21"/>
      <w:bookmarkEnd w:id="22"/>
      <w:bookmarkEnd w:id="23"/>
      <w:bookmarkEnd w:id="24"/>
    </w:p>
    <w:p w14:paraId="56E2CBF5">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000000" w:themeColor="text1"/>
          <w:sz w:val="21"/>
          <w:szCs w:val="22"/>
          <w:highlight w:val="none"/>
          <w14:textFill>
            <w14:solidFill>
              <w14:schemeClr w14:val="tx1"/>
            </w14:solidFill>
          </w14:textFill>
        </w:rPr>
      </w:pPr>
      <w:bookmarkStart w:id="25" w:name="_Toc726"/>
      <w:bookmarkStart w:id="26" w:name="_Toc525632589"/>
      <w:r>
        <w:rPr>
          <w:rFonts w:hint="eastAsia" w:ascii="Times New Roman" w:hAnsi="Times New Roman"/>
          <w:color w:val="000000" w:themeColor="text1"/>
          <w:sz w:val="21"/>
          <w:szCs w:val="22"/>
          <w:highlight w:val="none"/>
          <w14:textFill>
            <w14:solidFill>
              <w14:schemeClr w14:val="tx1"/>
            </w14:solidFill>
          </w14:textFill>
        </w:rPr>
        <w:t>供应商须在“安徽交控建设工程集团</w:t>
      </w:r>
      <w:r>
        <w:rPr>
          <w:rFonts w:hint="eastAsia" w:ascii="Times New Roman" w:hAnsi="Times New Roman"/>
          <w:color w:val="000000" w:themeColor="text1"/>
          <w:sz w:val="21"/>
          <w:szCs w:val="22"/>
          <w:highlight w:val="none"/>
          <w:lang w:val="en-US" w:eastAsia="zh-CN"/>
          <w14:textFill>
            <w14:solidFill>
              <w14:schemeClr w14:val="tx1"/>
            </w14:solidFill>
          </w14:textFill>
        </w:rPr>
        <w:t>有限公司</w:t>
      </w:r>
      <w:r>
        <w:rPr>
          <w:rFonts w:hint="eastAsia" w:ascii="Times New Roman" w:hAnsi="Times New Roman"/>
          <w:color w:val="000000" w:themeColor="text1"/>
          <w:sz w:val="21"/>
          <w:szCs w:val="22"/>
          <w:highlight w:val="none"/>
          <w14:textFill>
            <w14:solidFill>
              <w14:schemeClr w14:val="tx1"/>
            </w14:solidFill>
          </w14:textFill>
        </w:rPr>
        <w:t>”（网址：http://www.ahjggroup.com）“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pPr>
      <w:r>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t>响应文件的递交</w:t>
      </w:r>
      <w:bookmarkEnd w:id="25"/>
      <w:bookmarkEnd w:id="26"/>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000000" w:themeColor="text1"/>
          <w:kern w:val="2"/>
          <w:sz w:val="21"/>
          <w:szCs w:val="22"/>
          <w:highlight w:val="none"/>
          <w:u w:val="none"/>
          <w:lang w:val="en-US" w:eastAsia="zh-CN" w:bidi="ar-SA"/>
          <w14:textFill>
            <w14:solidFill>
              <w14:schemeClr w14:val="tx1"/>
            </w14:solidFill>
          </w14:textFill>
        </w:rPr>
      </w:pPr>
      <w:bookmarkStart w:id="27" w:name="_Toc525632591"/>
      <w:bookmarkStart w:id="28" w:name="_Toc22719"/>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响应文件递交的截止时间为</w:t>
      </w:r>
      <w:r>
        <w:rPr>
          <w:rFonts w:hint="eastAsia" w:ascii="Times New Roman" w:hAnsi="Times New Roman" w:eastAsia="宋体" w:cs="Times New Roman"/>
          <w:b/>
          <w:bCs/>
          <w:color w:val="000000" w:themeColor="text1"/>
          <w:kern w:val="0"/>
          <w:sz w:val="21"/>
          <w:szCs w:val="21"/>
          <w:highlight w:val="yellow"/>
          <w:u w:val="single"/>
          <w:lang w:val="en-US" w:eastAsia="zh-CN" w:bidi="ar-SA"/>
          <w14:textFill>
            <w14:solidFill>
              <w14:schemeClr w14:val="tx1"/>
            </w14:solidFill>
          </w14:textFill>
        </w:rPr>
        <w:t xml:space="preserve"> 2025 </w:t>
      </w:r>
      <w:r>
        <w:rPr>
          <w:rFonts w:hint="default" w:ascii="Times New Roman" w:hAnsi="Times New Roman" w:eastAsia="宋体" w:cs="Times New Roman"/>
          <w:b/>
          <w:bCs/>
          <w:color w:val="000000" w:themeColor="text1"/>
          <w:kern w:val="0"/>
          <w:sz w:val="21"/>
          <w:szCs w:val="21"/>
          <w:highlight w:val="yellow"/>
          <w:lang w:val="en-US" w:eastAsia="zh-CN" w:bidi="ar-SA"/>
          <w14:textFill>
            <w14:solidFill>
              <w14:schemeClr w14:val="tx1"/>
            </w14:solidFill>
          </w14:textFill>
        </w:rPr>
        <w:t>年</w:t>
      </w:r>
      <w:r>
        <w:rPr>
          <w:rFonts w:hint="eastAsia" w:ascii="Times New Roman" w:hAnsi="Times New Roman" w:eastAsia="宋体" w:cs="Times New Roman"/>
          <w:b/>
          <w:bCs/>
          <w:color w:val="000000" w:themeColor="text1"/>
          <w:kern w:val="0"/>
          <w:sz w:val="21"/>
          <w:szCs w:val="21"/>
          <w:highlight w:val="yellow"/>
          <w:u w:val="single"/>
          <w:lang w:val="en-US" w:eastAsia="zh-CN" w:bidi="ar-SA"/>
          <w14:textFill>
            <w14:solidFill>
              <w14:schemeClr w14:val="tx1"/>
            </w14:solidFill>
          </w14:textFill>
        </w:rPr>
        <w:t xml:space="preserve"> 6 </w:t>
      </w:r>
      <w:r>
        <w:rPr>
          <w:rFonts w:hint="default" w:ascii="Times New Roman" w:hAnsi="Times New Roman" w:eastAsia="宋体" w:cs="Times New Roman"/>
          <w:b/>
          <w:bCs/>
          <w:color w:val="000000" w:themeColor="text1"/>
          <w:kern w:val="0"/>
          <w:sz w:val="21"/>
          <w:szCs w:val="21"/>
          <w:highlight w:val="yellow"/>
          <w:lang w:val="en-US" w:eastAsia="zh-CN" w:bidi="ar-SA"/>
          <w14:textFill>
            <w14:solidFill>
              <w14:schemeClr w14:val="tx1"/>
            </w14:solidFill>
          </w14:textFill>
        </w:rPr>
        <w:t>月</w:t>
      </w:r>
      <w:r>
        <w:rPr>
          <w:rFonts w:hint="eastAsia" w:ascii="Times New Roman" w:hAnsi="Times New Roman" w:eastAsia="宋体" w:cs="Times New Roman"/>
          <w:b/>
          <w:bCs/>
          <w:color w:val="000000" w:themeColor="text1"/>
          <w:kern w:val="0"/>
          <w:sz w:val="21"/>
          <w:szCs w:val="21"/>
          <w:highlight w:val="yellow"/>
          <w:u w:val="single"/>
          <w:lang w:val="en-US" w:eastAsia="zh-CN" w:bidi="ar-SA"/>
          <w14:textFill>
            <w14:solidFill>
              <w14:schemeClr w14:val="tx1"/>
            </w14:solidFill>
          </w14:textFill>
        </w:rPr>
        <w:t xml:space="preserve"> 24</w:t>
      </w:r>
      <w:r>
        <w:rPr>
          <w:rFonts w:hint="default" w:ascii="Times New Roman" w:hAnsi="Times New Roman" w:eastAsia="宋体" w:cs="Times New Roman"/>
          <w:b/>
          <w:bCs/>
          <w:color w:val="000000" w:themeColor="text1"/>
          <w:kern w:val="0"/>
          <w:sz w:val="21"/>
          <w:szCs w:val="21"/>
          <w:highlight w:val="yellow"/>
          <w:lang w:val="en-US" w:eastAsia="zh-CN" w:bidi="ar-SA"/>
          <w14:textFill>
            <w14:solidFill>
              <w14:schemeClr w14:val="tx1"/>
            </w14:solidFill>
          </w14:textFill>
        </w:rPr>
        <w:t>日</w:t>
      </w:r>
      <w:r>
        <w:rPr>
          <w:rFonts w:hint="eastAsia" w:ascii="Times New Roman" w:hAnsi="Times New Roman" w:eastAsia="宋体" w:cs="Times New Roman"/>
          <w:b/>
          <w:bCs/>
          <w:color w:val="000000" w:themeColor="text1"/>
          <w:kern w:val="0"/>
          <w:sz w:val="21"/>
          <w:szCs w:val="21"/>
          <w:highlight w:val="yellow"/>
          <w:u w:val="single"/>
          <w:lang w:val="en-US" w:eastAsia="zh-CN" w:bidi="ar-SA"/>
          <w14:textFill>
            <w14:solidFill>
              <w14:schemeClr w14:val="tx1"/>
            </w14:solidFill>
          </w14:textFill>
        </w:rPr>
        <w:t xml:space="preserve"> 14 </w:t>
      </w:r>
      <w:r>
        <w:rPr>
          <w:rFonts w:hint="default" w:ascii="Times New Roman" w:hAnsi="Times New Roman" w:eastAsia="宋体" w:cs="Times New Roman"/>
          <w:b/>
          <w:bCs/>
          <w:color w:val="000000" w:themeColor="text1"/>
          <w:kern w:val="0"/>
          <w:sz w:val="21"/>
          <w:szCs w:val="21"/>
          <w:highlight w:val="yellow"/>
          <w:lang w:val="en-US" w:eastAsia="zh-CN" w:bidi="ar-SA"/>
          <w14:textFill>
            <w14:solidFill>
              <w14:schemeClr w14:val="tx1"/>
            </w14:solidFill>
          </w14:textFill>
        </w:rPr>
        <w:t>时</w:t>
      </w:r>
      <w:r>
        <w:rPr>
          <w:rFonts w:hint="eastAsia" w:ascii="Times New Roman" w:hAnsi="Times New Roman" w:eastAsia="宋体" w:cs="Times New Roman"/>
          <w:b/>
          <w:bCs/>
          <w:color w:val="000000" w:themeColor="text1"/>
          <w:kern w:val="0"/>
          <w:sz w:val="21"/>
          <w:szCs w:val="21"/>
          <w:highlight w:val="yellow"/>
          <w:u w:val="single"/>
          <w:lang w:val="en-US" w:eastAsia="zh-CN" w:bidi="ar-SA"/>
          <w14:textFill>
            <w14:solidFill>
              <w14:schemeClr w14:val="tx1"/>
            </w14:solidFill>
          </w14:textFill>
        </w:rPr>
        <w:t xml:space="preserve"> 30 </w:t>
      </w:r>
      <w:r>
        <w:rPr>
          <w:rFonts w:hint="default" w:ascii="Times New Roman" w:hAnsi="Times New Roman" w:eastAsia="宋体" w:cs="Times New Roman"/>
          <w:b/>
          <w:bCs/>
          <w:color w:val="000000" w:themeColor="text1"/>
          <w:kern w:val="0"/>
          <w:sz w:val="21"/>
          <w:szCs w:val="21"/>
          <w:highlight w:val="none"/>
          <w:lang w:val="en-US" w:eastAsia="zh-CN" w:bidi="ar-SA"/>
          <w14:textFill>
            <w14:solidFill>
              <w14:schemeClr w14:val="tx1"/>
            </w14:solidFill>
          </w14:textFill>
        </w:rPr>
        <w:t>分</w:t>
      </w:r>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，供应商的法定代表人或其授权代理人应在文件递交截止时间前，将响应文件递交</w:t>
      </w:r>
      <w:r>
        <w:rPr>
          <w:rFonts w:hint="default" w:ascii="Times New Roman" w:hAnsi="Times New Roman" w:eastAsia="宋体" w:cs="Times New Roman"/>
          <w:color w:val="000000" w:themeColor="text1"/>
          <w:kern w:val="0"/>
          <w:sz w:val="21"/>
          <w:szCs w:val="21"/>
          <w:highlight w:val="none"/>
          <w:u w:val="none"/>
          <w:lang w:val="en-US" w:eastAsia="zh-CN" w:bidi="ar-SA"/>
          <w14:textFill>
            <w14:solidFill>
              <w14:schemeClr w14:val="tx1"/>
            </w14:solidFill>
          </w14:textFill>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w:t>
      </w:r>
      <w:r>
        <w:rPr>
          <w:rFonts w:hint="eastAsia" w:ascii="Times New Roman" w:hAnsi="Times New Roman" w:eastAsia="宋体" w:cs="Times New Roman"/>
          <w:color w:val="auto"/>
          <w:kern w:val="2"/>
          <w:sz w:val="21"/>
          <w:szCs w:val="21"/>
          <w:highlight w:val="none"/>
          <w:u w:val="single"/>
          <w:lang w:val="en-US" w:eastAsia="zh-CN" w:bidi="ar-SA"/>
        </w:rPr>
        <w:t>008</w:t>
      </w:r>
      <w:r>
        <w:rPr>
          <w:rFonts w:hint="default" w:ascii="Times New Roman" w:hAnsi="Times New Roman" w:eastAsia="宋体" w:cs="Times New Roman"/>
          <w:color w:val="auto"/>
          <w:kern w:val="2"/>
          <w:sz w:val="21"/>
          <w:szCs w:val="21"/>
          <w:highlight w:val="none"/>
          <w:u w:val="single"/>
          <w:lang w:val="en-US" w:eastAsia="zh-CN" w:bidi="ar-SA"/>
        </w:rPr>
        <w:t>室</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36666418">
      <w:pPr>
        <w:spacing w:line="400" w:lineRule="exact"/>
        <w:ind w:firstLine="420" w:firstLineChars="200"/>
        <w:rPr>
          <w:rFonts w:ascii="Times New Roman" w:hAnsi="Times New Roman" w:eastAsia="宋体" w:cs="Times New Roman"/>
          <w:b/>
          <w:bCs/>
          <w:szCs w:val="22"/>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r>
        <w:rPr>
          <w:rFonts w:hint="eastAsia" w:ascii="Times New Roman" w:hAnsi="Times New Roman" w:eastAsia="宋体" w:cs="Times New Roman"/>
          <w:szCs w:val="22"/>
          <w:highlight w:val="yellow"/>
        </w:rPr>
        <w:t>供应商的法定代表人应携带本人身份证原件及法定代表人身份证明书；如由授权代理人出席，则需携带本人身份证原件及授权委托书准时参加启封会议。</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pPr>
      <w:r>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响应保证金的金额：</w:t>
      </w:r>
    </w:p>
    <w:p w14:paraId="46250A5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本项目响应保证金：</w:t>
      </w:r>
      <w:r>
        <w:rPr>
          <w:rFonts w:hint="eastAsia" w:ascii="Times New Roman" w:hAnsi="Times New Roman" w:eastAsia="宋体" w:cs="Times New Roman"/>
          <w:b/>
          <w:bCs/>
          <w:color w:val="000000" w:themeColor="text1"/>
          <w:kern w:val="2"/>
          <w:sz w:val="21"/>
          <w:szCs w:val="21"/>
          <w:highlight w:val="none"/>
          <w:u w:val="single"/>
          <w:lang w:val="en-US" w:eastAsia="zh-CN" w:bidi="ar-SA"/>
          <w14:textFill>
            <w14:solidFill>
              <w14:schemeClr w14:val="tx1"/>
            </w14:solidFill>
          </w14:textFill>
        </w:rPr>
        <w:t>10000</w:t>
      </w:r>
      <w:r>
        <w:rPr>
          <w:rFonts w:hint="eastAsia"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元（大写：</w:t>
      </w:r>
      <w:r>
        <w:rPr>
          <w:rFonts w:hint="eastAsia" w:ascii="Times New Roman" w:hAnsi="Times New Roman" w:eastAsia="宋体" w:cs="Times New Roman"/>
          <w:b/>
          <w:bCs/>
          <w:color w:val="000000" w:themeColor="text1"/>
          <w:kern w:val="2"/>
          <w:sz w:val="21"/>
          <w:szCs w:val="21"/>
          <w:highlight w:val="none"/>
          <w:u w:val="single"/>
          <w:lang w:val="en-US" w:eastAsia="zh-CN" w:bidi="ar-SA"/>
          <w14:textFill>
            <w14:solidFill>
              <w14:schemeClr w14:val="tx1"/>
            </w14:solidFill>
          </w14:textFill>
        </w:rPr>
        <w:t>壹万元整</w:t>
      </w:r>
      <w:r>
        <w:rPr>
          <w:rFonts w:hint="eastAsia"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若采用电汇（转账）形式，响应保证金必须由供应商的</w:t>
      </w:r>
      <w:r>
        <w:rPr>
          <w:rFonts w:hint="eastAsia" w:ascii="宋体" w:hAnsi="宋体" w:cs="宋体"/>
          <w:color w:val="000000" w:themeColor="text1"/>
          <w:sz w:val="21"/>
          <w:szCs w:val="21"/>
          <w:highlight w:val="none"/>
          <w:lang w:val="en-US" w:eastAsia="zh-CN" w:bidi="ar"/>
          <w14:textFill>
            <w14:solidFill>
              <w14:schemeClr w14:val="tx1"/>
            </w14:solidFill>
          </w14:textFill>
        </w:rPr>
        <w:t>银行</w:t>
      </w:r>
      <w:r>
        <w:rPr>
          <w:rFonts w:hint="eastAsia" w:ascii="宋体" w:hAnsi="宋体" w:cs="宋体"/>
          <w:color w:val="000000" w:themeColor="text1"/>
          <w:sz w:val="21"/>
          <w:szCs w:val="21"/>
          <w:highlight w:val="none"/>
          <w:lang w:bidi="ar"/>
          <w14:textFill>
            <w14:solidFill>
              <w14:schemeClr w14:val="tx1"/>
            </w14:solidFill>
          </w14:textFill>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响应保证金的账户信息：</w:t>
      </w:r>
    </w:p>
    <w:p w14:paraId="737C81BC">
      <w:pPr>
        <w:spacing w:beforeLines="0" w:afterLines="0" w:line="440" w:lineRule="exact"/>
        <w:ind w:firstLine="420"/>
        <w:rPr>
          <w:rFonts w:hint="eastAsia" w:ascii="Times New Roman" w:hAnsi="Times New Roman"/>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户</w:t>
      </w:r>
      <w:r>
        <w:rPr>
          <w:rFonts w:hint="eastAsia" w:ascii="Times New Roman" w:hAnsi="Times New Roman"/>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t>名：</w:t>
      </w:r>
      <w:r>
        <w:rPr>
          <w:rFonts w:hint="eastAsia" w:ascii="Times New Roman" w:hAnsi="Times New Roman"/>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t>安徽省经工物资有限公司</w:t>
      </w:r>
    </w:p>
    <w:p w14:paraId="28E6678A">
      <w:pPr>
        <w:spacing w:beforeLines="0" w:afterLines="0" w:line="440" w:lineRule="exact"/>
        <w:ind w:firstLine="420"/>
        <w:rPr>
          <w:rFonts w:hint="eastAsia" w:ascii="Times New Roman" w:hAnsi="Times New Roman"/>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开户银行：</w:t>
      </w:r>
      <w:r>
        <w:rPr>
          <w:rFonts w:hint="eastAsia" w:ascii="Times New Roman" w:hAnsi="Times New Roman"/>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t>工行合肥蜀山支行</w:t>
      </w:r>
    </w:p>
    <w:p w14:paraId="036ABDAF">
      <w:pPr>
        <w:spacing w:beforeLines="0" w:afterLines="0" w:line="440" w:lineRule="exact"/>
        <w:ind w:firstLine="420"/>
        <w:rPr>
          <w:rFonts w:hint="eastAsia" w:ascii="Times New Roman" w:hAnsi="Times New Roman"/>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账</w:t>
      </w:r>
      <w:r>
        <w:rPr>
          <w:rFonts w:hint="eastAsia" w:ascii="Times New Roman" w:hAnsi="Times New Roman"/>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t>号：</w:t>
      </w:r>
      <w:r>
        <w:rPr>
          <w:rFonts w:hint="default" w:ascii="Times New Roman" w:hAnsi="Times New Roman"/>
          <w:color w:val="000000" w:themeColor="text1"/>
          <w:sz w:val="21"/>
          <w:szCs w:val="21"/>
          <w:highlight w:val="none"/>
          <w:lang w:bidi="ar"/>
          <w14:textFill>
            <w14:solidFill>
              <w14:schemeClr w14:val="tx1"/>
            </w14:solidFill>
          </w14:textFill>
        </w:rPr>
        <w:t>1302012119200034038</w:t>
      </w:r>
    </w:p>
    <w:p w14:paraId="661636F0">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default" w:ascii="宋体" w:hAnsi="宋体" w:eastAsia="宋体" w:cs="宋体"/>
          <w:b/>
          <w:bCs/>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付款备注：亳蒙铝单板响应保证金</w:t>
      </w:r>
    </w:p>
    <w:p w14:paraId="0687E177">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备注：</w:t>
      </w:r>
    </w:p>
    <w:p w14:paraId="5E74587D">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w:t>
      </w:r>
      <w:r>
        <w:rPr>
          <w:rFonts w:hint="default" w:ascii="Times New Roman" w:hAnsi="Times New Roman"/>
          <w:color w:val="auto"/>
          <w:sz w:val="21"/>
          <w:szCs w:val="21"/>
          <w:highlight w:val="none"/>
          <w:lang w:bidi="ar"/>
        </w:rPr>
        <w:t>1</w:t>
      </w:r>
      <w:r>
        <w:rPr>
          <w:rFonts w:hint="eastAsia" w:ascii="宋体" w:hAnsi="宋体" w:cs="宋体"/>
          <w:color w:val="auto"/>
          <w:sz w:val="21"/>
          <w:szCs w:val="21"/>
          <w:highlight w:val="none"/>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①响应保证金的到账截止时间：响应</w:t>
      </w:r>
      <w:r>
        <w:rPr>
          <w:rFonts w:hint="eastAsia" w:ascii="宋体" w:hAnsi="宋体" w:cs="宋体"/>
          <w:color w:val="auto"/>
          <w:sz w:val="21"/>
          <w:szCs w:val="21"/>
          <w:highlight w:val="none"/>
          <w:lang w:val="en-US" w:eastAsia="zh-CN" w:bidi="ar"/>
        </w:rPr>
        <w:t>文件递交</w:t>
      </w:r>
      <w:r>
        <w:rPr>
          <w:rFonts w:hint="eastAsia" w:ascii="宋体" w:hAnsi="宋体" w:cs="宋体"/>
          <w:color w:val="auto"/>
          <w:sz w:val="21"/>
          <w:szCs w:val="21"/>
          <w:highlight w:val="none"/>
          <w:lang w:bidi="ar"/>
        </w:rPr>
        <w:t>截止时间。</w:t>
      </w:r>
    </w:p>
    <w:p w14:paraId="22D83E34">
      <w:pPr>
        <w:spacing w:beforeLines="0" w:afterLines="0" w:line="440" w:lineRule="exact"/>
        <w:ind w:firstLine="42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②供应商账户汇入到上述账户，采购人不接受以个人名义或以现金形式提交的响应保证金。</w:t>
      </w:r>
    </w:p>
    <w:p w14:paraId="2C0ACECA">
      <w:pPr>
        <w:numPr>
          <w:ilvl w:val="0"/>
          <w:numId w:val="3"/>
        </w:numPr>
        <w:spacing w:line="440" w:lineRule="exact"/>
        <w:ind w:firstLine="420"/>
        <w:rPr>
          <w:rFonts w:hint="eastAsia" w:ascii="宋体" w:hAnsi="宋体" w:cs="宋体"/>
          <w:color w:val="auto"/>
          <w:sz w:val="21"/>
          <w:szCs w:val="21"/>
          <w:highlight w:val="none"/>
          <w:lang w:bidi="ar"/>
        </w:rPr>
      </w:pPr>
      <w:r>
        <w:rPr>
          <w:rFonts w:hint="eastAsia" w:ascii="宋体" w:hAnsi="宋体" w:cs="宋体"/>
          <w:color w:val="auto"/>
          <w:sz w:val="21"/>
          <w:szCs w:val="21"/>
          <w:highlight w:val="yellow"/>
          <w:lang w:bidi="ar"/>
        </w:rPr>
        <w:t>履约保证金：中标公示后，在合同签订前，乙方需向甲方支付合同总价2%的履约保证金或提供合同总价5%的银行保函。</w:t>
      </w:r>
    </w:p>
    <w:p w14:paraId="3ECB276B">
      <w:pPr>
        <w:numPr>
          <w:ilvl w:val="0"/>
          <w:numId w:val="3"/>
        </w:numPr>
        <w:spacing w:line="440" w:lineRule="exact"/>
        <w:ind w:firstLine="420"/>
        <w:rPr>
          <w:rFonts w:hint="eastAsia" w:ascii="宋体" w:hAnsi="宋体" w:cs="宋体"/>
          <w:color w:val="auto"/>
          <w:sz w:val="21"/>
          <w:szCs w:val="21"/>
          <w:highlight w:val="yellow"/>
          <w:lang w:bidi="ar"/>
        </w:rPr>
      </w:pPr>
      <w:r>
        <w:rPr>
          <w:rFonts w:hint="eastAsia" w:ascii="宋体" w:hAnsi="宋体" w:cs="宋体"/>
          <w:color w:val="auto"/>
          <w:sz w:val="21"/>
          <w:szCs w:val="21"/>
          <w:highlight w:val="yellow"/>
          <w:lang w:val="en-US" w:eastAsia="zh-CN" w:bidi="ar"/>
        </w:rPr>
        <w:t>已提交响应保证金的供应商，无需二次提交。</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3F36708D">
      <w:pPr>
        <w:snapToGrid w:val="0"/>
        <w:spacing w:beforeLines="0" w:afterLines="0" w:line="440" w:lineRule="exact"/>
        <w:ind w:firstLine="420" w:firstLineChars="200"/>
        <w:rPr>
          <w:rFonts w:hint="eastAsia" w:ascii="Times New Roman" w:hAnsi="Times New Roman"/>
          <w:color w:val="auto"/>
          <w:sz w:val="21"/>
          <w:szCs w:val="22"/>
          <w:highlight w:val="none"/>
        </w:rPr>
      </w:pPr>
      <w:bookmarkStart w:id="29" w:name="_Toc26829"/>
      <w:bookmarkStart w:id="30" w:name="_Toc525632592"/>
      <w:bookmarkStart w:id="31" w:name="_Toc14943_WPSOffice_Level2"/>
      <w:bookmarkStart w:id="32" w:name="_Toc8501"/>
      <w:bookmarkStart w:id="33" w:name="_Toc28571_WPSOffice_Level2"/>
      <w:bookmarkStart w:id="34" w:name="_Toc321_WPSOffice_Level2"/>
      <w:bookmarkStart w:id="35" w:name="_Toc20572_WPSOffice_Level2"/>
      <w:r>
        <w:rPr>
          <w:rFonts w:hint="eastAsia" w:ascii="Times New Roman" w:hAnsi="Times New Roman"/>
          <w:color w:val="auto"/>
          <w:sz w:val="21"/>
          <w:szCs w:val="22"/>
          <w:highlight w:val="none"/>
        </w:rPr>
        <w:t>本次采购公告在“ 安徽交控建设工程集团</w:t>
      </w:r>
      <w:r>
        <w:rPr>
          <w:rFonts w:hint="eastAsia" w:ascii="Times New Roman" w:hAnsi="Times New Roman"/>
          <w:color w:val="auto"/>
          <w:sz w:val="21"/>
          <w:szCs w:val="22"/>
          <w:highlight w:val="none"/>
          <w:lang w:val="en-US" w:eastAsia="zh-CN"/>
        </w:rPr>
        <w:t>有限公司</w:t>
      </w:r>
      <w:r>
        <w:rPr>
          <w:rFonts w:hint="eastAsia" w:ascii="Times New Roman" w:hAnsi="Times New Roman"/>
          <w:color w:val="auto"/>
          <w:sz w:val="21"/>
          <w:szCs w:val="22"/>
          <w:highlight w:val="none"/>
        </w:rPr>
        <w:t>”（网址：http://www.ahjggroup.com）“招标公告”栏目中发布。</w:t>
      </w:r>
    </w:p>
    <w:p w14:paraId="59565F43">
      <w:pPr>
        <w:snapToGrid w:val="0"/>
        <w:spacing w:beforeLines="0" w:afterLines="0" w:line="440" w:lineRule="exact"/>
        <w:ind w:firstLine="420" w:firstLineChars="200"/>
        <w:rPr>
          <w:rFonts w:hint="eastAsia" w:ascii="Times New Roman" w:hAnsi="Times New Roman"/>
          <w:color w:val="auto"/>
          <w:sz w:val="21"/>
          <w:szCs w:val="22"/>
          <w:highlight w:val="none"/>
        </w:rPr>
      </w:pP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采 购 人：</w:t>
      </w:r>
      <w:r>
        <w:rPr>
          <w:rFonts w:hint="eastAsia" w:ascii="Times New Roman" w:hAnsi="Times New Roman" w:eastAsia="宋体" w:cs="Times New Roman"/>
          <w:color w:val="auto"/>
          <w:sz w:val="21"/>
          <w:szCs w:val="21"/>
          <w:highlight w:val="none"/>
          <w:lang w:val="en-US" w:eastAsia="zh-CN"/>
        </w:rPr>
        <w:t>安徽省经工物资有限公司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kern w:val="2"/>
          <w:sz w:val="21"/>
          <w:szCs w:val="21"/>
          <w:highlight w:val="none"/>
        </w:rPr>
        <w:t>安徽省合肥市包河区西藏路1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号高速时代广场C1栋</w:t>
      </w:r>
      <w:r>
        <w:rPr>
          <w:rFonts w:hint="default" w:ascii="Times New Roman" w:hAnsi="Times New Roman" w:eastAsia="宋体" w:cs="Times New Roman"/>
          <w:color w:val="auto"/>
          <w:kern w:val="2"/>
          <w:sz w:val="21"/>
          <w:szCs w:val="21"/>
          <w:highlight w:val="none"/>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10"/>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10"/>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67DD1B2B">
      <w:pPr>
        <w:pStyle w:val="3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15B7336">
      <w:pPr>
        <w:pStyle w:val="35"/>
        <w:jc w:val="both"/>
        <w:rPr>
          <w:rFonts w:hint="eastAsia" w:ascii="宋体" w:hAnsi="宋体" w:eastAsia="宋体" w:cs="宋体"/>
          <w:color w:val="auto"/>
          <w:sz w:val="21"/>
          <w:szCs w:val="21"/>
          <w:highlight w:val="none"/>
        </w:rPr>
      </w:pPr>
    </w:p>
    <w:p w14:paraId="64659C16">
      <w:pPr>
        <w:pStyle w:val="35"/>
        <w:jc w:val="both"/>
        <w:rPr>
          <w:rFonts w:hint="eastAsia" w:ascii="宋体" w:hAnsi="宋体" w:eastAsia="宋体" w:cs="宋体"/>
          <w:color w:val="auto"/>
          <w:sz w:val="21"/>
          <w:szCs w:val="21"/>
          <w:highlight w:val="none"/>
        </w:rPr>
      </w:pPr>
    </w:p>
    <w:p w14:paraId="07C64947">
      <w:pPr>
        <w:pStyle w:val="35"/>
        <w:jc w:val="both"/>
        <w:rPr>
          <w:rFonts w:hint="eastAsia" w:ascii="宋体" w:hAnsi="宋体" w:eastAsia="宋体" w:cs="宋体"/>
          <w:color w:val="auto"/>
          <w:sz w:val="21"/>
          <w:szCs w:val="21"/>
          <w:highlight w:val="none"/>
        </w:rPr>
      </w:pPr>
    </w:p>
    <w:p w14:paraId="34DA6046">
      <w:pPr>
        <w:pStyle w:val="35"/>
        <w:jc w:val="both"/>
        <w:rPr>
          <w:rFonts w:hint="eastAsia" w:ascii="宋体" w:hAnsi="宋体" w:eastAsia="宋体" w:cs="宋体"/>
          <w:color w:val="auto"/>
          <w:sz w:val="21"/>
          <w:szCs w:val="21"/>
          <w:highlight w:val="none"/>
        </w:rPr>
      </w:pPr>
    </w:p>
    <w:p w14:paraId="29E08280">
      <w:pPr>
        <w:pStyle w:val="35"/>
        <w:jc w:val="both"/>
        <w:rPr>
          <w:rFonts w:hint="eastAsia" w:ascii="宋体" w:hAnsi="宋体" w:eastAsia="宋体" w:cs="宋体"/>
          <w:color w:val="auto"/>
          <w:sz w:val="21"/>
          <w:szCs w:val="21"/>
          <w:highlight w:val="none"/>
        </w:rPr>
      </w:pPr>
    </w:p>
    <w:p w14:paraId="3585E9B0">
      <w:pPr>
        <w:pStyle w:val="35"/>
        <w:jc w:val="both"/>
        <w:rPr>
          <w:rFonts w:hint="eastAsia" w:ascii="宋体" w:hAnsi="宋体" w:eastAsia="宋体" w:cs="宋体"/>
          <w:color w:val="auto"/>
          <w:sz w:val="21"/>
          <w:szCs w:val="21"/>
          <w:highlight w:val="none"/>
        </w:rPr>
      </w:pPr>
    </w:p>
    <w:p w14:paraId="4649E476">
      <w:pPr>
        <w:pStyle w:val="35"/>
        <w:jc w:val="both"/>
        <w:rPr>
          <w:rFonts w:hint="eastAsia" w:ascii="宋体" w:hAnsi="宋体" w:eastAsia="宋体" w:cs="宋体"/>
          <w:color w:val="auto"/>
          <w:sz w:val="21"/>
          <w:szCs w:val="21"/>
          <w:highlight w:val="none"/>
        </w:rPr>
      </w:pPr>
    </w:p>
    <w:p w14:paraId="2198F814">
      <w:pPr>
        <w:pStyle w:val="35"/>
        <w:jc w:val="both"/>
        <w:rPr>
          <w:rFonts w:hint="eastAsia" w:ascii="宋体" w:hAnsi="宋体" w:eastAsia="宋体" w:cs="宋体"/>
          <w:color w:val="auto"/>
          <w:sz w:val="21"/>
          <w:szCs w:val="21"/>
          <w:highlight w:val="none"/>
        </w:rPr>
      </w:pPr>
    </w:p>
    <w:p w14:paraId="388D5946">
      <w:pPr>
        <w:pStyle w:val="35"/>
        <w:jc w:val="both"/>
        <w:rPr>
          <w:rFonts w:hint="eastAsia" w:ascii="宋体" w:hAnsi="宋体" w:eastAsia="宋体" w:cs="宋体"/>
          <w:color w:val="auto"/>
          <w:sz w:val="21"/>
          <w:szCs w:val="21"/>
          <w:highlight w:val="none"/>
        </w:rPr>
      </w:pPr>
    </w:p>
    <w:p w14:paraId="507D6DE9">
      <w:pPr>
        <w:pStyle w:val="35"/>
        <w:jc w:val="both"/>
        <w:rPr>
          <w:rFonts w:hint="eastAsia" w:ascii="宋体" w:hAnsi="宋体" w:eastAsia="宋体" w:cs="宋体"/>
          <w:color w:val="auto"/>
          <w:sz w:val="21"/>
          <w:szCs w:val="21"/>
          <w:highlight w:val="none"/>
        </w:rPr>
      </w:pPr>
    </w:p>
    <w:p w14:paraId="0F7AB1C8">
      <w:pPr>
        <w:pStyle w:val="35"/>
        <w:jc w:val="both"/>
        <w:rPr>
          <w:rFonts w:hint="eastAsia" w:ascii="宋体" w:hAnsi="宋体" w:eastAsia="宋体" w:cs="宋体"/>
          <w:color w:val="auto"/>
          <w:sz w:val="21"/>
          <w:szCs w:val="21"/>
          <w:highlight w:val="none"/>
        </w:rPr>
      </w:pPr>
    </w:p>
    <w:p w14:paraId="77F64585">
      <w:pPr>
        <w:pStyle w:val="35"/>
        <w:jc w:val="both"/>
        <w:rPr>
          <w:rFonts w:hint="eastAsia" w:ascii="宋体" w:hAnsi="宋体" w:eastAsia="宋体" w:cs="宋体"/>
          <w:color w:val="auto"/>
          <w:sz w:val="21"/>
          <w:szCs w:val="21"/>
          <w:highlight w:val="none"/>
        </w:rPr>
      </w:pPr>
    </w:p>
    <w:p w14:paraId="2F35C518">
      <w:pPr>
        <w:pStyle w:val="35"/>
        <w:jc w:val="both"/>
        <w:rPr>
          <w:rFonts w:hint="eastAsia" w:ascii="宋体" w:hAnsi="宋体" w:eastAsia="宋体" w:cs="宋体"/>
          <w:color w:val="auto"/>
          <w:sz w:val="21"/>
          <w:szCs w:val="21"/>
          <w:highlight w:val="none"/>
        </w:rPr>
      </w:pPr>
    </w:p>
    <w:p w14:paraId="5B955243">
      <w:pPr>
        <w:pStyle w:val="35"/>
        <w:jc w:val="both"/>
        <w:rPr>
          <w:rFonts w:hint="eastAsia" w:ascii="宋体" w:hAnsi="宋体" w:eastAsia="宋体" w:cs="宋体"/>
          <w:color w:val="auto"/>
          <w:sz w:val="21"/>
          <w:szCs w:val="21"/>
          <w:highlight w:val="none"/>
        </w:rPr>
      </w:pPr>
    </w:p>
    <w:p w14:paraId="178BF362">
      <w:pPr>
        <w:pStyle w:val="35"/>
        <w:jc w:val="both"/>
        <w:rPr>
          <w:rFonts w:hint="eastAsia" w:ascii="宋体" w:hAnsi="宋体" w:eastAsia="宋体" w:cs="宋体"/>
          <w:color w:val="auto"/>
          <w:sz w:val="21"/>
          <w:szCs w:val="21"/>
          <w:highlight w:val="none"/>
        </w:rPr>
      </w:pPr>
    </w:p>
    <w:p w14:paraId="6615E05D">
      <w:pPr>
        <w:pStyle w:val="35"/>
        <w:jc w:val="both"/>
        <w:rPr>
          <w:rFonts w:hint="eastAsia" w:ascii="宋体" w:hAnsi="宋体" w:eastAsia="宋体" w:cs="宋体"/>
          <w:color w:val="auto"/>
          <w:sz w:val="21"/>
          <w:szCs w:val="21"/>
          <w:highlight w:val="none"/>
        </w:rPr>
      </w:pPr>
    </w:p>
    <w:p w14:paraId="1300C25D">
      <w:pPr>
        <w:pStyle w:val="35"/>
        <w:jc w:val="both"/>
        <w:rPr>
          <w:rFonts w:hint="eastAsia" w:ascii="宋体" w:hAnsi="宋体" w:eastAsia="宋体" w:cs="宋体"/>
          <w:color w:val="auto"/>
          <w:sz w:val="21"/>
          <w:szCs w:val="21"/>
          <w:highlight w:val="none"/>
        </w:rPr>
      </w:pPr>
    </w:p>
    <w:p w14:paraId="778E82CA">
      <w:pPr>
        <w:pStyle w:val="35"/>
        <w:jc w:val="both"/>
        <w:rPr>
          <w:rFonts w:hint="eastAsia" w:ascii="宋体" w:hAnsi="宋体" w:eastAsia="宋体" w:cs="宋体"/>
          <w:color w:val="auto"/>
          <w:sz w:val="21"/>
          <w:szCs w:val="21"/>
          <w:highlight w:val="none"/>
        </w:rPr>
      </w:pPr>
    </w:p>
    <w:p w14:paraId="36C0BA1D">
      <w:pPr>
        <w:pStyle w:val="35"/>
        <w:jc w:val="both"/>
        <w:rPr>
          <w:rFonts w:hint="eastAsia" w:ascii="宋体" w:hAnsi="宋体" w:eastAsia="宋体" w:cs="宋体"/>
          <w:color w:val="auto"/>
          <w:sz w:val="21"/>
          <w:szCs w:val="21"/>
          <w:highlight w:val="none"/>
        </w:rPr>
      </w:pPr>
    </w:p>
    <w:p w14:paraId="125E65BB">
      <w:pPr>
        <w:pStyle w:val="35"/>
        <w:jc w:val="both"/>
        <w:rPr>
          <w:rFonts w:hint="eastAsia" w:ascii="宋体" w:hAnsi="宋体" w:eastAsia="宋体" w:cs="宋体"/>
          <w:color w:val="auto"/>
          <w:sz w:val="21"/>
          <w:szCs w:val="21"/>
          <w:highlight w:val="none"/>
        </w:rPr>
      </w:pPr>
    </w:p>
    <w:p w14:paraId="698BE024">
      <w:pPr>
        <w:pStyle w:val="35"/>
        <w:jc w:val="both"/>
        <w:rPr>
          <w:rFonts w:hint="eastAsia" w:ascii="宋体" w:hAnsi="宋体" w:eastAsia="宋体" w:cs="宋体"/>
          <w:color w:val="auto"/>
          <w:sz w:val="21"/>
          <w:szCs w:val="21"/>
          <w:highlight w:val="none"/>
        </w:rPr>
      </w:pPr>
    </w:p>
    <w:p w14:paraId="18638F2E">
      <w:pPr>
        <w:pStyle w:val="35"/>
        <w:jc w:val="both"/>
        <w:rPr>
          <w:rFonts w:hint="eastAsia" w:ascii="宋体" w:hAnsi="宋体" w:eastAsia="宋体" w:cs="宋体"/>
          <w:color w:val="auto"/>
          <w:sz w:val="21"/>
          <w:szCs w:val="21"/>
          <w:highlight w:val="none"/>
        </w:rPr>
      </w:pPr>
    </w:p>
    <w:p w14:paraId="123BF054">
      <w:pPr>
        <w:pStyle w:val="35"/>
        <w:jc w:val="both"/>
        <w:rPr>
          <w:rFonts w:hint="eastAsia" w:ascii="宋体" w:hAnsi="宋体" w:eastAsia="宋体" w:cs="宋体"/>
          <w:color w:val="auto"/>
          <w:sz w:val="21"/>
          <w:szCs w:val="21"/>
          <w:highlight w:val="none"/>
        </w:rPr>
      </w:pPr>
    </w:p>
    <w:p w14:paraId="2E2FD771">
      <w:pPr>
        <w:pStyle w:val="35"/>
        <w:jc w:val="both"/>
        <w:rPr>
          <w:rFonts w:hint="eastAsia" w:ascii="宋体" w:hAnsi="宋体" w:eastAsia="宋体" w:cs="宋体"/>
          <w:color w:val="auto"/>
          <w:sz w:val="21"/>
          <w:szCs w:val="21"/>
          <w:highlight w:val="none"/>
        </w:rPr>
      </w:pPr>
    </w:p>
    <w:p w14:paraId="20DAE42B">
      <w:pPr>
        <w:pStyle w:val="35"/>
        <w:jc w:val="both"/>
        <w:rPr>
          <w:rFonts w:hint="eastAsia" w:ascii="宋体" w:hAnsi="宋体" w:eastAsia="宋体" w:cs="宋体"/>
          <w:color w:val="auto"/>
          <w:sz w:val="21"/>
          <w:szCs w:val="21"/>
          <w:highlight w:val="none"/>
        </w:rPr>
      </w:pPr>
    </w:p>
    <w:p w14:paraId="1F87839C">
      <w:pPr>
        <w:pStyle w:val="35"/>
        <w:jc w:val="both"/>
        <w:rPr>
          <w:rFonts w:hint="eastAsia" w:ascii="宋体" w:hAnsi="宋体" w:eastAsia="宋体" w:cs="宋体"/>
          <w:color w:val="auto"/>
          <w:sz w:val="21"/>
          <w:szCs w:val="21"/>
          <w:highlight w:val="none"/>
        </w:rPr>
      </w:pPr>
    </w:p>
    <w:p w14:paraId="6DC28AEA">
      <w:pPr>
        <w:pStyle w:val="35"/>
        <w:jc w:val="both"/>
        <w:rPr>
          <w:rFonts w:hint="eastAsia" w:ascii="宋体" w:hAnsi="宋体" w:eastAsia="宋体" w:cs="宋体"/>
          <w:color w:val="auto"/>
          <w:sz w:val="21"/>
          <w:szCs w:val="21"/>
          <w:highlight w:val="none"/>
        </w:rPr>
      </w:pPr>
    </w:p>
    <w:p w14:paraId="0E5BB69E">
      <w:pPr>
        <w:pStyle w:val="35"/>
        <w:jc w:val="both"/>
        <w:rPr>
          <w:rFonts w:hint="eastAsia" w:ascii="宋体" w:hAnsi="宋体" w:eastAsia="宋体" w:cs="宋体"/>
          <w:color w:val="auto"/>
          <w:sz w:val="21"/>
          <w:szCs w:val="21"/>
          <w:highlight w:val="none"/>
        </w:rPr>
      </w:pPr>
    </w:p>
    <w:p w14:paraId="03893DD4">
      <w:pPr>
        <w:pStyle w:val="35"/>
        <w:jc w:val="both"/>
        <w:rPr>
          <w:rFonts w:hint="eastAsia" w:ascii="宋体" w:hAnsi="宋体" w:eastAsia="宋体" w:cs="宋体"/>
          <w:color w:val="auto"/>
          <w:sz w:val="21"/>
          <w:szCs w:val="21"/>
          <w:highlight w:val="none"/>
        </w:rPr>
      </w:pPr>
    </w:p>
    <w:p w14:paraId="285C16AC">
      <w:pPr>
        <w:pStyle w:val="35"/>
        <w:jc w:val="both"/>
        <w:rPr>
          <w:rFonts w:hint="eastAsia" w:ascii="宋体" w:hAnsi="宋体" w:eastAsia="宋体" w:cs="宋体"/>
          <w:color w:val="auto"/>
          <w:sz w:val="21"/>
          <w:szCs w:val="21"/>
          <w:highlight w:val="none"/>
        </w:rPr>
      </w:pPr>
    </w:p>
    <w:p w14:paraId="6C4707EC">
      <w:pPr>
        <w:pStyle w:val="35"/>
        <w:jc w:val="both"/>
        <w:rPr>
          <w:rFonts w:hint="eastAsia" w:ascii="宋体" w:hAnsi="宋体" w:eastAsia="宋体" w:cs="宋体"/>
          <w:color w:val="auto"/>
          <w:sz w:val="21"/>
          <w:szCs w:val="21"/>
          <w:highlight w:val="none"/>
        </w:rPr>
      </w:pPr>
    </w:p>
    <w:p w14:paraId="5CD583AF">
      <w:pPr>
        <w:pStyle w:val="35"/>
        <w:jc w:val="both"/>
        <w:rPr>
          <w:rFonts w:hint="eastAsia" w:ascii="宋体" w:hAnsi="宋体" w:eastAsia="宋体" w:cs="宋体"/>
          <w:color w:val="auto"/>
          <w:sz w:val="21"/>
          <w:szCs w:val="21"/>
          <w:highlight w:val="none"/>
        </w:rPr>
      </w:pPr>
    </w:p>
    <w:p w14:paraId="4AE8F829">
      <w:pPr>
        <w:pStyle w:val="35"/>
        <w:jc w:val="both"/>
        <w:rPr>
          <w:rFonts w:hint="eastAsia" w:ascii="宋体" w:hAnsi="宋体" w:eastAsia="宋体" w:cs="宋体"/>
          <w:color w:val="auto"/>
          <w:sz w:val="21"/>
          <w:szCs w:val="21"/>
          <w:highlight w:val="none"/>
        </w:rPr>
      </w:pPr>
    </w:p>
    <w:p w14:paraId="2FF5CF14">
      <w:pPr>
        <w:pStyle w:val="35"/>
        <w:jc w:val="both"/>
        <w:rPr>
          <w:rFonts w:hint="eastAsia" w:ascii="宋体" w:hAnsi="宋体" w:eastAsia="宋体" w:cs="宋体"/>
          <w:color w:val="auto"/>
          <w:sz w:val="21"/>
          <w:szCs w:val="21"/>
          <w:highlight w:val="none"/>
        </w:rPr>
      </w:pPr>
    </w:p>
    <w:p w14:paraId="24EB2EA2">
      <w:pPr>
        <w:pStyle w:val="2"/>
        <w:spacing w:before="312" w:after="312"/>
        <w:rPr>
          <w:rFonts w:ascii="Times New Roman" w:hAnsi="Times New Roman" w:eastAsia="宋体" w:cs="Times New Roman"/>
          <w:color w:val="auto"/>
          <w:highlight w:val="none"/>
        </w:rPr>
      </w:pPr>
      <w:bookmarkStart w:id="36" w:name="_Toc29064"/>
      <w:r>
        <w:rPr>
          <w:rFonts w:ascii="Times New Roman" w:hAnsi="Times New Roman" w:eastAsia="宋体" w:cs="Times New Roman"/>
          <w:color w:val="auto"/>
          <w:highlight w:val="none"/>
        </w:rPr>
        <w:t>供应商须知</w:t>
      </w:r>
      <w:bookmarkEnd w:id="36"/>
    </w:p>
    <w:p w14:paraId="75B22214">
      <w:pPr>
        <w:spacing w:line="440" w:lineRule="exact"/>
        <w:jc w:val="center"/>
        <w:outlineLvl w:val="1"/>
        <w:rPr>
          <w:rFonts w:ascii="Times New Roman" w:hAnsi="Times New Roman" w:eastAsia="黑体" w:cs="Times New Roman"/>
          <w:color w:val="auto"/>
          <w:sz w:val="28"/>
          <w:szCs w:val="28"/>
          <w:highlight w:val="none"/>
        </w:rPr>
      </w:pPr>
      <w:bookmarkStart w:id="37" w:name="_Toc16069"/>
      <w:bookmarkStart w:id="38" w:name="_Toc26656928"/>
      <w:bookmarkStart w:id="39" w:name="_Toc19501"/>
      <w:bookmarkStart w:id="40" w:name="_Toc29381_WPSOffice_Level2"/>
      <w:bookmarkStart w:id="41" w:name="_Toc55466811"/>
      <w:r>
        <w:rPr>
          <w:rFonts w:ascii="Times New Roman" w:hAnsi="Times New Roman" w:eastAsia="黑体" w:cs="Times New Roman"/>
          <w:color w:val="auto"/>
          <w:sz w:val="28"/>
          <w:szCs w:val="28"/>
          <w:highlight w:val="none"/>
        </w:rPr>
        <w:t>供应商须知前附表</w:t>
      </w:r>
      <w:bookmarkEnd w:id="37"/>
      <w:bookmarkEnd w:id="38"/>
      <w:bookmarkEnd w:id="39"/>
      <w:bookmarkEnd w:id="40"/>
      <w:bookmarkEnd w:id="41"/>
    </w:p>
    <w:tbl>
      <w:tblPr>
        <w:tblStyle w:val="23"/>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1755"/>
        <w:gridCol w:w="6785"/>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1755"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785"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1</w:t>
            </w:r>
          </w:p>
        </w:tc>
        <w:tc>
          <w:tcPr>
            <w:tcW w:w="1755"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785"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2</w:t>
            </w:r>
          </w:p>
        </w:tc>
        <w:tc>
          <w:tcPr>
            <w:tcW w:w="1755"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招标代理机构</w:t>
            </w:r>
          </w:p>
        </w:tc>
        <w:tc>
          <w:tcPr>
            <w:tcW w:w="6785"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3</w:t>
            </w:r>
          </w:p>
        </w:tc>
        <w:tc>
          <w:tcPr>
            <w:tcW w:w="1755"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785"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4</w:t>
            </w:r>
          </w:p>
        </w:tc>
        <w:tc>
          <w:tcPr>
            <w:tcW w:w="1755"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785"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5</w:t>
            </w:r>
          </w:p>
        </w:tc>
        <w:tc>
          <w:tcPr>
            <w:tcW w:w="1755"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785"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6</w:t>
            </w:r>
          </w:p>
        </w:tc>
        <w:tc>
          <w:tcPr>
            <w:tcW w:w="1755"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785"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7</w:t>
            </w:r>
          </w:p>
        </w:tc>
        <w:tc>
          <w:tcPr>
            <w:tcW w:w="1755"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785"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8</w:t>
            </w:r>
          </w:p>
        </w:tc>
        <w:tc>
          <w:tcPr>
            <w:tcW w:w="1755"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785"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9</w:t>
            </w:r>
          </w:p>
        </w:tc>
        <w:tc>
          <w:tcPr>
            <w:tcW w:w="1755"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785"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highlight w:val="none"/>
                <w:u w:val="none"/>
                <w:lang w:val="en-US" w:eastAsia="zh-CN" w:bidi="ar"/>
              </w:rPr>
              <w:t>10</w:t>
            </w:r>
          </w:p>
        </w:tc>
        <w:tc>
          <w:tcPr>
            <w:tcW w:w="1755"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785"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11</w:t>
            </w:r>
          </w:p>
        </w:tc>
        <w:tc>
          <w:tcPr>
            <w:tcW w:w="1755" w:type="dxa"/>
            <w:vAlign w:val="center"/>
          </w:tcPr>
          <w:p w14:paraId="68540773">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是否接受联合体投标</w:t>
            </w:r>
          </w:p>
        </w:tc>
        <w:tc>
          <w:tcPr>
            <w:tcW w:w="6785"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12</w:t>
            </w:r>
          </w:p>
        </w:tc>
        <w:tc>
          <w:tcPr>
            <w:tcW w:w="1755"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785"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13</w:t>
            </w:r>
          </w:p>
        </w:tc>
        <w:tc>
          <w:tcPr>
            <w:tcW w:w="1755"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投标预备会</w:t>
            </w:r>
          </w:p>
        </w:tc>
        <w:tc>
          <w:tcPr>
            <w:tcW w:w="6785"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14</w:t>
            </w:r>
          </w:p>
        </w:tc>
        <w:tc>
          <w:tcPr>
            <w:tcW w:w="1755"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785"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15</w:t>
            </w:r>
          </w:p>
        </w:tc>
        <w:tc>
          <w:tcPr>
            <w:tcW w:w="1755"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785"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16</w:t>
            </w:r>
          </w:p>
        </w:tc>
        <w:tc>
          <w:tcPr>
            <w:tcW w:w="1755"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785"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17</w:t>
            </w:r>
          </w:p>
        </w:tc>
        <w:tc>
          <w:tcPr>
            <w:tcW w:w="1755"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785"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9"/>
                <w:rFonts w:hint="eastAsia" w:ascii="宋体" w:hAnsi="宋体" w:eastAsia="宋体" w:cs="宋体"/>
                <w:bCs/>
                <w:color w:val="auto"/>
                <w:sz w:val="22"/>
                <w:szCs w:val="22"/>
                <w:highlight w:val="none"/>
                <w:lang w:bidi="ar"/>
              </w:rPr>
              <w:t>允许有利于</w:t>
            </w:r>
            <w:r>
              <w:rPr>
                <w:rStyle w:val="49"/>
                <w:rFonts w:hint="eastAsia" w:ascii="宋体" w:hAnsi="宋体" w:eastAsia="宋体" w:cs="宋体"/>
                <w:bCs/>
                <w:color w:val="auto"/>
                <w:sz w:val="22"/>
                <w:szCs w:val="22"/>
                <w:highlight w:val="none"/>
                <w:lang w:eastAsia="zh-CN" w:bidi="ar"/>
              </w:rPr>
              <w:t>采购人</w:t>
            </w:r>
            <w:r>
              <w:rPr>
                <w:rStyle w:val="49"/>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18</w:t>
            </w:r>
          </w:p>
        </w:tc>
        <w:tc>
          <w:tcPr>
            <w:tcW w:w="1755"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785"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19</w:t>
            </w:r>
          </w:p>
        </w:tc>
        <w:tc>
          <w:tcPr>
            <w:tcW w:w="1755"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785" w:type="dxa"/>
            <w:vAlign w:val="center"/>
          </w:tcPr>
          <w:p w14:paraId="580C117B">
            <w:pPr>
              <w:pStyle w:val="43"/>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1755"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785" w:type="dxa"/>
            <w:vAlign w:val="center"/>
          </w:tcPr>
          <w:p w14:paraId="652E8F59">
            <w:pPr>
              <w:pStyle w:val="43"/>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安徽交控建设工程集团</w:t>
            </w:r>
            <w:r>
              <w:rPr>
                <w:rFonts w:hint="eastAsia" w:cs="宋体"/>
                <w:color w:val="auto"/>
                <w:sz w:val="22"/>
                <w:szCs w:val="22"/>
                <w:highlight w:val="none"/>
                <w:lang w:val="en-US" w:eastAsia="zh-CN"/>
              </w:rPr>
              <w:t>有限公司</w:t>
            </w:r>
            <w:r>
              <w:rPr>
                <w:rFonts w:hint="eastAsia" w:ascii="宋体" w:hAnsi="宋体" w:eastAsia="宋体" w:cs="宋体"/>
                <w:color w:val="auto"/>
                <w:sz w:val="22"/>
                <w:szCs w:val="22"/>
                <w:highlight w:val="none"/>
              </w:rPr>
              <w:t>”（网址：http://www.ahjggroup.com）“招标公告”栏目</w:t>
            </w:r>
            <w:r>
              <w:rPr>
                <w:rFonts w:hint="eastAsia" w:ascii="宋体" w:hAnsi="宋体" w:eastAsia="宋体" w:cs="宋体"/>
                <w:color w:val="auto"/>
                <w:sz w:val="22"/>
                <w:szCs w:val="22"/>
                <w:highlight w:val="none"/>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20</w:t>
            </w:r>
          </w:p>
        </w:tc>
        <w:tc>
          <w:tcPr>
            <w:tcW w:w="1755"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785"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auto"/>
                <w:sz w:val="22"/>
                <w:szCs w:val="22"/>
                <w:highlight w:val="none"/>
                <w:lang w:eastAsia="zh-CN"/>
              </w:rPr>
              <w:t xml:space="preserve"> 安徽交控建设工程集团</w:t>
            </w:r>
            <w:r>
              <w:rPr>
                <w:rFonts w:hint="eastAsia" w:ascii="宋体" w:hAnsi="宋体" w:eastAsia="宋体" w:cs="宋体"/>
                <w:color w:val="auto"/>
                <w:sz w:val="22"/>
                <w:szCs w:val="22"/>
                <w:highlight w:val="none"/>
                <w:lang w:val="en-US" w:eastAsia="zh-CN"/>
              </w:rPr>
              <w:t>有限公司</w:t>
            </w:r>
            <w:r>
              <w:rPr>
                <w:rFonts w:hint="eastAsia" w:ascii="宋体" w:hAnsi="宋体" w:eastAsia="宋体" w:cs="宋体"/>
                <w:color w:val="auto"/>
                <w:sz w:val="22"/>
                <w:szCs w:val="22"/>
                <w:highlight w:val="none"/>
              </w:rPr>
              <w:t>”（网址：http://www.ahjggroup.com）“招标公告”栏目</w:t>
            </w:r>
            <w:r>
              <w:rPr>
                <w:rFonts w:hint="eastAsia" w:ascii="宋体" w:hAnsi="宋体" w:eastAsia="宋体" w:cs="宋体"/>
                <w:color w:val="auto"/>
                <w:sz w:val="22"/>
                <w:szCs w:val="22"/>
                <w:highlight w:val="none"/>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1755"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785" w:type="dxa"/>
            <w:vAlign w:val="center"/>
          </w:tcPr>
          <w:p w14:paraId="042C5927">
            <w:pPr>
              <w:pStyle w:val="43"/>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auto"/>
                <w:sz w:val="22"/>
                <w:szCs w:val="22"/>
                <w:highlight w:val="none"/>
                <w:lang w:eastAsia="zh-CN"/>
              </w:rPr>
              <w:t>安徽交控建设工程集团</w:t>
            </w:r>
            <w:r>
              <w:rPr>
                <w:rFonts w:hint="eastAsia" w:ascii="宋体" w:hAnsi="宋体" w:eastAsia="宋体" w:cs="宋体"/>
                <w:color w:val="auto"/>
                <w:sz w:val="22"/>
                <w:szCs w:val="22"/>
                <w:highlight w:val="none"/>
              </w:rPr>
              <w:t>（网址：http://www.ahjggroup.com）的网站，及时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22</w:t>
            </w:r>
          </w:p>
        </w:tc>
        <w:tc>
          <w:tcPr>
            <w:tcW w:w="1755" w:type="dxa"/>
            <w:vAlign w:val="center"/>
          </w:tcPr>
          <w:p w14:paraId="14017135">
            <w:pPr>
              <w:pStyle w:val="43"/>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响应文件副本份数</w:t>
            </w:r>
          </w:p>
        </w:tc>
        <w:tc>
          <w:tcPr>
            <w:tcW w:w="6785" w:type="dxa"/>
            <w:vAlign w:val="center"/>
          </w:tcPr>
          <w:p w14:paraId="59DC1050">
            <w:pPr>
              <w:pStyle w:val="19"/>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highlight w:val="none"/>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23</w:t>
            </w:r>
          </w:p>
        </w:tc>
        <w:tc>
          <w:tcPr>
            <w:tcW w:w="1755" w:type="dxa"/>
            <w:vAlign w:val="center"/>
          </w:tcPr>
          <w:p w14:paraId="0AF0B06A">
            <w:pPr>
              <w:pStyle w:val="43"/>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yellow"/>
                <w:lang w:eastAsia="zh-CN"/>
              </w:rPr>
            </w:pPr>
            <w:r>
              <w:rPr>
                <w:rFonts w:hint="eastAsia"/>
                <w:color w:val="auto"/>
                <w:sz w:val="22"/>
                <w:szCs w:val="22"/>
                <w:highlight w:val="yellow"/>
                <w:lang w:eastAsia="zh-CN"/>
              </w:rPr>
              <w:t>装订包封要求</w:t>
            </w:r>
          </w:p>
        </w:tc>
        <w:tc>
          <w:tcPr>
            <w:tcW w:w="6785" w:type="dxa"/>
            <w:vAlign w:val="center"/>
          </w:tcPr>
          <w:p w14:paraId="78587EFE">
            <w:pPr>
              <w:pStyle w:val="19"/>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b/>
                <w:bCs w:val="0"/>
                <w:color w:val="auto"/>
                <w:kern w:val="2"/>
                <w:sz w:val="22"/>
                <w:szCs w:val="22"/>
                <w:highlight w:val="yellow"/>
                <w:lang w:val="en-US" w:eastAsia="zh-CN" w:bidi="ar"/>
              </w:rPr>
            </w:pPr>
            <w:r>
              <w:rPr>
                <w:rFonts w:hint="eastAsia" w:ascii="宋体" w:hAnsi="宋体" w:eastAsia="宋体" w:cs="宋体"/>
                <w:b/>
                <w:bCs w:val="0"/>
                <w:color w:val="auto"/>
                <w:kern w:val="2"/>
                <w:sz w:val="22"/>
                <w:szCs w:val="22"/>
                <w:highlight w:val="yellow"/>
                <w:lang w:val="en-US" w:eastAsia="zh-CN" w:bidi="ar"/>
              </w:rPr>
              <w:t>响应文件胶装，按商务技术文件正副本和报价文件正副本分成两个密封袋封装，封口处须密封并加盖企业公章。</w:t>
            </w:r>
          </w:p>
          <w:p w14:paraId="61B7B61A">
            <w:pPr>
              <w:pStyle w:val="19"/>
              <w:keepNext w:val="0"/>
              <w:keepLines w:val="0"/>
              <w:widowControl w:val="0"/>
              <w:suppressLineNumbers w:val="0"/>
              <w:snapToGrid w:val="0"/>
              <w:spacing w:before="0" w:beforeLines="0" w:beforeAutospacing="0" w:after="0" w:afterLines="0" w:afterAutospacing="0"/>
              <w:ind w:left="42" w:leftChars="20" w:right="42" w:rightChars="20"/>
              <w:jc w:val="left"/>
              <w:rPr>
                <w:rFonts w:hint="default" w:ascii="宋体" w:hAnsi="宋体" w:eastAsia="宋体" w:cs="宋体"/>
                <w:b/>
                <w:bCs w:val="0"/>
                <w:color w:val="auto"/>
                <w:kern w:val="2"/>
                <w:sz w:val="22"/>
                <w:szCs w:val="22"/>
                <w:highlight w:val="yellow"/>
                <w:lang w:val="en-US" w:eastAsia="zh-CN" w:bidi="ar"/>
              </w:rPr>
            </w:pPr>
            <w:r>
              <w:rPr>
                <w:rFonts w:hint="eastAsia" w:cs="宋体"/>
                <w:b/>
                <w:bCs w:val="0"/>
                <w:color w:val="auto"/>
                <w:kern w:val="2"/>
                <w:sz w:val="22"/>
                <w:szCs w:val="22"/>
                <w:highlight w:val="yellow"/>
                <w:lang w:val="en-US" w:eastAsia="zh-CN" w:bidi="ar"/>
              </w:rPr>
              <w:t>在商务技术文件密封袋内必须同时用U盘放盖章版响应文件的扫描件一份（PDF版）、在报价文件密封袋内需用U盘放报价清单电子版一份；如启封发现上述资料未放齐的，视为形式评审不合格，取消资格。</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24</w:t>
            </w:r>
          </w:p>
        </w:tc>
        <w:tc>
          <w:tcPr>
            <w:tcW w:w="1755"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785"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25</w:t>
            </w:r>
          </w:p>
        </w:tc>
        <w:tc>
          <w:tcPr>
            <w:tcW w:w="1755"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785"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26</w:t>
            </w:r>
          </w:p>
        </w:tc>
        <w:tc>
          <w:tcPr>
            <w:tcW w:w="1755"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785"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最高投标限价人民币:详见采购公告。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27</w:t>
            </w:r>
          </w:p>
        </w:tc>
        <w:tc>
          <w:tcPr>
            <w:tcW w:w="1755"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785"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28</w:t>
            </w:r>
          </w:p>
        </w:tc>
        <w:tc>
          <w:tcPr>
            <w:tcW w:w="1755"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785"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none"/>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29</w:t>
            </w:r>
          </w:p>
        </w:tc>
        <w:tc>
          <w:tcPr>
            <w:tcW w:w="1755"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785"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提交投标文件截止之日起计算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30</w:t>
            </w:r>
          </w:p>
        </w:tc>
        <w:tc>
          <w:tcPr>
            <w:tcW w:w="1755"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785"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①投标保证金的到账截止时间：投标截止时间。</w:t>
            </w:r>
          </w:p>
          <w:p w14:paraId="1D8317AE">
            <w:pPr>
              <w:pStyle w:val="6"/>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none"/>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31</w:t>
            </w:r>
          </w:p>
        </w:tc>
        <w:tc>
          <w:tcPr>
            <w:tcW w:w="1755"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其他可以不予退还投标保证金的情形</w:t>
            </w:r>
          </w:p>
        </w:tc>
        <w:tc>
          <w:tcPr>
            <w:tcW w:w="6785"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在投标过程中存在弄虚作假、与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串通投标、以行贿谋取中标、无正当理由放弃中标以及进行恶意投诉等投标不良行为的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32</w:t>
            </w:r>
          </w:p>
        </w:tc>
        <w:tc>
          <w:tcPr>
            <w:tcW w:w="1755"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785"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33</w:t>
            </w:r>
          </w:p>
        </w:tc>
        <w:tc>
          <w:tcPr>
            <w:tcW w:w="1755"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785" w:type="dxa"/>
            <w:vAlign w:val="center"/>
          </w:tcPr>
          <w:p w14:paraId="70A5CD33">
            <w:pPr>
              <w:keepNext w:val="0"/>
              <w:keepLines w:val="0"/>
              <w:suppressLineNumbers w:val="0"/>
              <w:spacing w:before="0" w:beforeAutospacing="0" w:after="0" w:afterAutospacing="0"/>
              <w:ind w:left="0" w:right="42" w:rightChars="20"/>
              <w:jc w:val="center"/>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34</w:t>
            </w:r>
          </w:p>
        </w:tc>
        <w:tc>
          <w:tcPr>
            <w:tcW w:w="1755"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785" w:type="dxa"/>
            <w:vAlign w:val="center"/>
          </w:tcPr>
          <w:p w14:paraId="15C9ADEC">
            <w:pPr>
              <w:pStyle w:val="43"/>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lang w:val="en-US" w:eastAsia="zh-CN"/>
              </w:rPr>
            </w:pPr>
            <w:r>
              <w:rPr>
                <w:rFonts w:hint="eastAsia" w:ascii="宋体" w:hAnsi="宋体" w:cs="宋体"/>
                <w:color w:val="auto"/>
                <w:sz w:val="22"/>
                <w:szCs w:val="22"/>
                <w:highlight w:val="none"/>
                <w:u w:val="single"/>
              </w:rPr>
              <w:t>20</w:t>
            </w:r>
            <w:r>
              <w:rPr>
                <w:rFonts w:hint="eastAsia" w:ascii="宋体" w:hAnsi="宋体" w:cs="宋体"/>
                <w:color w:val="auto"/>
                <w:sz w:val="22"/>
                <w:szCs w:val="22"/>
                <w:highlight w:val="none"/>
                <w:u w:val="single"/>
                <w:lang w:val="en-US" w:eastAsia="zh-CN"/>
              </w:rPr>
              <w:t>2</w:t>
            </w:r>
            <w:r>
              <w:rPr>
                <w:rFonts w:hint="eastAsia" w:cs="宋体"/>
                <w:color w:val="auto"/>
                <w:sz w:val="22"/>
                <w:szCs w:val="22"/>
                <w:highlight w:val="none"/>
                <w:u w:val="single"/>
                <w:lang w:val="en-US" w:eastAsia="zh-CN"/>
              </w:rPr>
              <w:t>2</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1</w:t>
            </w:r>
            <w:r>
              <w:rPr>
                <w:rFonts w:hint="eastAsia" w:ascii="宋体" w:hAnsi="宋体" w:cs="宋体"/>
                <w:color w:val="auto"/>
                <w:sz w:val="22"/>
                <w:szCs w:val="22"/>
                <w:highlight w:val="none"/>
              </w:rPr>
              <w:t>日</w:t>
            </w:r>
            <w:r>
              <w:rPr>
                <w:rFonts w:hint="default"/>
                <w:color w:val="auto"/>
                <w:sz w:val="22"/>
                <w:szCs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35</w:t>
            </w:r>
          </w:p>
        </w:tc>
        <w:tc>
          <w:tcPr>
            <w:tcW w:w="1755"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785" w:type="dxa"/>
            <w:vAlign w:val="center"/>
          </w:tcPr>
          <w:p w14:paraId="668A9EEB">
            <w:pPr>
              <w:pStyle w:val="43"/>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rPr>
              <w:t xml:space="preserve"> </w:t>
            </w: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36</w:t>
            </w:r>
          </w:p>
        </w:tc>
        <w:tc>
          <w:tcPr>
            <w:tcW w:w="1755"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是否允许递交备选投标方案</w:t>
            </w:r>
          </w:p>
        </w:tc>
        <w:tc>
          <w:tcPr>
            <w:tcW w:w="6785"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37</w:t>
            </w:r>
          </w:p>
        </w:tc>
        <w:tc>
          <w:tcPr>
            <w:tcW w:w="1755"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785"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38</w:t>
            </w:r>
          </w:p>
        </w:tc>
        <w:tc>
          <w:tcPr>
            <w:tcW w:w="1755"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rPr>
              <w:t>开标程序</w:t>
            </w:r>
          </w:p>
        </w:tc>
        <w:tc>
          <w:tcPr>
            <w:tcW w:w="6785"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39</w:t>
            </w:r>
          </w:p>
        </w:tc>
        <w:tc>
          <w:tcPr>
            <w:tcW w:w="1755"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785"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40</w:t>
            </w:r>
          </w:p>
        </w:tc>
        <w:tc>
          <w:tcPr>
            <w:tcW w:w="1755"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开标时间和地点</w:t>
            </w:r>
          </w:p>
        </w:tc>
        <w:tc>
          <w:tcPr>
            <w:tcW w:w="6785"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41</w:t>
            </w:r>
          </w:p>
        </w:tc>
        <w:tc>
          <w:tcPr>
            <w:tcW w:w="1755"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785"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42</w:t>
            </w:r>
          </w:p>
        </w:tc>
        <w:tc>
          <w:tcPr>
            <w:tcW w:w="1755"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推荐中标候选人的人数</w:t>
            </w:r>
          </w:p>
        </w:tc>
        <w:tc>
          <w:tcPr>
            <w:tcW w:w="6785"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评标办法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43</w:t>
            </w:r>
          </w:p>
        </w:tc>
        <w:tc>
          <w:tcPr>
            <w:tcW w:w="1755"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中标候选人公示媒介及期限</w:t>
            </w:r>
          </w:p>
        </w:tc>
        <w:tc>
          <w:tcPr>
            <w:tcW w:w="6785" w:type="dxa"/>
            <w:vAlign w:val="center"/>
          </w:tcPr>
          <w:p w14:paraId="61C35264">
            <w:pPr>
              <w:pStyle w:val="43"/>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auto"/>
                <w:sz w:val="22"/>
                <w:szCs w:val="22"/>
                <w:highlight w:val="none"/>
                <w:lang w:eastAsia="zh-CN"/>
              </w:rPr>
              <w:t>安徽交控建设工程集团</w:t>
            </w:r>
            <w:r>
              <w:rPr>
                <w:rFonts w:hint="eastAsia" w:cs="宋体"/>
                <w:color w:val="auto"/>
                <w:sz w:val="22"/>
                <w:szCs w:val="22"/>
                <w:highlight w:val="none"/>
                <w:lang w:val="en-US" w:eastAsia="zh-CN"/>
              </w:rPr>
              <w:t>有限公司</w:t>
            </w:r>
            <w:r>
              <w:rPr>
                <w:rFonts w:hint="eastAsia" w:ascii="宋体" w:hAnsi="宋体" w:eastAsia="宋体" w:cs="宋体"/>
                <w:color w:val="auto"/>
                <w:sz w:val="22"/>
                <w:szCs w:val="22"/>
                <w:highlight w:val="none"/>
              </w:rPr>
              <w:t>”（网址：http://www.ahjggroup.com）“招标公告”栏目</w:t>
            </w:r>
            <w:r>
              <w:rPr>
                <w:rFonts w:hint="eastAsia" w:cs="宋体"/>
                <w:color w:val="auto"/>
                <w:sz w:val="22"/>
                <w:szCs w:val="22"/>
                <w:highlight w:val="none"/>
                <w:lang w:val="en-US" w:eastAsia="zh-CN"/>
              </w:rPr>
              <w:t>，</w:t>
            </w: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cs="宋体"/>
                <w:color w:val="auto"/>
                <w:sz w:val="22"/>
                <w:szCs w:val="22"/>
                <w:highlight w:val="none"/>
                <w:u w:val="single"/>
                <w:lang w:val="en-US" w:eastAsia="zh-CN"/>
              </w:rPr>
              <w:t>3</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44</w:t>
            </w:r>
          </w:p>
        </w:tc>
        <w:tc>
          <w:tcPr>
            <w:tcW w:w="1755"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是否授权评审小组确定中标人</w:t>
            </w:r>
          </w:p>
        </w:tc>
        <w:tc>
          <w:tcPr>
            <w:tcW w:w="6785"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45</w:t>
            </w:r>
          </w:p>
        </w:tc>
        <w:tc>
          <w:tcPr>
            <w:tcW w:w="1755"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785" w:type="dxa"/>
            <w:vAlign w:val="center"/>
          </w:tcPr>
          <w:p w14:paraId="229558ED">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color w:val="auto"/>
                <w:sz w:val="22"/>
                <w:szCs w:val="22"/>
                <w:highlight w:val="none"/>
                <w:lang w:eastAsia="zh-CN"/>
              </w:rPr>
              <w:t>见第二章</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46</w:t>
            </w:r>
          </w:p>
        </w:tc>
        <w:tc>
          <w:tcPr>
            <w:tcW w:w="1755"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785"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1755"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是否采用电子招标投标</w:t>
            </w:r>
          </w:p>
        </w:tc>
        <w:tc>
          <w:tcPr>
            <w:tcW w:w="6785"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8</w:t>
            </w:r>
          </w:p>
        </w:tc>
        <w:tc>
          <w:tcPr>
            <w:tcW w:w="1755"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sz w:val="22"/>
                <w:szCs w:val="22"/>
                <w:highlight w:val="none"/>
              </w:rPr>
              <w:t>响应文件作否决处理情形</w:t>
            </w:r>
          </w:p>
        </w:tc>
        <w:tc>
          <w:tcPr>
            <w:tcW w:w="6785"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9</w:t>
            </w:r>
          </w:p>
        </w:tc>
        <w:tc>
          <w:tcPr>
            <w:tcW w:w="1755"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kern w:val="0"/>
                <w:sz w:val="22"/>
                <w:szCs w:val="22"/>
                <w:highlight w:val="none"/>
                <w:lang w:bidi="ar"/>
              </w:rPr>
              <w:t>异常低价评审情形</w:t>
            </w:r>
          </w:p>
        </w:tc>
        <w:tc>
          <w:tcPr>
            <w:tcW w:w="6785"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2EEFD3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4ED376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000000" w:themeColor="text1"/>
                <w:kern w:val="2"/>
                <w:sz w:val="22"/>
                <w:szCs w:val="21"/>
                <w:highlight w:val="yellow"/>
                <w:lang w:val="en-US" w:eastAsia="zh-CN" w:bidi="ar-SA"/>
                <w14:textFill>
                  <w14:solidFill>
                    <w14:schemeClr w14:val="tx1"/>
                  </w14:solidFill>
                </w14:textFill>
              </w:rPr>
            </w:pPr>
            <w:r>
              <w:rPr>
                <w:rFonts w:hint="eastAsia" w:cstheme="minorBidi"/>
                <w:color w:val="000000" w:themeColor="text1"/>
                <w:kern w:val="2"/>
                <w:sz w:val="22"/>
                <w:szCs w:val="21"/>
                <w:highlight w:val="yellow"/>
                <w:lang w:val="en-US" w:eastAsia="zh-CN" w:bidi="ar-SA"/>
                <w14:textFill>
                  <w14:solidFill>
                    <w14:schemeClr w14:val="tx1"/>
                  </w14:solidFill>
                </w14:textFill>
              </w:rPr>
              <w:t>50</w:t>
            </w:r>
          </w:p>
        </w:tc>
        <w:tc>
          <w:tcPr>
            <w:tcW w:w="1755" w:type="dxa"/>
            <w:shd w:val="clear" w:color="auto" w:fill="auto"/>
            <w:vAlign w:val="center"/>
          </w:tcPr>
          <w:p w14:paraId="01E4BD2E">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b/>
                <w:color w:val="000000" w:themeColor="text1"/>
                <w:kern w:val="0"/>
                <w:sz w:val="22"/>
                <w:szCs w:val="22"/>
                <w:highlight w:val="yellow"/>
                <w:lang w:val="en-US" w:eastAsia="zh-CN" w:bidi="ar"/>
                <w14:textFill>
                  <w14:solidFill>
                    <w14:schemeClr w14:val="tx1"/>
                  </w14:solidFill>
                </w14:textFill>
              </w:rPr>
            </w:pPr>
            <w:r>
              <w:rPr>
                <w:rFonts w:hint="eastAsia" w:ascii="宋体" w:hAnsi="宋体" w:eastAsia="宋体" w:cs="宋体"/>
                <w:b/>
                <w:color w:val="000000" w:themeColor="text1"/>
                <w:kern w:val="0"/>
                <w:sz w:val="22"/>
                <w:szCs w:val="22"/>
                <w:highlight w:val="yellow"/>
                <w:lang w:val="en-US" w:eastAsia="zh-CN" w:bidi="ar"/>
                <w14:textFill>
                  <w14:solidFill>
                    <w14:schemeClr w14:val="tx1"/>
                  </w14:solidFill>
                </w14:textFill>
              </w:rPr>
              <w:t>标后送样</w:t>
            </w:r>
          </w:p>
        </w:tc>
        <w:tc>
          <w:tcPr>
            <w:tcW w:w="6785" w:type="dxa"/>
            <w:shd w:val="clear" w:color="auto" w:fill="auto"/>
            <w:vAlign w:val="center"/>
          </w:tcPr>
          <w:p w14:paraId="27C58E72">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t>本项目铝单板已封样，各潜在投标人自行前往项目部确认铝单板样品并承诺按样品报价。</w:t>
            </w:r>
          </w:p>
          <w:p w14:paraId="0F38A65E">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t>拟中标人须在采购人通知之日起7日内，按封样铝单板标准再次送铝单板小样并经项目部确认。如所送样品不符合要求，采购人有权没收投标保证金，按中标候选人排序重新确定成交人；或重新组织采购。</w:t>
            </w:r>
          </w:p>
          <w:p w14:paraId="1DABFAEA">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t>如中标人在供应过程中所供铝单板不符合封样标准的：</w:t>
            </w:r>
          </w:p>
          <w:p w14:paraId="0E139820">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t>1）采购人有权终止合同，没收履约保证金。</w:t>
            </w:r>
          </w:p>
          <w:p w14:paraId="61965FD7">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t>2）采购人有权依据合同约定进行处罚。</w:t>
            </w:r>
          </w:p>
          <w:p w14:paraId="050AE56E">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000000" w:themeColor="text1"/>
                <w:kern w:val="2"/>
                <w:sz w:val="22"/>
                <w:szCs w:val="22"/>
                <w:highlight w:val="yellow"/>
                <w:lang w:val="en-US" w:eastAsia="zh-CN" w:bidi="ar-SA"/>
                <w14:textFill>
                  <w14:solidFill>
                    <w14:schemeClr w14:val="tx1"/>
                  </w14:solidFill>
                </w14:textFill>
              </w:rPr>
            </w:pPr>
            <w: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t>3）采购人有权将未完成的供货部分移交给第三方实施，供应商应无条件配合相关移交工作。</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leftChars="0" w:right="0" w:rightChars="0"/>
              <w:jc w:val="center"/>
              <w:rPr>
                <w:rFonts w:hint="default"/>
                <w:color w:val="auto"/>
                <w:sz w:val="22"/>
                <w:szCs w:val="22"/>
                <w:highlight w:val="none"/>
                <w:lang w:val="en-US"/>
              </w:rPr>
            </w:pPr>
            <w:r>
              <w:rPr>
                <w:rFonts w:hint="eastAsia"/>
                <w:color w:val="auto"/>
                <w:sz w:val="22"/>
                <w:szCs w:val="21"/>
                <w:highlight w:val="none"/>
                <w:lang w:val="en-US" w:eastAsia="zh-CN"/>
              </w:rPr>
              <w:t>51</w:t>
            </w:r>
          </w:p>
        </w:tc>
        <w:tc>
          <w:tcPr>
            <w:tcW w:w="8540" w:type="dxa"/>
            <w:gridSpan w:val="2"/>
            <w:vAlign w:val="center"/>
          </w:tcPr>
          <w:p w14:paraId="12EE7275">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或其他利害关系人对评标结果有异议的，应以书面形式提出</w:t>
            </w:r>
            <w:r>
              <w:rPr>
                <w:rFonts w:hint="eastAsia"/>
                <w:color w:val="auto"/>
                <w:spacing w:val="-3"/>
                <w:kern w:val="0"/>
                <w:sz w:val="22"/>
                <w:szCs w:val="22"/>
                <w:highlight w:val="none"/>
              </w:rPr>
              <w:t>，异议材料应包括：</w:t>
            </w:r>
          </w:p>
          <w:p w14:paraId="4EEF7789">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15AFE683">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4F2DEEC3">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47F6BE4">
            <w:pPr>
              <w:keepNext w:val="0"/>
              <w:keepLines w:val="0"/>
              <w:widowControl/>
              <w:suppressLineNumbers w:val="0"/>
              <w:shd w:val="clear" w:color="auto" w:fill="FFFFFF"/>
              <w:spacing w:before="0" w:beforeAutospacing="0" w:after="0" w:afterAutospacing="0"/>
              <w:ind w:left="0" w:leftChars="0" w:right="0" w:rightChars="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leftChars="0" w:right="0" w:rightChars="0"/>
              <w:jc w:val="center"/>
              <w:rPr>
                <w:rFonts w:hint="default" w:asciiTheme="minorHAnsi" w:hAnsiTheme="minorHAnsi" w:eastAsiaTheme="minorEastAsia" w:cstheme="minorBidi"/>
                <w:color w:val="auto"/>
                <w:kern w:val="2"/>
                <w:sz w:val="22"/>
                <w:szCs w:val="22"/>
                <w:highlight w:val="none"/>
                <w:lang w:val="en-US" w:eastAsia="zh-CN" w:bidi="ar-SA"/>
              </w:rPr>
            </w:pPr>
            <w:bookmarkStart w:id="42" w:name="_Toc14201207"/>
            <w:bookmarkStart w:id="43" w:name="_Toc26656938"/>
            <w:bookmarkStart w:id="44" w:name="_Toc9067720"/>
            <w:r>
              <w:rPr>
                <w:rFonts w:hint="eastAsia"/>
                <w:color w:val="auto"/>
                <w:sz w:val="22"/>
                <w:szCs w:val="21"/>
                <w:highlight w:val="none"/>
                <w:lang w:val="en-US" w:eastAsia="zh-CN"/>
              </w:rPr>
              <w:t>52</w:t>
            </w:r>
          </w:p>
        </w:tc>
        <w:tc>
          <w:tcPr>
            <w:tcW w:w="8540" w:type="dxa"/>
            <w:gridSpan w:val="2"/>
            <w:vAlign w:val="center"/>
          </w:tcPr>
          <w:p w14:paraId="373EC6CF">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1.本项目后期有可能涉及部分产品的优化及深化设计，投标单位在投标报价时应充分考虑此部分的费用，根据自身因素、综合条件、市场风险自行报价，中标后不予调整。</w:t>
            </w:r>
          </w:p>
          <w:p w14:paraId="2DE20602">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cs="宋体" w:eastAsiaTheme="minorEastAsia"/>
                <w:bCs/>
                <w:color w:val="auto"/>
                <w:kern w:val="0"/>
                <w:sz w:val="22"/>
                <w:szCs w:val="22"/>
                <w:highlight w:val="none"/>
                <w:lang w:val="en-US" w:eastAsia="zh-CN" w:bidi="ar"/>
              </w:rPr>
            </w:pPr>
            <w:r>
              <w:rPr>
                <w:rFonts w:hint="eastAsia" w:ascii="宋体" w:hAnsi="宋体" w:eastAsia="宋体" w:cs="宋体"/>
                <w:color w:val="auto"/>
                <w:sz w:val="22"/>
                <w:szCs w:val="22"/>
                <w:highlight w:val="none"/>
                <w:lang w:val="en-US" w:eastAsia="zh-CN"/>
              </w:rPr>
              <w:t>2.材料常规检测费用含在报价中，采购人不另外单独支付。</w:t>
            </w:r>
          </w:p>
        </w:tc>
      </w:tr>
      <w:tr w14:paraId="7812AE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2FA3198">
            <w:pPr>
              <w:keepNext w:val="0"/>
              <w:keepLines w:val="0"/>
              <w:suppressLineNumbers w:val="0"/>
              <w:spacing w:before="0" w:beforeAutospacing="0" w:after="0" w:afterAutospacing="0"/>
              <w:ind w:left="0" w:leftChars="0" w:right="0" w:rightChars="0"/>
              <w:jc w:val="center"/>
              <w:rPr>
                <w:rFonts w:hint="default"/>
                <w:color w:val="auto"/>
                <w:sz w:val="22"/>
                <w:szCs w:val="21"/>
                <w:highlight w:val="none"/>
                <w:lang w:val="en-US" w:eastAsia="zh-CN"/>
              </w:rPr>
            </w:pPr>
            <w:r>
              <w:rPr>
                <w:rFonts w:hint="eastAsia"/>
                <w:b/>
                <w:bCs/>
                <w:color w:val="auto"/>
                <w:sz w:val="22"/>
                <w:szCs w:val="21"/>
                <w:highlight w:val="none"/>
                <w:lang w:val="en-US" w:eastAsia="zh-CN"/>
              </w:rPr>
              <w:t>53</w:t>
            </w:r>
          </w:p>
        </w:tc>
        <w:tc>
          <w:tcPr>
            <w:tcW w:w="8540" w:type="dxa"/>
            <w:gridSpan w:val="2"/>
            <w:vAlign w:val="center"/>
          </w:tcPr>
          <w:p w14:paraId="5ABB791A">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如乙方在本年度采购期内累计供货金额达800万以上的，应在甲方指定的交控建工集团任意开发或代建项目购买住宅、商业、写字楼、车位等。当年度累计供货金额达到800万及以上的购买住宅1套、车位1个；年度累计供货金额达到1600万及以上的购买住宅2套、车位2个；年度累计供货金额达到2400万及以上的购买住宅3套、车位3个。1套住宅+1个车位预估价为70万元，购买人可为乙方或乙方指定的购买人。</w:t>
            </w:r>
          </w:p>
          <w:p w14:paraId="2DF11370">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2.房屋认购应在该年度采购履约期到期前完成，如乙方未在年度履约期内完成房屋认购的，乙方需向甲方支付该年度供货价款10%的违约金，甲方有权直接从乙方未支付的货款中直接扣除。</w:t>
            </w:r>
          </w:p>
          <w:p w14:paraId="3EE2A9C7">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3.对于完成工抵的供应商获得下年度集采重点推荐资格；额外给予上年度合作额度10%的上浮空间；对合作供应商授予“战略合作伙伴"认证资质。</w:t>
            </w:r>
          </w:p>
        </w:tc>
      </w:tr>
    </w:tbl>
    <w:p w14:paraId="4F99B9F3">
      <w:pPr>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noWrap w:val="0"/>
            <w:vAlign w:val="center"/>
          </w:tcPr>
          <w:p w14:paraId="1DF8031F">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具备独立法人资格，持有有效的营业执照。 </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10"/>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r>
              <w:rPr>
                <w:rFonts w:hint="eastAsia"/>
                <w:color w:val="auto"/>
                <w:highlight w:val="none"/>
                <w:lang w:val="en-US" w:eastAsia="zh-CN"/>
              </w:rPr>
              <w:t>至少提供1个自2022年1月1日以来，单项合同额不低于</w:t>
            </w:r>
            <w:r>
              <w:rPr>
                <w:rFonts w:hint="eastAsia"/>
                <w:color w:val="auto"/>
                <w:highlight w:val="none"/>
                <w:u w:val="none"/>
                <w:lang w:val="en-US" w:eastAsia="zh-CN"/>
              </w:rPr>
              <w:t>90</w:t>
            </w:r>
            <w:r>
              <w:rPr>
                <w:rFonts w:hint="eastAsia"/>
                <w:color w:val="auto"/>
                <w:highlight w:val="none"/>
                <w:lang w:val="en-US" w:eastAsia="zh-CN"/>
              </w:rPr>
              <w:t>万元的铝单板供应合同业绩（每个业绩至少提供不低于合同金额50%的增值税发票或收到业主转账的收款凭证，未提供，该业绩无效）。</w:t>
            </w:r>
          </w:p>
        </w:tc>
      </w:tr>
    </w:tbl>
    <w:p w14:paraId="1E862039">
      <w:pPr>
        <w:bidi w:val="0"/>
        <w:rPr>
          <w:rFonts w:hint="eastAsia"/>
          <w:color w:val="auto"/>
          <w:highlight w:val="none"/>
          <w:lang w:val="en-US" w:eastAsia="zh-CN"/>
        </w:rPr>
      </w:pPr>
      <w:r>
        <w:rPr>
          <w:rFonts w:hint="eastAsia"/>
          <w:color w:val="auto"/>
          <w:highlight w:val="none"/>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③若业绩合同中包含多项设备，则合同中应能体现资格要求中所需设备的内容和金额，无法体现的，须提供供货单据、供货发票、业主验收单等能证明相关评审因素的证明材料，否则业绩不予认可。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highlight w:val="none"/>
          <w:lang w:val="en-US" w:eastAsia="zh-CN"/>
        </w:rPr>
        <w:t>④</w:t>
      </w:r>
      <w:r>
        <w:rPr>
          <w:rFonts w:hint="eastAsia"/>
          <w:color w:val="auto"/>
          <w:highlight w:val="none"/>
        </w:rPr>
        <w:t>如近年来，投标人法人机构发生合法变更或重组或法人名称变更时，应提供相关部门的合法批件扫描件或其他相关证明材料扫描件来证明其所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568C1D1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3"/>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4</w:t>
            </w:r>
            <w:r>
              <w:rPr>
                <w:rFonts w:hint="eastAsia"/>
                <w:color w:val="auto"/>
                <w:highlight w:val="none"/>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5</w:t>
            </w:r>
            <w:r>
              <w:rPr>
                <w:rFonts w:hint="eastAsia"/>
                <w:color w:val="auto"/>
                <w:highlight w:val="none"/>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6</w:t>
            </w:r>
            <w:r>
              <w:rPr>
                <w:rFonts w:hint="eastAsia"/>
                <w:color w:val="auto"/>
                <w:highlight w:val="none"/>
              </w:rPr>
              <w:t>.没有法律法规规定的其他情形。</w:t>
            </w:r>
          </w:p>
        </w:tc>
      </w:tr>
    </w:tbl>
    <w:p w14:paraId="144FECD2">
      <w:pPr>
        <w:pStyle w:val="35"/>
        <w:rPr>
          <w:rFonts w:ascii="Times New Roman" w:hAnsi="Times New Roman" w:eastAsia="黑体" w:cs="Times New Roman"/>
          <w:bCs/>
          <w:color w:val="auto"/>
          <w:sz w:val="24"/>
          <w:szCs w:val="32"/>
          <w:highlight w:val="none"/>
        </w:rPr>
      </w:pPr>
    </w:p>
    <w:p w14:paraId="1BAF51CA">
      <w:pPr>
        <w:jc w:val="center"/>
        <w:rPr>
          <w:rFonts w:hint="eastAsia" w:ascii="黑体" w:eastAsia="黑体"/>
          <w:sz w:val="24"/>
          <w:szCs w:val="24"/>
          <w:highlight w:val="none"/>
        </w:rPr>
      </w:pPr>
    </w:p>
    <w:p w14:paraId="6368398A">
      <w:pPr>
        <w:jc w:val="center"/>
        <w:rPr>
          <w:rFonts w:hint="eastAsia" w:ascii="黑体" w:eastAsia="黑体"/>
          <w:color w:val="000000" w:themeColor="text1"/>
          <w:sz w:val="24"/>
          <w:szCs w:val="24"/>
          <w:highlight w:val="none"/>
          <w14:textFill>
            <w14:solidFill>
              <w14:schemeClr w14:val="tx1"/>
            </w14:solidFill>
          </w14:textFill>
        </w:rPr>
      </w:pPr>
      <w:r>
        <w:rPr>
          <w:rFonts w:hint="eastAsia" w:ascii="黑体" w:eastAsia="黑体"/>
          <w:color w:val="000000" w:themeColor="text1"/>
          <w:sz w:val="24"/>
          <w:szCs w:val="24"/>
          <w:highlight w:val="none"/>
          <w14:textFill>
            <w14:solidFill>
              <w14:schemeClr w14:val="tx1"/>
            </w14:solidFill>
          </w14:textFill>
        </w:rPr>
        <w:t>附录</w:t>
      </w:r>
      <w:r>
        <w:rPr>
          <w:rFonts w:hint="eastAsia" w:eastAsia="黑体"/>
          <w:color w:val="000000" w:themeColor="text1"/>
          <w:sz w:val="24"/>
          <w:szCs w:val="24"/>
          <w:highlight w:val="none"/>
          <w:lang w:val="en-US" w:eastAsia="zh-CN"/>
          <w14:textFill>
            <w14:solidFill>
              <w14:schemeClr w14:val="tx1"/>
            </w14:solidFill>
          </w14:textFill>
        </w:rPr>
        <w:t>4</w:t>
      </w:r>
      <w:r>
        <w:rPr>
          <w:rFonts w:hint="eastAsia" w:ascii="黑体" w:eastAsia="黑体"/>
          <w:color w:val="000000" w:themeColor="text1"/>
          <w:sz w:val="24"/>
          <w:szCs w:val="24"/>
          <w:highlight w:val="none"/>
          <w14:textFill>
            <w14:solidFill>
              <w14:schemeClr w14:val="tx1"/>
            </w14:solidFill>
          </w14:textFill>
        </w:rPr>
        <w:t>资格审查条件（</w:t>
      </w:r>
      <w:r>
        <w:rPr>
          <w:rFonts w:hint="eastAsia" w:ascii="黑体" w:eastAsia="黑体"/>
          <w:color w:val="000000" w:themeColor="text1"/>
          <w:sz w:val="24"/>
          <w:szCs w:val="24"/>
          <w:highlight w:val="none"/>
          <w:lang w:val="en-US" w:eastAsia="zh-CN"/>
          <w14:textFill>
            <w14:solidFill>
              <w14:schemeClr w14:val="tx1"/>
            </w14:solidFill>
          </w14:textFill>
        </w:rPr>
        <w:t>投标材料送样</w:t>
      </w:r>
      <w:r>
        <w:rPr>
          <w:rFonts w:hint="eastAsia" w:ascii="黑体" w:eastAsia="黑体"/>
          <w:color w:val="000000" w:themeColor="text1"/>
          <w:sz w:val="24"/>
          <w:szCs w:val="24"/>
          <w:highlight w:val="none"/>
          <w14:textFill>
            <w14:solidFill>
              <w14:schemeClr w14:val="tx1"/>
            </w14:solidFill>
          </w14:textFill>
        </w:rPr>
        <w:t>）</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377C0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0A624647">
            <w:pPr>
              <w:keepNext w:val="0"/>
              <w:keepLines w:val="0"/>
              <w:suppressLineNumbers w:val="0"/>
              <w:spacing w:before="0" w:beforeAutospacing="0" w:after="0" w:afterAutospacing="0"/>
              <w:ind w:left="0" w:right="0"/>
              <w:jc w:val="center"/>
              <w:rPr>
                <w:rFonts w:hint="default" w:eastAsiaTheme="minorEastAsia"/>
                <w:color w:val="000000" w:themeColor="text1"/>
                <w:sz w:val="22"/>
                <w:szCs w:val="22"/>
                <w:highlight w:val="none"/>
                <w:lang w:val="en-US" w:eastAsia="zh-CN"/>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送 样 要 求</w:t>
            </w:r>
          </w:p>
        </w:tc>
      </w:tr>
      <w:tr w14:paraId="79D71B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63E48C4C">
            <w:pPr>
              <w:keepNext w:val="0"/>
              <w:keepLines w:val="0"/>
              <w:suppressLineNumbers w:val="0"/>
              <w:spacing w:before="0" w:beforeAutospacing="0" w:after="0" w:afterAutospacing="0" w:line="276" w:lineRule="auto"/>
              <w:ind w:left="0" w:right="0" w:firstLine="210" w:firstLineChars="100"/>
              <w:jc w:val="center"/>
              <w:rPr>
                <w:rFonts w:hint="eastAsia" w:eastAsiaTheme="minorEastAsia"/>
                <w:color w:val="000000" w:themeColor="text1"/>
                <w:highlight w:val="none"/>
                <w:lang w:val="en-US" w:eastAsia="zh-CN"/>
                <w14:textFill>
                  <w14:solidFill>
                    <w14:schemeClr w14:val="tx1"/>
                  </w14:solidFill>
                </w14:textFill>
              </w:rPr>
            </w:pPr>
            <w:r>
              <w:rPr>
                <w:rFonts w:hint="eastAsia"/>
                <w:b/>
                <w:color w:val="000000" w:themeColor="text1"/>
                <w:sz w:val="21"/>
                <w:szCs w:val="24"/>
                <w:highlight w:val="none"/>
                <w:lang w:val="en-US" w:eastAsia="zh-CN"/>
                <w14:textFill>
                  <w14:solidFill>
                    <w14:schemeClr w14:val="tx1"/>
                  </w14:solidFill>
                </w14:textFill>
              </w:rPr>
              <w:t>/</w:t>
            </w:r>
          </w:p>
        </w:tc>
      </w:tr>
    </w:tbl>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 总则</w:t>
      </w:r>
    </w:p>
    <w:p w14:paraId="77412F2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1.1 质量要求</w:t>
      </w:r>
    </w:p>
    <w:p w14:paraId="0EE35E84">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本合同包的质量要求：</w:t>
      </w:r>
      <w:r>
        <w:rPr>
          <w:rFonts w:hint="eastAsia" w:ascii="Times New Roman" w:hAnsi="Times New Roman" w:cs="Times New Roman"/>
          <w:color w:val="auto"/>
          <w:szCs w:val="21"/>
          <w:highlight w:val="none"/>
        </w:rPr>
        <w:t>见供应商须知前附表。</w:t>
      </w:r>
    </w:p>
    <w:p w14:paraId="1F3A9F9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 xml:space="preserve"> </w:t>
      </w:r>
      <w:r>
        <w:rPr>
          <w:rFonts w:ascii="Times New Roman" w:hAnsi="Times New Roman" w:cs="Times New Roman"/>
          <w:color w:val="auto"/>
          <w:szCs w:val="21"/>
          <w:highlight w:val="none"/>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 xml:space="preserve"> 其他</w:t>
      </w:r>
      <w:r>
        <w:rPr>
          <w:rFonts w:hint="eastAsia" w:ascii="Times New Roman" w:hAnsi="Times New Roman" w:cs="Times New Roman"/>
          <w:color w:val="auto"/>
          <w:szCs w:val="21"/>
          <w:highlight w:val="none"/>
        </w:rPr>
        <w:t>要求：见供应商须知前附表</w:t>
      </w:r>
      <w:r>
        <w:rPr>
          <w:rFonts w:ascii="Times New Roman" w:hAnsi="Times New Roman" w:cs="Times New Roman"/>
          <w:color w:val="auto"/>
          <w:szCs w:val="21"/>
          <w:highlight w:val="none"/>
        </w:rPr>
        <w:t>。</w:t>
      </w:r>
    </w:p>
    <w:p w14:paraId="457EDFD6">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3</w:t>
      </w:r>
      <w:r>
        <w:rPr>
          <w:rFonts w:ascii="Times New Roman" w:hAnsi="Times New Roman" w:eastAsia="黑体" w:cs="Times New Roman"/>
          <w:bCs/>
          <w:color w:val="auto"/>
          <w:sz w:val="24"/>
          <w:szCs w:val="32"/>
          <w:highlight w:val="none"/>
        </w:rPr>
        <w:t xml:space="preserve"> 费用承担</w:t>
      </w:r>
    </w:p>
    <w:p w14:paraId="5C4C1601">
      <w:pPr>
        <w:spacing w:line="440" w:lineRule="exact"/>
        <w:ind w:firstLine="42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4</w:t>
      </w:r>
      <w:r>
        <w:rPr>
          <w:rFonts w:ascii="Times New Roman" w:hAnsi="Times New Roman" w:eastAsia="黑体" w:cs="Times New Roman"/>
          <w:bCs/>
          <w:color w:val="auto"/>
          <w:sz w:val="24"/>
          <w:szCs w:val="32"/>
          <w:highlight w:val="none"/>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5</w:t>
      </w:r>
      <w:r>
        <w:rPr>
          <w:rFonts w:ascii="Times New Roman" w:hAnsi="Times New Roman" w:eastAsia="黑体" w:cs="Times New Roman"/>
          <w:bCs/>
          <w:color w:val="auto"/>
          <w:sz w:val="24"/>
          <w:szCs w:val="32"/>
          <w:highlight w:val="none"/>
        </w:rPr>
        <w:t xml:space="preserve"> 计量单位</w:t>
      </w:r>
    </w:p>
    <w:p w14:paraId="573641B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 xml:space="preserve"> 踏勘现场</w:t>
      </w:r>
    </w:p>
    <w:p w14:paraId="74AD0A0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w:t>
      </w:r>
      <w:r>
        <w:rPr>
          <w:rFonts w:hint="eastAsia" w:ascii="Times New Roman" w:hAnsi="Times New Roman" w:cs="Times New Roman"/>
          <w:color w:val="auto"/>
          <w:highlight w:val="none"/>
        </w:rPr>
        <w:t>自行</w:t>
      </w:r>
      <w:r>
        <w:rPr>
          <w:rFonts w:ascii="Times New Roman" w:hAnsi="Times New Roman" w:cs="Times New Roman"/>
          <w:color w:val="auto"/>
          <w:highlight w:val="none"/>
        </w:rPr>
        <w:t>踏勘现场</w:t>
      </w:r>
      <w:r>
        <w:rPr>
          <w:rFonts w:hint="eastAsia" w:ascii="Times New Roman" w:hAnsi="Times New Roman" w:cs="Times New Roman"/>
          <w:color w:val="auto"/>
          <w:highlight w:val="none"/>
        </w:rPr>
        <w:t>且</w:t>
      </w:r>
      <w:r>
        <w:rPr>
          <w:rFonts w:ascii="Times New Roman" w:hAnsi="Times New Roman" w:cs="Times New Roman"/>
          <w:color w:val="auto"/>
          <w:highlight w:val="none"/>
        </w:rPr>
        <w:t>费用自理。</w:t>
      </w:r>
    </w:p>
    <w:p w14:paraId="0739545D">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7</w:t>
      </w:r>
      <w:r>
        <w:rPr>
          <w:rFonts w:ascii="Times New Roman" w:hAnsi="Times New Roman" w:eastAsia="黑体" w:cs="Times New Roman"/>
          <w:bCs/>
          <w:color w:val="auto"/>
          <w:sz w:val="24"/>
          <w:szCs w:val="32"/>
          <w:highlight w:val="none"/>
        </w:rPr>
        <w:t xml:space="preserve"> 分包</w:t>
      </w:r>
    </w:p>
    <w:p w14:paraId="43E1953C">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不允许分包。</w:t>
      </w:r>
    </w:p>
    <w:p w14:paraId="1DBA1C2B">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1.</w:t>
      </w:r>
      <w:r>
        <w:rPr>
          <w:rFonts w:hint="eastAsia" w:ascii="Times New Roman" w:hAnsi="Times New Roman" w:eastAsia="黑体" w:cs="Times New Roman"/>
          <w:bCs/>
          <w:color w:val="000000" w:themeColor="text1"/>
          <w:sz w:val="24"/>
          <w:szCs w:val="32"/>
          <w:highlight w:val="none"/>
          <w14:textFill>
            <w14:solidFill>
              <w14:schemeClr w14:val="tx1"/>
            </w14:solidFill>
          </w14:textFill>
        </w:rPr>
        <w:t>8</w:t>
      </w:r>
      <w:r>
        <w:rPr>
          <w:rFonts w:ascii="Times New Roman" w:hAnsi="Times New Roman" w:eastAsia="黑体" w:cs="Times New Roman"/>
          <w:bCs/>
          <w:color w:val="000000" w:themeColor="text1"/>
          <w:sz w:val="24"/>
          <w:szCs w:val="32"/>
          <w:highlight w:val="none"/>
          <w14:textFill>
            <w14:solidFill>
              <w14:schemeClr w14:val="tx1"/>
            </w14:solidFill>
          </w14:textFill>
        </w:rPr>
        <w:t xml:space="preserve"> 偏</w:t>
      </w:r>
      <w:r>
        <w:rPr>
          <w:rFonts w:hint="eastAsia" w:ascii="Times New Roman" w:hAnsi="Times New Roman" w:eastAsia="黑体" w:cs="Times New Roman"/>
          <w:bCs/>
          <w:color w:val="000000" w:themeColor="text1"/>
          <w:sz w:val="24"/>
          <w:szCs w:val="32"/>
          <w:highlight w:val="none"/>
          <w14:textFill>
            <w14:solidFill>
              <w14:schemeClr w14:val="tx1"/>
            </w14:solidFill>
          </w14:textFill>
        </w:rPr>
        <w:t>差</w:t>
      </w:r>
    </w:p>
    <w:p w14:paraId="3D3ED440">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8</w:t>
      </w: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color w:val="000000" w:themeColor="text1"/>
          <w:highlight w:val="none"/>
          <w14:textFill>
            <w14:solidFill>
              <w14:schemeClr w14:val="tx1"/>
            </w14:solidFill>
          </w14:textFill>
        </w:rPr>
        <w:t>偏差包括重大偏差和细微偏差。</w:t>
      </w:r>
    </w:p>
    <w:p w14:paraId="673725BA">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8</w:t>
      </w:r>
      <w:r>
        <w:rPr>
          <w:rFonts w:ascii="Times New Roman" w:hAnsi="Times New Roman" w:cs="Times New Roman"/>
          <w:color w:val="000000" w:themeColor="text1"/>
          <w:highlight w:val="none"/>
          <w14:textFill>
            <w14:solidFill>
              <w14:schemeClr w14:val="tx1"/>
            </w14:solidFill>
          </w14:textFill>
        </w:rPr>
        <w:t>.2 响应文件存在“评审办法”中所列任一否决</w:t>
      </w:r>
      <w:r>
        <w:rPr>
          <w:rFonts w:hint="eastAsia" w:ascii="Times New Roman" w:hAnsi="Times New Roman" w:cs="Times New Roman"/>
          <w:color w:val="000000" w:themeColor="text1"/>
          <w:highlight w:val="none"/>
          <w14:textFill>
            <w14:solidFill>
              <w14:schemeClr w14:val="tx1"/>
            </w14:solidFill>
          </w14:textFill>
        </w:rPr>
        <w:t>响应文件</w:t>
      </w:r>
      <w:r>
        <w:rPr>
          <w:rFonts w:ascii="Times New Roman" w:hAnsi="Times New Roman" w:cs="Times New Roman"/>
          <w:color w:val="000000" w:themeColor="text1"/>
          <w:highlight w:val="none"/>
          <w14:textFill>
            <w14:solidFill>
              <w14:schemeClr w14:val="tx1"/>
            </w14:solidFill>
          </w14:textFill>
        </w:rPr>
        <w:t>情形的，均属于存在重大偏差</w:t>
      </w:r>
      <w:r>
        <w:rPr>
          <w:rFonts w:hint="eastAsia" w:ascii="Times New Roman" w:hAnsi="Times New Roman" w:cs="Times New Roman"/>
          <w:color w:val="000000" w:themeColor="text1"/>
          <w:highlight w:val="none"/>
          <w14:textFill>
            <w14:solidFill>
              <w14:schemeClr w14:val="tx1"/>
            </w14:solidFill>
          </w14:textFill>
        </w:rPr>
        <w:t>，响应文件将被否决</w:t>
      </w:r>
      <w:r>
        <w:rPr>
          <w:rFonts w:ascii="Times New Roman" w:hAnsi="Times New Roman" w:cs="Times New Roman"/>
          <w:color w:val="000000" w:themeColor="text1"/>
          <w:highlight w:val="none"/>
          <w14:textFill>
            <w14:solidFill>
              <w14:schemeClr w14:val="tx1"/>
            </w14:solidFill>
          </w14:textFill>
        </w:rPr>
        <w:t>。</w:t>
      </w:r>
    </w:p>
    <w:p w14:paraId="0A4E3786">
      <w:pPr>
        <w:keepNext/>
        <w:keepLines/>
        <w:spacing w:before="156" w:beforeLines="50" w:after="156" w:afterLines="50"/>
        <w:outlineLvl w:val="1"/>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2. 询比文件</w:t>
      </w:r>
    </w:p>
    <w:p w14:paraId="6B8D058C">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2.1 询比文件的组成</w:t>
      </w:r>
    </w:p>
    <w:p w14:paraId="459FA22E">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本询比文件包括：</w:t>
      </w:r>
    </w:p>
    <w:p w14:paraId="72491CED">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采购公告</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采购邀请书</w:t>
      </w:r>
      <w:r>
        <w:rPr>
          <w:rFonts w:ascii="Times New Roman" w:hAnsi="Times New Roman" w:cs="Times New Roman"/>
          <w:color w:val="000000" w:themeColor="text1"/>
          <w:highlight w:val="none"/>
          <w14:textFill>
            <w14:solidFill>
              <w14:schemeClr w14:val="tx1"/>
            </w14:solidFill>
          </w14:textFill>
        </w:rPr>
        <w:t>；</w:t>
      </w:r>
    </w:p>
    <w:p w14:paraId="1A876D84">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（2）供应商须知；</w:t>
      </w:r>
    </w:p>
    <w:p w14:paraId="34D24041">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（3）评审办法；</w:t>
      </w:r>
    </w:p>
    <w:p w14:paraId="5653FBF4">
      <w:pPr>
        <w:spacing w:line="440" w:lineRule="exact"/>
        <w:ind w:firstLine="420"/>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（4）合同内容</w:t>
      </w:r>
      <w:r>
        <w:rPr>
          <w:rFonts w:hint="eastAsia" w:ascii="Times New Roman" w:hAnsi="Times New Roman" w:eastAsia="宋体" w:cs="Times New Roman"/>
          <w:color w:val="000000" w:themeColor="text1"/>
          <w:highlight w:val="none"/>
          <w:lang w:eastAsia="zh-CN"/>
          <w14:textFill>
            <w14:solidFill>
              <w14:schemeClr w14:val="tx1"/>
            </w14:solidFill>
          </w14:textFill>
        </w:rPr>
        <w:t>；</w:t>
      </w:r>
    </w:p>
    <w:p w14:paraId="1405627F">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5</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供货要求</w:t>
      </w:r>
      <w:r>
        <w:rPr>
          <w:rFonts w:ascii="Times New Roman" w:hAnsi="Times New Roman" w:cs="Times New Roman"/>
          <w:color w:val="000000" w:themeColor="text1"/>
          <w:highlight w:val="none"/>
          <w14:textFill>
            <w14:solidFill>
              <w14:schemeClr w14:val="tx1"/>
            </w14:solidFill>
          </w14:textFill>
        </w:rPr>
        <w:t>；</w:t>
      </w:r>
    </w:p>
    <w:p w14:paraId="5673F0DF">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6</w:t>
      </w:r>
      <w:r>
        <w:rPr>
          <w:rFonts w:ascii="Times New Roman" w:hAnsi="Times New Roman" w:cs="Times New Roman"/>
          <w:color w:val="000000" w:themeColor="text1"/>
          <w:highlight w:val="none"/>
          <w14:textFill>
            <w14:solidFill>
              <w14:schemeClr w14:val="tx1"/>
            </w14:solidFill>
          </w14:textFill>
        </w:rPr>
        <w:t>）采购需求及清单；</w:t>
      </w:r>
    </w:p>
    <w:p w14:paraId="2ACE918C">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7</w:t>
      </w:r>
      <w:r>
        <w:rPr>
          <w:rFonts w:ascii="Times New Roman" w:hAnsi="Times New Roman" w:cs="Times New Roman"/>
          <w:color w:val="000000" w:themeColor="text1"/>
          <w:highlight w:val="none"/>
          <w14:textFill>
            <w14:solidFill>
              <w14:schemeClr w14:val="tx1"/>
            </w14:solidFill>
          </w14:textFill>
        </w:rPr>
        <w:t>）响应文件格式</w:t>
      </w:r>
      <w:r>
        <w:rPr>
          <w:rFonts w:hint="eastAsia" w:ascii="Times New Roman" w:hAnsi="Times New Roman" w:cs="Times New Roman"/>
          <w:color w:val="000000" w:themeColor="text1"/>
          <w:highlight w:val="none"/>
          <w14:textFill>
            <w14:solidFill>
              <w14:schemeClr w14:val="tx1"/>
            </w14:solidFill>
          </w14:textFill>
        </w:rPr>
        <w:t>。</w:t>
      </w:r>
    </w:p>
    <w:p w14:paraId="4D3C1489">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根据本章对询比文件所作的澄清、修改，构成询比文件的组成部分。</w:t>
      </w:r>
    </w:p>
    <w:p w14:paraId="0EEC05BE">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2.2 询比文件的澄清</w:t>
      </w:r>
      <w:r>
        <w:rPr>
          <w:rFonts w:hint="eastAsia" w:ascii="Times New Roman" w:hAnsi="Times New Roman" w:eastAsia="黑体" w:cs="Times New Roman"/>
          <w:bCs/>
          <w:color w:val="000000" w:themeColor="text1"/>
          <w:sz w:val="24"/>
          <w:szCs w:val="32"/>
          <w:highlight w:val="none"/>
          <w14:textFill>
            <w14:solidFill>
              <w14:schemeClr w14:val="tx1"/>
            </w14:solidFill>
          </w14:textFill>
        </w:rPr>
        <w:t>与修改</w:t>
      </w:r>
    </w:p>
    <w:p w14:paraId="7D1E9CF5">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2.2.1</w:t>
      </w:r>
      <w:r>
        <w:rPr>
          <w:rFonts w:hint="eastAsia"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color w:val="000000" w:themeColor="text1"/>
          <w:highlight w:val="none"/>
          <w14:textFill>
            <w14:solidFill>
              <w14:schemeClr w14:val="tx1"/>
            </w14:solidFill>
          </w14:textFill>
        </w:rPr>
        <w:t>供应商如有疑问，应在递交</w:t>
      </w:r>
      <w:r>
        <w:rPr>
          <w:rFonts w:hint="eastAsia" w:ascii="Times New Roman" w:hAnsi="Times New Roman" w:cs="Times New Roman"/>
          <w:color w:val="000000" w:themeColor="text1"/>
          <w:highlight w:val="none"/>
          <w14:textFill>
            <w14:solidFill>
              <w14:schemeClr w14:val="tx1"/>
            </w14:solidFill>
          </w14:textFill>
        </w:rPr>
        <w:t>响应</w:t>
      </w:r>
      <w:r>
        <w:rPr>
          <w:rFonts w:ascii="Times New Roman" w:hAnsi="Times New Roman" w:cs="Times New Roman"/>
          <w:color w:val="000000" w:themeColor="text1"/>
          <w:highlight w:val="none"/>
          <w14:textFill>
            <w14:solidFill>
              <w14:schemeClr w14:val="tx1"/>
            </w14:solidFill>
          </w14:textFill>
        </w:rPr>
        <w:t>文件的截止时间</w:t>
      </w:r>
      <w:r>
        <w:rPr>
          <w:rFonts w:hint="eastAsia" w:ascii="Times New Roman" w:hAnsi="Times New Roman" w:cs="Times New Roman"/>
          <w:color w:val="000000" w:themeColor="text1"/>
          <w:highlight w:val="none"/>
          <w14:textFill>
            <w14:solidFill>
              <w14:schemeClr w14:val="tx1"/>
            </w14:solidFill>
          </w14:textFill>
        </w:rPr>
        <w:t>前3日</w:t>
      </w:r>
      <w:r>
        <w:rPr>
          <w:rFonts w:hint="eastAsia" w:ascii="Times New Roman" w:hAnsi="Times New Roman" w:cs="Times New Roman"/>
          <w:color w:val="000000" w:themeColor="text1"/>
          <w:highlight w:val="none"/>
          <w:lang w:val="en-US" w:eastAsia="zh-CN"/>
          <w14:textFill>
            <w14:solidFill>
              <w14:schemeClr w14:val="tx1"/>
            </w14:solidFill>
          </w14:textFill>
        </w:rPr>
        <w:t>内</w:t>
      </w:r>
      <w:r>
        <w:rPr>
          <w:rFonts w:hint="eastAsia" w:ascii="Times New Roman" w:hAnsi="Times New Roman" w:cs="Times New Roman"/>
          <w:color w:val="000000" w:themeColor="text1"/>
          <w:highlight w:val="none"/>
          <w14:textFill>
            <w14:solidFill>
              <w14:schemeClr w14:val="tx1"/>
            </w14:solidFill>
          </w14:textFill>
        </w:rPr>
        <w:t>通过</w:t>
      </w:r>
      <w:r>
        <w:rPr>
          <w:rFonts w:hint="eastAsia" w:ascii="Times New Roman" w:hAnsi="Times New Roman" w:cs="Times New Roman"/>
          <w:color w:val="000000" w:themeColor="text1"/>
          <w:highlight w:val="none"/>
          <w:lang w:val="en-US" w:eastAsia="zh-CN"/>
          <w14:textFill>
            <w14:solidFill>
              <w14:schemeClr w14:val="tx1"/>
            </w14:solidFill>
          </w14:textFill>
        </w:rPr>
        <w:t>公告中的联系方式联系采购人</w:t>
      </w:r>
      <w:r>
        <w:rPr>
          <w:rFonts w:ascii="Times New Roman" w:hAnsi="Times New Roman" w:cs="Times New Roman"/>
          <w:color w:val="000000" w:themeColor="text1"/>
          <w:highlight w:val="none"/>
          <w14:textFill>
            <w14:solidFill>
              <w14:schemeClr w14:val="tx1"/>
            </w14:solidFill>
          </w14:textFill>
        </w:rPr>
        <w:t>对询比文件予以澄清</w:t>
      </w:r>
      <w:r>
        <w:rPr>
          <w:rFonts w:hint="eastAsia" w:ascii="Times New Roman" w:hAnsi="Times New Roman" w:cs="Times New Roman"/>
          <w:color w:val="000000" w:themeColor="text1"/>
          <w:highlight w:val="none"/>
          <w14:textFill>
            <w14:solidFill>
              <w14:schemeClr w14:val="tx1"/>
            </w14:solidFill>
          </w14:textFill>
        </w:rPr>
        <w:t>或修改</w:t>
      </w:r>
      <w:r>
        <w:rPr>
          <w:rFonts w:ascii="Times New Roman" w:hAnsi="Times New Roman" w:cs="Times New Roman"/>
          <w:color w:val="000000" w:themeColor="text1"/>
          <w:highlight w:val="none"/>
          <w14:textFill>
            <w14:solidFill>
              <w14:schemeClr w14:val="tx1"/>
            </w14:solidFill>
          </w14:textFill>
        </w:rPr>
        <w:t>。</w:t>
      </w:r>
    </w:p>
    <w:p w14:paraId="4F4B5C2A">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2.2.</w:t>
      </w:r>
      <w:r>
        <w:rPr>
          <w:rFonts w:hint="eastAsia" w:ascii="Times New Roman" w:hAnsi="Times New Roman" w:cs="Times New Roman"/>
          <w:color w:val="000000" w:themeColor="text1"/>
          <w:highlight w:val="none"/>
          <w14:textFill>
            <w14:solidFill>
              <w14:schemeClr w14:val="tx1"/>
            </w14:solidFill>
          </w14:textFill>
        </w:rPr>
        <w:t>2</w:t>
      </w:r>
      <w:r>
        <w:rPr>
          <w:rFonts w:ascii="Times New Roman" w:hAnsi="Times New Roman" w:cs="Times New Roman"/>
          <w:color w:val="000000" w:themeColor="text1"/>
          <w:highlight w:val="none"/>
          <w14:textFill>
            <w14:solidFill>
              <w14:schemeClr w14:val="tx1"/>
            </w14:solidFill>
          </w14:textFill>
        </w:rPr>
        <w:t xml:space="preserve"> 除非采购人认为确有必要答复，否则，采购人有权拒绝回复供应商在本章第2.2.1项规定的时间后提出的任何澄清</w:t>
      </w:r>
      <w:r>
        <w:rPr>
          <w:rFonts w:hint="eastAsia" w:ascii="Times New Roman" w:hAnsi="Times New Roman" w:cs="Times New Roman"/>
          <w:color w:val="000000" w:themeColor="text1"/>
          <w:highlight w:val="none"/>
          <w14:textFill>
            <w14:solidFill>
              <w14:schemeClr w14:val="tx1"/>
            </w14:solidFill>
          </w14:textFill>
        </w:rPr>
        <w:t>或修改</w:t>
      </w:r>
      <w:r>
        <w:rPr>
          <w:rFonts w:ascii="Times New Roman" w:hAnsi="Times New Roman" w:cs="Times New Roman"/>
          <w:color w:val="000000" w:themeColor="text1"/>
          <w:highlight w:val="none"/>
          <w14:textFill>
            <w14:solidFill>
              <w14:schemeClr w14:val="tx1"/>
            </w14:solidFill>
          </w14:textFill>
        </w:rPr>
        <w:t>要求。</w:t>
      </w:r>
    </w:p>
    <w:p w14:paraId="4812FE20">
      <w:pPr>
        <w:keepNext/>
        <w:keepLines/>
        <w:spacing w:before="156" w:beforeLines="50" w:after="156" w:afterLines="50"/>
        <w:outlineLvl w:val="1"/>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3. 响应文件</w:t>
      </w:r>
    </w:p>
    <w:p w14:paraId="06236155">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3.1响应文件的组成</w:t>
      </w:r>
    </w:p>
    <w:p w14:paraId="3B8667E7">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响应文件应包括下列内容：</w:t>
      </w:r>
    </w:p>
    <w:p w14:paraId="3A53D988">
      <w:pPr>
        <w:spacing w:line="440" w:lineRule="exact"/>
        <w:ind w:firstLine="420"/>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商务技术文件应包括下列内容：</w:t>
      </w:r>
    </w:p>
    <w:p w14:paraId="71EC1205">
      <w:pPr>
        <w:spacing w:line="440" w:lineRule="exact"/>
        <w:ind w:firstLine="42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响应函；</w:t>
      </w:r>
    </w:p>
    <w:p w14:paraId="6B5CBC33">
      <w:pPr>
        <w:spacing w:line="44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）法定代表人身份证明及授权委托书；</w:t>
      </w:r>
    </w:p>
    <w:p w14:paraId="58031DBA">
      <w:pPr>
        <w:spacing w:line="44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）供应商基本情况；</w:t>
      </w:r>
    </w:p>
    <w:p w14:paraId="3CB294D4">
      <w:pPr>
        <w:spacing w:line="44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）近年类似业绩情况；</w:t>
      </w:r>
    </w:p>
    <w:p w14:paraId="47C953A1">
      <w:pPr>
        <w:spacing w:line="44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）信誉情况；</w:t>
      </w:r>
    </w:p>
    <w:p w14:paraId="4B6C2BFB">
      <w:pPr>
        <w:spacing w:line="44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企业实力</w:t>
      </w:r>
      <w:r>
        <w:rPr>
          <w:rFonts w:hint="eastAsia" w:ascii="宋体" w:hAnsi="宋体" w:eastAsia="宋体" w:cs="宋体"/>
          <w:color w:val="000000" w:themeColor="text1"/>
          <w:highlight w:val="none"/>
          <w14:textFill>
            <w14:solidFill>
              <w14:schemeClr w14:val="tx1"/>
            </w14:solidFill>
          </w14:textFill>
        </w:rPr>
        <w:t>；</w:t>
      </w:r>
    </w:p>
    <w:p w14:paraId="60BB8235">
      <w:pPr>
        <w:spacing w:line="440" w:lineRule="exact"/>
        <w:ind w:firstLine="42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生产体系认证；</w:t>
      </w:r>
    </w:p>
    <w:p w14:paraId="623BF354">
      <w:pPr>
        <w:spacing w:line="440" w:lineRule="exact"/>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）供货方案</w:t>
      </w:r>
      <w:r>
        <w:rPr>
          <w:rFonts w:hint="eastAsia" w:ascii="宋体" w:hAnsi="宋体" w:eastAsia="宋体" w:cs="宋体"/>
          <w:color w:val="000000" w:themeColor="text1"/>
          <w:highlight w:val="none"/>
          <w:lang w:eastAsia="zh-CN"/>
          <w14:textFill>
            <w14:solidFill>
              <w14:schemeClr w14:val="tx1"/>
            </w14:solidFill>
          </w14:textFill>
        </w:rPr>
        <w:t>；</w:t>
      </w:r>
    </w:p>
    <w:p w14:paraId="26AACF9D">
      <w:pPr>
        <w:spacing w:line="440" w:lineRule="exact"/>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）售后服务方案</w:t>
      </w:r>
      <w:r>
        <w:rPr>
          <w:rFonts w:hint="eastAsia" w:ascii="宋体" w:hAnsi="宋体" w:eastAsia="宋体" w:cs="宋体"/>
          <w:color w:val="000000" w:themeColor="text1"/>
          <w:highlight w:val="none"/>
          <w:lang w:eastAsia="zh-CN"/>
          <w14:textFill>
            <w14:solidFill>
              <w14:schemeClr w14:val="tx1"/>
            </w14:solidFill>
          </w14:textFill>
        </w:rPr>
        <w:t>；</w:t>
      </w:r>
    </w:p>
    <w:p w14:paraId="2FE62E28">
      <w:pPr>
        <w:spacing w:line="440" w:lineRule="exact"/>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承诺书</w:t>
      </w:r>
      <w:r>
        <w:rPr>
          <w:rFonts w:hint="eastAsia" w:ascii="宋体" w:hAnsi="宋体" w:eastAsia="宋体" w:cs="宋体"/>
          <w:color w:val="000000" w:themeColor="text1"/>
          <w:highlight w:val="none"/>
          <w:lang w:eastAsia="zh-CN"/>
          <w14:textFill>
            <w14:solidFill>
              <w14:schemeClr w14:val="tx1"/>
            </w14:solidFill>
          </w14:textFill>
        </w:rPr>
        <w:t>；</w:t>
      </w:r>
    </w:p>
    <w:p w14:paraId="0593F931">
      <w:pPr>
        <w:spacing w:line="440" w:lineRule="exact"/>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其他材料。</w:t>
      </w:r>
    </w:p>
    <w:p w14:paraId="6E291C06">
      <w:pPr>
        <w:spacing w:line="440" w:lineRule="exact"/>
        <w:ind w:firstLine="420"/>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报价文件包括以下内容：</w:t>
      </w:r>
    </w:p>
    <w:p w14:paraId="1E28237F">
      <w:pPr>
        <w:spacing w:line="44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响应函</w:t>
      </w:r>
      <w:r>
        <w:rPr>
          <w:rFonts w:hint="eastAsia" w:ascii="宋体" w:hAnsi="宋体" w:eastAsia="宋体" w:cs="宋体"/>
          <w:color w:val="000000" w:themeColor="text1"/>
          <w:highlight w:val="none"/>
          <w14:textFill>
            <w14:solidFill>
              <w14:schemeClr w14:val="tx1"/>
            </w14:solidFill>
          </w14:textFill>
        </w:rPr>
        <w:t>；</w:t>
      </w:r>
    </w:p>
    <w:p w14:paraId="6D123A2F">
      <w:pPr>
        <w:spacing w:line="44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已标价的工程量清单</w:t>
      </w:r>
      <w:r>
        <w:rPr>
          <w:rFonts w:hint="eastAsia" w:ascii="宋体" w:hAnsi="宋体" w:eastAsia="宋体" w:cs="宋体"/>
          <w:color w:val="000000" w:themeColor="text1"/>
          <w:highlight w:val="none"/>
          <w14:textFill>
            <w14:solidFill>
              <w14:schemeClr w14:val="tx1"/>
            </w14:solidFill>
          </w14:textFill>
        </w:rPr>
        <w:t>；</w:t>
      </w:r>
    </w:p>
    <w:p w14:paraId="625EE505">
      <w:pPr>
        <w:spacing w:line="440" w:lineRule="exact"/>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响应报价需要说明的其他资料。（如有）</w:t>
      </w:r>
    </w:p>
    <w:p w14:paraId="483DBC90">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 xml:space="preserve">3.2 报价要求 </w:t>
      </w:r>
    </w:p>
    <w:p w14:paraId="10975D6F">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3.2.1 报价应包括国家规定的增值税税金。</w:t>
      </w:r>
    </w:p>
    <w:p w14:paraId="371123B0">
      <w:pPr>
        <w:spacing w:line="440" w:lineRule="exact"/>
        <w:ind w:firstLine="420"/>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 xml:space="preserve">3.2.2 </w:t>
      </w:r>
      <w:r>
        <w:rPr>
          <w:rFonts w:ascii="Times New Roman" w:hAnsi="Times New Roman" w:cs="Times New Roman"/>
          <w:color w:val="000000" w:themeColor="text1"/>
          <w:highlight w:val="none"/>
          <w14:textFill>
            <w14:solidFill>
              <w14:schemeClr w14:val="tx1"/>
            </w14:solidFill>
          </w14:textFill>
        </w:rPr>
        <w:t>供应商应按第六章“响应文件格式”的要求在报价函中进行报价并填写工程量清单相应表格</w:t>
      </w:r>
      <w:r>
        <w:rPr>
          <w:rFonts w:hint="eastAsia" w:ascii="Times New Roman" w:hAnsi="Times New Roman" w:cs="Times New Roman"/>
          <w:color w:val="000000" w:themeColor="text1"/>
          <w:highlight w:val="none"/>
          <w:lang w:val="en-US" w:eastAsia="zh-CN"/>
          <w14:textFill>
            <w14:solidFill>
              <w14:schemeClr w14:val="tx1"/>
            </w14:solidFill>
          </w14:textFill>
        </w:rPr>
        <w:t>。</w:t>
      </w:r>
    </w:p>
    <w:p w14:paraId="087A9C7E">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3.2.</w:t>
      </w:r>
      <w:r>
        <w:rPr>
          <w:rFonts w:hint="eastAsia" w:ascii="Times New Roman" w:hAnsi="Times New Roman" w:cs="Times New Roman"/>
          <w:color w:val="000000" w:themeColor="text1"/>
          <w:highlight w:val="none"/>
          <w14:textFill>
            <w14:solidFill>
              <w14:schemeClr w14:val="tx1"/>
            </w14:solidFill>
          </w14:textFill>
        </w:rPr>
        <w:t>3</w:t>
      </w:r>
      <w:r>
        <w:rPr>
          <w:rFonts w:ascii="Times New Roman" w:hAnsi="Times New Roman" w:cs="Times New Roman"/>
          <w:color w:val="000000" w:themeColor="text1"/>
          <w:highlight w:val="none"/>
          <w14:textFill>
            <w14:solidFill>
              <w14:schemeClr w14:val="tx1"/>
            </w14:solidFill>
          </w14:textFill>
        </w:rPr>
        <w:t xml:space="preserve"> 采购人设有最高限价的，供应商的报价不得超过最高限价，</w:t>
      </w:r>
      <w:r>
        <w:rPr>
          <w:rFonts w:hint="eastAsia" w:ascii="Times New Roman" w:hAnsi="Times New Roman" w:cs="Times New Roman"/>
          <w:color w:val="000000" w:themeColor="text1"/>
          <w:highlight w:val="none"/>
          <w14:textFill>
            <w14:solidFill>
              <w14:schemeClr w14:val="tx1"/>
            </w14:solidFill>
          </w14:textFill>
        </w:rPr>
        <w:t>否则其报价将被否决，</w:t>
      </w:r>
      <w:r>
        <w:rPr>
          <w:rFonts w:ascii="Times New Roman" w:hAnsi="Times New Roman" w:cs="Times New Roman"/>
          <w:color w:val="000000" w:themeColor="text1"/>
          <w:highlight w:val="none"/>
          <w14:textFill>
            <w14:solidFill>
              <w14:schemeClr w14:val="tx1"/>
            </w14:solidFill>
          </w14:textFill>
        </w:rPr>
        <w:t>最高限价</w:t>
      </w:r>
      <w:r>
        <w:rPr>
          <w:rFonts w:hint="eastAsia" w:ascii="Times New Roman" w:hAnsi="Times New Roman" w:cs="Times New Roman"/>
          <w:color w:val="000000" w:themeColor="text1"/>
          <w:highlight w:val="none"/>
          <w14:textFill>
            <w14:solidFill>
              <w14:schemeClr w14:val="tx1"/>
            </w14:solidFill>
          </w14:textFill>
        </w:rPr>
        <w:t>见第一章</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szCs w:val="21"/>
          <w:highlight w:val="none"/>
          <w14:textFill>
            <w14:solidFill>
              <w14:schemeClr w14:val="tx1"/>
            </w14:solidFill>
          </w14:textFill>
        </w:rPr>
        <w:t>采购公告</w:t>
      </w:r>
      <w:r>
        <w:rPr>
          <w:rFonts w:ascii="Times New Roman" w:hAnsi="Times New Roman" w:cs="Times New Roman"/>
          <w:color w:val="000000" w:themeColor="text1"/>
          <w:szCs w:val="21"/>
          <w:highlight w:val="none"/>
          <w14:textFill>
            <w14:solidFill>
              <w14:schemeClr w14:val="tx1"/>
            </w14:solidFill>
          </w14:textFill>
        </w:rPr>
        <w:t>/</w:t>
      </w:r>
      <w:r>
        <w:rPr>
          <w:rFonts w:hint="eastAsia" w:ascii="Times New Roman" w:hAnsi="Times New Roman" w:cs="Times New Roman"/>
          <w:color w:val="000000" w:themeColor="text1"/>
          <w:szCs w:val="21"/>
          <w:highlight w:val="none"/>
          <w14:textFill>
            <w14:solidFill>
              <w14:schemeClr w14:val="tx1"/>
            </w14:solidFill>
          </w14:textFill>
        </w:rPr>
        <w:t>采购邀请书</w:t>
      </w:r>
      <w:r>
        <w:rPr>
          <w:rFonts w:ascii="Times New Roman" w:hAnsi="Times New Roman" w:cs="Times New Roman"/>
          <w:color w:val="000000" w:themeColor="text1"/>
          <w:highlight w:val="none"/>
          <w14:textFill>
            <w14:solidFill>
              <w14:schemeClr w14:val="tx1"/>
            </w14:solidFill>
          </w14:textFill>
        </w:rPr>
        <w:t>”。</w:t>
      </w:r>
    </w:p>
    <w:p w14:paraId="56ABAAD1">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3.2.4</w:t>
      </w:r>
      <w:r>
        <w:rPr>
          <w:rFonts w:ascii="Times New Roman" w:hAnsi="Times New Roman" w:cs="Times New Roman"/>
          <w:color w:val="000000" w:themeColor="text1"/>
          <w:highlight w:val="none"/>
          <w14:textFill>
            <w14:solidFill>
              <w14:schemeClr w14:val="tx1"/>
            </w14:solidFill>
          </w14:textFill>
        </w:rPr>
        <w:t>本项目的报价方式</w:t>
      </w:r>
      <w:r>
        <w:rPr>
          <w:rFonts w:hint="eastAsia" w:ascii="Times New Roman" w:hAnsi="Times New Roman" w:cs="Times New Roman"/>
          <w:color w:val="000000" w:themeColor="text1"/>
          <w:highlight w:val="none"/>
          <w14:textFill>
            <w14:solidFill>
              <w14:schemeClr w14:val="tx1"/>
            </w14:solidFill>
          </w14:textFill>
        </w:rPr>
        <w:t>为</w:t>
      </w:r>
      <w:r>
        <w:rPr>
          <w:rFonts w:hint="eastAsia" w:ascii="Times New Roman" w:hAnsi="Times New Roman" w:cs="Times New Roman"/>
          <w:color w:val="000000" w:themeColor="text1"/>
          <w:highlight w:val="none"/>
          <w:u w:val="single"/>
          <w14:textFill>
            <w14:solidFill>
              <w14:schemeClr w14:val="tx1"/>
            </w14:solidFill>
          </w14:textFill>
        </w:rPr>
        <w:t>见供应商须知前附表</w:t>
      </w:r>
      <w:r>
        <w:rPr>
          <w:rFonts w:ascii="Times New Roman" w:hAnsi="Times New Roman" w:cs="Times New Roman"/>
          <w:color w:val="000000" w:themeColor="text1"/>
          <w:highlight w:val="none"/>
          <w14:textFill>
            <w14:solidFill>
              <w14:schemeClr w14:val="tx1"/>
            </w14:solidFill>
          </w14:textFill>
        </w:rPr>
        <w:t>。</w:t>
      </w:r>
    </w:p>
    <w:p w14:paraId="6623A5B4">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3.2.</w:t>
      </w:r>
      <w:r>
        <w:rPr>
          <w:rFonts w:hint="eastAsia" w:ascii="Times New Roman" w:hAnsi="Times New Roman" w:cs="Times New Roman"/>
          <w:color w:val="000000" w:themeColor="text1"/>
          <w:highlight w:val="none"/>
          <w14:textFill>
            <w14:solidFill>
              <w14:schemeClr w14:val="tx1"/>
            </w14:solidFill>
          </w14:textFill>
        </w:rPr>
        <w:t>5</w:t>
      </w:r>
      <w:r>
        <w:rPr>
          <w:rFonts w:ascii="Times New Roman" w:hAnsi="Times New Roman" w:cs="Times New Roman"/>
          <w:color w:val="000000" w:themeColor="text1"/>
          <w:highlight w:val="none"/>
          <w14:textFill>
            <w14:solidFill>
              <w14:schemeClr w14:val="tx1"/>
            </w14:solidFill>
          </w14:textFill>
        </w:rPr>
        <w:t xml:space="preserve"> 报价的其他要求</w:t>
      </w:r>
      <w:r>
        <w:rPr>
          <w:rFonts w:hint="eastAsia"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szCs w:val="21"/>
          <w:highlight w:val="none"/>
          <w:u w:val="single"/>
          <w14:textFill>
            <w14:solidFill>
              <w14:schemeClr w14:val="tx1"/>
            </w14:solidFill>
          </w14:textFill>
        </w:rPr>
        <w:t>见供应商须知前附表</w:t>
      </w:r>
      <w:r>
        <w:rPr>
          <w:rFonts w:ascii="Times New Roman" w:hAnsi="Times New Roman" w:cs="Times New Roman"/>
          <w:color w:val="000000" w:themeColor="text1"/>
          <w:highlight w:val="none"/>
          <w14:textFill>
            <w14:solidFill>
              <w14:schemeClr w14:val="tx1"/>
            </w14:solidFill>
          </w14:textFill>
        </w:rPr>
        <w:t>。</w:t>
      </w:r>
    </w:p>
    <w:p w14:paraId="4CB7B67E">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3.3响应有效期</w:t>
      </w:r>
    </w:p>
    <w:p w14:paraId="52862C95">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3.3.1 响应有效期为</w:t>
      </w:r>
      <w:r>
        <w:rPr>
          <w:rFonts w:ascii="Times New Roman" w:hAnsi="Times New Roman" w:eastAsia="宋体" w:cs="Times New Roman"/>
          <w:color w:val="000000" w:themeColor="text1"/>
          <w:szCs w:val="21"/>
          <w:highlight w:val="none"/>
          <w14:textFill>
            <w14:solidFill>
              <w14:schemeClr w14:val="tx1"/>
            </w14:solidFill>
          </w14:textFill>
        </w:rPr>
        <w:t>自供应商递交响应文件截止之日起计算</w:t>
      </w:r>
      <w:r>
        <w:rPr>
          <w:rFonts w:hint="eastAsia" w:ascii="Times New Roman" w:hAnsi="Times New Roman" w:eastAsia="宋体" w:cs="Times New Roman"/>
          <w:color w:val="000000" w:themeColor="text1"/>
          <w:szCs w:val="21"/>
          <w:highlight w:val="none"/>
          <w14:textFill>
            <w14:solidFill>
              <w14:schemeClr w14:val="tx1"/>
            </w14:solidFill>
          </w14:textFill>
        </w:rPr>
        <w:t>9</w:t>
      </w:r>
      <w:r>
        <w:rPr>
          <w:rFonts w:ascii="Times New Roman" w:hAnsi="Times New Roman" w:eastAsia="宋体" w:cs="Times New Roman"/>
          <w:color w:val="000000" w:themeColor="text1"/>
          <w:szCs w:val="21"/>
          <w:highlight w:val="none"/>
          <w14:textFill>
            <w14:solidFill>
              <w14:schemeClr w14:val="tx1"/>
            </w14:solidFill>
          </w14:textFill>
        </w:rPr>
        <w:t>0</w:t>
      </w:r>
      <w:r>
        <w:rPr>
          <w:rFonts w:ascii="Times New Roman" w:hAnsi="Times New Roman" w:cs="Times New Roman"/>
          <w:color w:val="000000" w:themeColor="text1"/>
          <w:highlight w:val="none"/>
          <w14:textFill>
            <w14:solidFill>
              <w14:schemeClr w14:val="tx1"/>
            </w14:solidFill>
          </w14:textFill>
        </w:rPr>
        <w:t>日。</w:t>
      </w:r>
    </w:p>
    <w:p w14:paraId="51F44310">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3.4响应保证金</w:t>
      </w:r>
    </w:p>
    <w:p w14:paraId="078C90F4">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3.4.1 供应商在递交响应文件的同时，应按</w:t>
      </w:r>
      <w:r>
        <w:rPr>
          <w:rFonts w:hint="eastAsia" w:ascii="Times New Roman" w:hAnsi="Times New Roman" w:cs="Times New Roman"/>
          <w:color w:val="000000" w:themeColor="text1"/>
          <w:highlight w:val="none"/>
          <w14:textFill>
            <w14:solidFill>
              <w14:schemeClr w14:val="tx1"/>
            </w14:solidFill>
          </w14:textFill>
        </w:rPr>
        <w:t>第一章</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szCs w:val="21"/>
          <w:highlight w:val="none"/>
          <w14:textFill>
            <w14:solidFill>
              <w14:schemeClr w14:val="tx1"/>
            </w14:solidFill>
          </w14:textFill>
        </w:rPr>
        <w:t>采购公告</w:t>
      </w:r>
      <w:r>
        <w:rPr>
          <w:rFonts w:ascii="Times New Roman" w:hAnsi="Times New Roman" w:cs="Times New Roman"/>
          <w:color w:val="000000" w:themeColor="text1"/>
          <w:szCs w:val="21"/>
          <w:highlight w:val="none"/>
          <w14:textFill>
            <w14:solidFill>
              <w14:schemeClr w14:val="tx1"/>
            </w14:solidFill>
          </w14:textFill>
        </w:rPr>
        <w:t>/</w:t>
      </w:r>
      <w:r>
        <w:rPr>
          <w:rFonts w:hint="eastAsia" w:ascii="Times New Roman" w:hAnsi="Times New Roman" w:cs="Times New Roman"/>
          <w:color w:val="000000" w:themeColor="text1"/>
          <w:szCs w:val="21"/>
          <w:highlight w:val="none"/>
          <w14:textFill>
            <w14:solidFill>
              <w14:schemeClr w14:val="tx1"/>
            </w14:solidFill>
          </w14:textFill>
        </w:rPr>
        <w:t>采购邀请书</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的要求</w:t>
      </w:r>
      <w:r>
        <w:rPr>
          <w:rFonts w:ascii="Times New Roman" w:hAnsi="Times New Roman" w:cs="Times New Roman"/>
          <w:color w:val="000000" w:themeColor="text1"/>
          <w:highlight w:val="none"/>
          <w14:textFill>
            <w14:solidFill>
              <w14:schemeClr w14:val="tx1"/>
            </w14:solidFill>
          </w14:textFill>
        </w:rPr>
        <w:t>递交响应保证金，并作为其响应文件的组成部分。</w:t>
      </w:r>
    </w:p>
    <w:p w14:paraId="79CBA474">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无论采取何种形式的响应保证金，响应保证金有效期均应与响应有效期一致。</w:t>
      </w:r>
    </w:p>
    <w:p w14:paraId="522DB684">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3.4.2 供应商不按本章第3.4.1项要求提交响应保证金的，</w:t>
      </w:r>
      <w:r>
        <w:rPr>
          <w:rFonts w:hint="eastAsia" w:ascii="Times New Roman" w:hAnsi="Times New Roman" w:cs="Times New Roman"/>
          <w:color w:val="000000" w:themeColor="text1"/>
          <w:highlight w:val="none"/>
          <w14:textFill>
            <w14:solidFill>
              <w14:schemeClr w14:val="tx1"/>
            </w14:solidFill>
          </w14:textFill>
        </w:rPr>
        <w:t>评审小组</w:t>
      </w:r>
      <w:r>
        <w:rPr>
          <w:rFonts w:ascii="Times New Roman" w:hAnsi="Times New Roman" w:cs="Times New Roman"/>
          <w:color w:val="000000" w:themeColor="text1"/>
          <w:highlight w:val="none"/>
          <w14:textFill>
            <w14:solidFill>
              <w14:schemeClr w14:val="tx1"/>
            </w14:solidFill>
          </w14:textFill>
        </w:rPr>
        <w:t>将否决其</w:t>
      </w:r>
      <w:r>
        <w:rPr>
          <w:rFonts w:hint="eastAsia" w:ascii="Times New Roman" w:hAnsi="Times New Roman" w:cs="Times New Roman"/>
          <w:color w:val="000000" w:themeColor="text1"/>
          <w:highlight w:val="none"/>
          <w14:textFill>
            <w14:solidFill>
              <w14:schemeClr w14:val="tx1"/>
            </w14:solidFill>
          </w14:textFill>
        </w:rPr>
        <w:t>响应文件</w:t>
      </w:r>
      <w:r>
        <w:rPr>
          <w:rFonts w:ascii="Times New Roman" w:hAnsi="Times New Roman" w:cs="Times New Roman"/>
          <w:color w:val="000000" w:themeColor="text1"/>
          <w:highlight w:val="none"/>
          <w14:textFill>
            <w14:solidFill>
              <w14:schemeClr w14:val="tx1"/>
            </w14:solidFill>
          </w14:textFill>
        </w:rPr>
        <w:t>。</w:t>
      </w:r>
    </w:p>
    <w:p w14:paraId="572C7A2A">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3.4.3 采购人在与成交人签订合同后5日内</w:t>
      </w:r>
      <w:r>
        <w:rPr>
          <w:rFonts w:hint="eastAsia" w:ascii="Times New Roman" w:hAnsi="Times New Roman" w:cs="Times New Roman"/>
          <w:color w:val="000000" w:themeColor="text1"/>
          <w:highlight w:val="none"/>
          <w:lang w:val="en-US" w:eastAsia="zh-CN"/>
          <w14:textFill>
            <w14:solidFill>
              <w14:schemeClr w14:val="tx1"/>
            </w14:solidFill>
          </w14:textFill>
        </w:rPr>
        <w:t>向未中标人办理</w:t>
      </w:r>
      <w:r>
        <w:rPr>
          <w:rFonts w:ascii="Times New Roman" w:hAnsi="Times New Roman" w:cs="Times New Roman"/>
          <w:color w:val="000000" w:themeColor="text1"/>
          <w:highlight w:val="none"/>
          <w14:textFill>
            <w14:solidFill>
              <w14:schemeClr w14:val="tx1"/>
            </w14:solidFill>
          </w14:textFill>
        </w:rPr>
        <w:t>退还响应保证金手续。</w:t>
      </w:r>
    </w:p>
    <w:p w14:paraId="5FCC4612">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3.4.4 有下列情形之一的，响应保证金将不予退还：</w:t>
      </w:r>
    </w:p>
    <w:p w14:paraId="695F4B00">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（1）供应商在规定的响应有效期内撤销其响应文件；</w:t>
      </w:r>
    </w:p>
    <w:p w14:paraId="0C6EA527">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w:t>
      </w:r>
      <w:r>
        <w:rPr>
          <w:rFonts w:hint="eastAsia" w:ascii="Times New Roman" w:hAnsi="Times New Roman" w:cs="Times New Roman"/>
          <w:color w:val="000000" w:themeColor="text1"/>
          <w:szCs w:val="21"/>
          <w:highlight w:val="none"/>
          <w14:textFill>
            <w14:solidFill>
              <w14:schemeClr w14:val="tx1"/>
            </w14:solidFill>
          </w14:textFill>
        </w:rPr>
        <w:t>供应商须知前附表规定的</w:t>
      </w:r>
      <w:r>
        <w:rPr>
          <w:rFonts w:ascii="Times New Roman" w:hAnsi="Times New Roman" w:cs="Times New Roman"/>
          <w:color w:val="000000" w:themeColor="text1"/>
          <w:szCs w:val="21"/>
          <w:highlight w:val="none"/>
          <w14:textFill>
            <w14:solidFill>
              <w14:schemeClr w14:val="tx1"/>
            </w14:solidFill>
          </w14:textFill>
        </w:rPr>
        <w:t>其他情形</w:t>
      </w:r>
      <w:r>
        <w:rPr>
          <w:rFonts w:ascii="Times New Roman" w:hAnsi="Times New Roman" w:cs="Times New Roman"/>
          <w:color w:val="000000" w:themeColor="text1"/>
          <w:highlight w:val="none"/>
          <w14:textFill>
            <w14:solidFill>
              <w14:schemeClr w14:val="tx1"/>
            </w14:solidFill>
          </w14:textFill>
        </w:rPr>
        <w:t>。</w:t>
      </w:r>
    </w:p>
    <w:p w14:paraId="3DF896D0">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3.5资格审查资料</w:t>
      </w:r>
    </w:p>
    <w:p w14:paraId="1857BB49">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供应商应按“响应文件格式”</w:t>
      </w:r>
      <w:r>
        <w:rPr>
          <w:rFonts w:hint="eastAsia" w:ascii="Times New Roman" w:hAnsi="Times New Roman" w:cs="Times New Roman"/>
          <w:color w:val="000000" w:themeColor="text1"/>
          <w:highlight w:val="none"/>
          <w14:textFill>
            <w14:solidFill>
              <w14:schemeClr w14:val="tx1"/>
            </w14:solidFill>
          </w14:textFill>
        </w:rPr>
        <w:t>的</w:t>
      </w:r>
      <w:r>
        <w:rPr>
          <w:rFonts w:ascii="Times New Roman" w:hAnsi="Times New Roman" w:cs="Times New Roman"/>
          <w:color w:val="000000" w:themeColor="text1"/>
          <w:highlight w:val="none"/>
          <w14:textFill>
            <w14:solidFill>
              <w14:schemeClr w14:val="tx1"/>
            </w14:solidFill>
          </w14:textFill>
        </w:rPr>
        <w:t>规定提供资格审查资料，以证明其满足本章第1.</w:t>
      </w:r>
      <w:r>
        <w:rPr>
          <w:rFonts w:hint="eastAsia" w:ascii="Times New Roman" w:hAnsi="Times New Roman" w:cs="Times New Roman"/>
          <w:color w:val="000000" w:themeColor="text1"/>
          <w:highlight w:val="none"/>
          <w14:textFill>
            <w14:solidFill>
              <w14:schemeClr w14:val="tx1"/>
            </w14:solidFill>
          </w14:textFill>
        </w:rPr>
        <w:t>2</w:t>
      </w:r>
      <w:r>
        <w:rPr>
          <w:rFonts w:ascii="Times New Roman" w:hAnsi="Times New Roman" w:cs="Times New Roman"/>
          <w:color w:val="000000" w:themeColor="text1"/>
          <w:highlight w:val="none"/>
          <w14:textFill>
            <w14:solidFill>
              <w14:schemeClr w14:val="tx1"/>
            </w14:solidFill>
          </w14:textFill>
        </w:rPr>
        <w:t>款规定的资质、</w:t>
      </w:r>
      <w:r>
        <w:rPr>
          <w:rFonts w:hint="eastAsia" w:ascii="Times New Roman" w:hAnsi="Times New Roman" w:cs="Times New Roman"/>
          <w:color w:val="000000" w:themeColor="text1"/>
          <w:highlight w:val="none"/>
          <w14:textFill>
            <w14:solidFill>
              <w14:schemeClr w14:val="tx1"/>
            </w14:solidFill>
          </w14:textFill>
        </w:rPr>
        <w:t>能力、</w:t>
      </w:r>
      <w:r>
        <w:rPr>
          <w:rFonts w:ascii="Times New Roman" w:hAnsi="Times New Roman" w:cs="Times New Roman"/>
          <w:color w:val="000000" w:themeColor="text1"/>
          <w:highlight w:val="none"/>
          <w14:textFill>
            <w14:solidFill>
              <w14:schemeClr w14:val="tx1"/>
            </w14:solidFill>
          </w14:textFill>
        </w:rPr>
        <w:t>信誉等要求。</w:t>
      </w:r>
    </w:p>
    <w:p w14:paraId="65ECD3E0">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3.</w:t>
      </w:r>
      <w:r>
        <w:rPr>
          <w:rFonts w:hint="eastAsia" w:ascii="Times New Roman" w:hAnsi="Times New Roman" w:eastAsia="黑体" w:cs="Times New Roman"/>
          <w:bCs/>
          <w:color w:val="000000" w:themeColor="text1"/>
          <w:sz w:val="24"/>
          <w:szCs w:val="32"/>
          <w:highlight w:val="none"/>
          <w14:textFill>
            <w14:solidFill>
              <w14:schemeClr w14:val="tx1"/>
            </w14:solidFill>
          </w14:textFill>
        </w:rPr>
        <w:t>6</w:t>
      </w:r>
      <w:r>
        <w:rPr>
          <w:rFonts w:ascii="Times New Roman" w:hAnsi="Times New Roman" w:eastAsia="黑体" w:cs="Times New Roman"/>
          <w:bCs/>
          <w:color w:val="000000" w:themeColor="text1"/>
          <w:sz w:val="24"/>
          <w:szCs w:val="32"/>
          <w:highlight w:val="none"/>
          <w14:textFill>
            <w14:solidFill>
              <w14:schemeClr w14:val="tx1"/>
            </w14:solidFill>
          </w14:textFill>
        </w:rPr>
        <w:t>响应文件的编制</w:t>
      </w:r>
    </w:p>
    <w:p w14:paraId="3027999F">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w:t>
      </w:r>
      <w:r>
        <w:rPr>
          <w:rFonts w:hint="eastAsia" w:ascii="Times New Roman" w:hAnsi="Times New Roman" w:cs="Times New Roman"/>
          <w:color w:val="000000" w:themeColor="text1"/>
          <w:highlight w:val="none"/>
          <w14:textFill>
            <w14:solidFill>
              <w14:schemeClr w14:val="tx1"/>
            </w14:solidFill>
          </w14:textFill>
        </w:rPr>
        <w:t>6</w:t>
      </w: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color w:val="000000" w:themeColor="text1"/>
          <w:highlight w:val="none"/>
          <w14:textFill>
            <w14:solidFill>
              <w14:schemeClr w14:val="tx1"/>
            </w14:solidFill>
          </w14:textFill>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.2 响应文件应当对询比文件有关工期、响应有效期、质量要求、技术标准和要求、</w:t>
      </w:r>
      <w:r>
        <w:rPr>
          <w:rFonts w:hint="eastAsia" w:ascii="Times New Roman" w:hAnsi="Times New Roman" w:cs="Times New Roman"/>
          <w:color w:val="auto"/>
          <w:highlight w:val="none"/>
        </w:rPr>
        <w:t>采购范围</w:t>
      </w:r>
      <w:r>
        <w:rPr>
          <w:rFonts w:ascii="Times New Roman" w:hAnsi="Times New Roman" w:cs="Times New Roman"/>
          <w:color w:val="auto"/>
          <w:highlight w:val="none"/>
        </w:rPr>
        <w:t>等实质性内容作出响应。</w:t>
      </w:r>
    </w:p>
    <w:p w14:paraId="1318E4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.3响应文件的制作应满足以下规定：</w:t>
      </w:r>
    </w:p>
    <w:p w14:paraId="50443ED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文件应用不褪色的材料书写或打印，并按第六章“</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格式”的要求进行</w:t>
      </w:r>
      <w:r>
        <w:rPr>
          <w:rFonts w:hint="eastAsia" w:ascii="Times New Roman" w:hAnsi="Times New Roman" w:cs="Times New Roman"/>
          <w:color w:val="auto"/>
          <w:highlight w:val="none"/>
        </w:rPr>
        <w:t>签名</w:t>
      </w:r>
      <w:r>
        <w:rPr>
          <w:rFonts w:ascii="Times New Roman" w:hAnsi="Times New Roman" w:cs="Times New Roman"/>
          <w:color w:val="auto"/>
          <w:highlight w:val="none"/>
        </w:rPr>
        <w:t>和（或）盖章。</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文件应尽量避免涂改、行间插字或删除。如果出现上述情况，改动之处应由</w:t>
      </w:r>
      <w:r>
        <w:rPr>
          <w:rFonts w:hint="eastAsia" w:ascii="Times New Roman" w:hAnsi="Times New Roman" w:cs="Times New Roman"/>
          <w:color w:val="auto"/>
          <w:highlight w:val="none"/>
        </w:rPr>
        <w:t>供应商</w:t>
      </w:r>
      <w:r>
        <w:rPr>
          <w:rFonts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rPr>
        <w:t>签名</w:t>
      </w:r>
      <w:r>
        <w:rPr>
          <w:rFonts w:ascii="Times New Roman" w:hAnsi="Times New Roman" w:cs="Times New Roman"/>
          <w:color w:val="auto"/>
          <w:highlight w:val="none"/>
        </w:rPr>
        <w:t>或盖单位章。</w:t>
      </w:r>
    </w:p>
    <w:p w14:paraId="54B361CC">
      <w:pPr>
        <w:spacing w:line="440" w:lineRule="exact"/>
        <w:ind w:firstLine="420"/>
        <w:rPr>
          <w:rFonts w:hint="default" w:ascii="Times New Roman" w:hAnsi="Times New Roman" w:cs="Times New Roman" w:eastAsiaTheme="minorEastAsia"/>
          <w:color w:val="auto"/>
          <w:highlight w:val="none"/>
          <w:lang w:val="en-US" w:eastAsia="zh-CN"/>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 响应文件的递交</w:t>
      </w:r>
    </w:p>
    <w:p w14:paraId="3FE11A9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4.1响应文件的密封和标记</w:t>
      </w:r>
    </w:p>
    <w:p w14:paraId="3FE0F030">
      <w:pPr>
        <w:spacing w:line="440" w:lineRule="exact"/>
        <w:ind w:firstLine="420"/>
        <w:rPr>
          <w:rFonts w:hint="eastAsia" w:ascii="Times New Roman" w:hAnsi="Times New Roman" w:cs="Times New Roman"/>
          <w:color w:val="auto"/>
          <w:highlight w:val="none"/>
          <w:lang w:val="en-US" w:eastAsia="zh-CN"/>
        </w:rPr>
      </w:pPr>
      <w:r>
        <w:rPr>
          <w:rFonts w:ascii="Times New Roman" w:hAnsi="Times New Roman" w:cs="Times New Roman"/>
          <w:color w:val="auto"/>
          <w:highlight w:val="none"/>
        </w:rPr>
        <w:t>4.1.1响应文件</w:t>
      </w:r>
      <w:r>
        <w:rPr>
          <w:rFonts w:hint="eastAsia" w:ascii="Times New Roman" w:hAnsi="Times New Roman" w:cs="Times New Roman"/>
          <w:color w:val="auto"/>
          <w:highlight w:val="none"/>
        </w:rPr>
        <w:t>正、副本</w:t>
      </w:r>
      <w:r>
        <w:rPr>
          <w:rFonts w:ascii="Times New Roman" w:hAnsi="Times New Roman" w:cs="Times New Roman"/>
          <w:color w:val="auto"/>
          <w:highlight w:val="none"/>
        </w:rPr>
        <w:t>应密封包装</w:t>
      </w:r>
      <w:r>
        <w:rPr>
          <w:rFonts w:hint="eastAsia" w:ascii="Times New Roman" w:hAnsi="Times New Roman" w:cs="Times New Roman"/>
          <w:color w:val="auto"/>
          <w:highlight w:val="none"/>
        </w:rPr>
        <w:t>在一个封套内，</w:t>
      </w:r>
      <w:r>
        <w:rPr>
          <w:rFonts w:hint="eastAsia" w:ascii="Times New Roman" w:hAnsi="Times New Roman" w:cs="Times New Roman"/>
          <w:color w:val="auto"/>
          <w:highlight w:val="none"/>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响应文件第一信封（商务技术文件）</w:t>
      </w:r>
      <w:r>
        <w:rPr>
          <w:rFonts w:hint="eastAsia" w:ascii="Times New Roman" w:hAnsi="Times New Roman" w:cs="Times New Roman"/>
          <w:color w:val="auto"/>
          <w:highlight w:val="none"/>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年</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月</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日</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时</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在第一信封开启前不得开启</w:t>
      </w:r>
    </w:p>
    <w:p w14:paraId="27F170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4.1.2</w:t>
      </w:r>
      <w:r>
        <w:rPr>
          <w:rFonts w:ascii="Times New Roman" w:hAnsi="Times New Roman"/>
          <w:color w:val="auto"/>
          <w:highlight w:val="none"/>
        </w:rPr>
        <w:t>未按本章第4.1.1项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14:paraId="51EE217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4.2 响应文件的递交</w:t>
      </w:r>
    </w:p>
    <w:p w14:paraId="49B236A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的规定递交响应文件</w:t>
      </w:r>
      <w:r>
        <w:rPr>
          <w:rFonts w:ascii="Times New Roman" w:hAnsi="Times New Roman" w:cs="Times New Roman"/>
          <w:color w:val="auto"/>
          <w:highlight w:val="none"/>
        </w:rPr>
        <w:t>。</w:t>
      </w:r>
    </w:p>
    <w:p w14:paraId="67FCB9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 启封</w:t>
      </w:r>
    </w:p>
    <w:p w14:paraId="1102280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5.1 启封时间和地点</w:t>
      </w:r>
    </w:p>
    <w:p w14:paraId="344E1A2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采购人在本章第4.2.1项规定的响应文件递交截止时间（启封时间），</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的规定进行启封</w:t>
      </w:r>
      <w:r>
        <w:rPr>
          <w:rFonts w:ascii="Times New Roman" w:hAnsi="Times New Roman" w:cs="Times New Roman"/>
          <w:color w:val="auto"/>
          <w:highlight w:val="none"/>
        </w:rPr>
        <w:t>。</w:t>
      </w:r>
    </w:p>
    <w:p w14:paraId="3921A52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rPr>
        <w:t>启封</w:t>
      </w:r>
      <w:r>
        <w:rPr>
          <w:rFonts w:ascii="Times New Roman" w:hAnsi="Times New Roman" w:eastAsia="黑体" w:cs="Times New Roman"/>
          <w:bCs/>
          <w:color w:val="auto"/>
          <w:sz w:val="24"/>
          <w:szCs w:val="32"/>
          <w:highlight w:val="none"/>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（1）公布在响应文件递交截止时间</w:t>
      </w:r>
      <w:r>
        <w:rPr>
          <w:rFonts w:hint="eastAsia" w:ascii="Times New Roman" w:hAnsi="Times New Roman" w:cs="Times New Roman"/>
          <w:color w:val="auto"/>
          <w:highlight w:val="none"/>
        </w:rPr>
        <w:t>前</w:t>
      </w:r>
      <w:r>
        <w:rPr>
          <w:rFonts w:ascii="Times New Roman" w:hAnsi="Times New Roman" w:cs="Times New Roman"/>
          <w:color w:val="auto"/>
          <w:highlight w:val="none"/>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color w:val="auto"/>
          <w:highlight w:val="none"/>
        </w:rPr>
        <w:t>（3）</w:t>
      </w:r>
      <w:r>
        <w:rPr>
          <w:rFonts w:hint="eastAsia" w:ascii="Times New Roman" w:hAnsi="Times New Roman" w:cs="Times New Roman"/>
          <w:bCs/>
          <w:color w:val="auto"/>
          <w:highlight w:val="none"/>
          <w:lang w:val="en-US" w:eastAsia="zh-CN"/>
        </w:rPr>
        <w:t>开启商务技术文件</w:t>
      </w:r>
      <w:r>
        <w:rPr>
          <w:rFonts w:ascii="Times New Roman" w:hAnsi="Times New Roman" w:cs="Times New Roman"/>
          <w:bCs/>
          <w:color w:val="auto"/>
          <w:highlight w:val="none"/>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highlight w:val="none"/>
          <w:lang w:val="en-US" w:eastAsia="zh-CN"/>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4</w:t>
      </w:r>
      <w:r>
        <w:rPr>
          <w:rFonts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5</w:t>
      </w:r>
      <w:r>
        <w:rPr>
          <w:rFonts w:ascii="Times New Roman" w:hAnsi="Times New Roman" w:cs="Times New Roman"/>
          <w:bCs/>
          <w:color w:val="auto"/>
          <w:highlight w:val="none"/>
        </w:rPr>
        <w:t>）</w:t>
      </w:r>
      <w:r>
        <w:rPr>
          <w:rFonts w:hint="eastAsia" w:ascii="Times New Roman" w:hAnsi="Times New Roman" w:cs="Times New Roman"/>
          <w:bCs/>
          <w:color w:val="auto"/>
          <w:highlight w:val="none"/>
        </w:rPr>
        <w:t>启封</w:t>
      </w:r>
      <w:r>
        <w:rPr>
          <w:rFonts w:ascii="Times New Roman" w:hAnsi="Times New Roman" w:cs="Times New Roman"/>
          <w:color w:val="auto"/>
          <w:highlight w:val="none"/>
        </w:rPr>
        <w:t>结束</w:t>
      </w:r>
      <w:r>
        <w:rPr>
          <w:rFonts w:ascii="Times New Roman" w:hAnsi="Times New Roman" w:cs="Times New Roman"/>
          <w:bCs/>
          <w:color w:val="auto"/>
          <w:highlight w:val="none"/>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bCs/>
          <w:color w:val="auto"/>
          <w:highlight w:val="none"/>
        </w:rPr>
        <w:t>5.2.2</w:t>
      </w:r>
      <w:r>
        <w:rPr>
          <w:rFonts w:ascii="Times New Roman" w:hAnsi="Times New Roman" w:cs="Times New Roman"/>
          <w:color w:val="auto"/>
          <w:highlight w:val="none"/>
        </w:rPr>
        <w:t>供应商</w:t>
      </w:r>
      <w:r>
        <w:rPr>
          <w:rFonts w:hint="eastAsia" w:ascii="Times New Roman" w:hAnsi="Times New Roman" w:cs="Times New Roman"/>
          <w:color w:val="auto"/>
          <w:highlight w:val="none"/>
        </w:rPr>
        <w:t>在</w:t>
      </w:r>
      <w:r>
        <w:rPr>
          <w:rFonts w:ascii="Times New Roman" w:hAnsi="Times New Roman" w:cs="Times New Roman"/>
          <w:color w:val="auto"/>
          <w:highlight w:val="none"/>
        </w:rPr>
        <w:t>启封过程</w:t>
      </w:r>
      <w:r>
        <w:rPr>
          <w:rFonts w:hint="eastAsia" w:ascii="Times New Roman" w:hAnsi="Times New Roman" w:cs="Times New Roman"/>
          <w:color w:val="auto"/>
          <w:highlight w:val="none"/>
        </w:rPr>
        <w:t>中</w:t>
      </w:r>
      <w:r>
        <w:rPr>
          <w:rFonts w:ascii="Times New Roman" w:hAnsi="Times New Roman" w:cs="Times New Roman"/>
          <w:color w:val="auto"/>
          <w:highlight w:val="none"/>
        </w:rPr>
        <w:t>有</w:t>
      </w:r>
      <w:r>
        <w:rPr>
          <w:rFonts w:hint="eastAsia" w:ascii="Times New Roman" w:hAnsi="Times New Roman" w:cs="Times New Roman"/>
          <w:color w:val="auto"/>
          <w:highlight w:val="none"/>
        </w:rPr>
        <w:t>疑问</w:t>
      </w:r>
      <w:r>
        <w:rPr>
          <w:rFonts w:ascii="Times New Roman" w:hAnsi="Times New Roman" w:cs="Times New Roman"/>
          <w:color w:val="auto"/>
          <w:highlight w:val="none"/>
        </w:rPr>
        <w:t>的，应当在</w:t>
      </w:r>
      <w:r>
        <w:rPr>
          <w:rFonts w:hint="eastAsia" w:ascii="Times New Roman" w:hAnsi="Times New Roman" w:cs="Times New Roman"/>
          <w:color w:val="auto"/>
          <w:highlight w:val="none"/>
        </w:rPr>
        <w:t>现场</w:t>
      </w:r>
      <w:r>
        <w:rPr>
          <w:rFonts w:ascii="Times New Roman" w:hAnsi="Times New Roman" w:cs="Times New Roman"/>
          <w:color w:val="auto"/>
          <w:highlight w:val="none"/>
        </w:rPr>
        <w:t>提出</w:t>
      </w:r>
      <w:r>
        <w:rPr>
          <w:rFonts w:hint="eastAsia" w:ascii="Times New Roman" w:hAnsi="Times New Roman" w:cs="Times New Roman"/>
          <w:color w:val="auto"/>
          <w:highlight w:val="none"/>
        </w:rPr>
        <w:t>，</w:t>
      </w:r>
      <w:r>
        <w:rPr>
          <w:rFonts w:ascii="Times New Roman" w:hAnsi="Times New Roman" w:cs="Times New Roman"/>
          <w:color w:val="auto"/>
          <w:highlight w:val="none"/>
        </w:rPr>
        <w:t>采购人</w:t>
      </w:r>
      <w:r>
        <w:rPr>
          <w:rFonts w:hint="eastAsia" w:ascii="Times New Roman" w:hAnsi="Times New Roman" w:cs="Times New Roman"/>
          <w:color w:val="auto"/>
          <w:highlight w:val="none"/>
        </w:rPr>
        <w:t>将</w:t>
      </w:r>
      <w:r>
        <w:rPr>
          <w:rFonts w:ascii="Times New Roman" w:hAnsi="Times New Roman" w:cs="Times New Roman"/>
          <w:color w:val="auto"/>
          <w:highlight w:val="none"/>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 评审</w:t>
      </w:r>
    </w:p>
    <w:p w14:paraId="102C147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6.1</w:t>
      </w:r>
      <w:r>
        <w:rPr>
          <w:rFonts w:hint="eastAsia" w:ascii="Times New Roman" w:hAnsi="Times New Roman" w:eastAsia="黑体" w:cs="Times New Roman"/>
          <w:bCs/>
          <w:color w:val="auto"/>
          <w:sz w:val="24"/>
          <w:szCs w:val="32"/>
          <w:highlight w:val="none"/>
        </w:rPr>
        <w:t>评审小组</w:t>
      </w:r>
    </w:p>
    <w:p w14:paraId="2AA5DC8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评审由采购人</w:t>
      </w:r>
      <w:r>
        <w:rPr>
          <w:rFonts w:hint="eastAsia" w:ascii="Times New Roman" w:hAnsi="Times New Roman" w:cs="Times New Roman"/>
          <w:color w:val="auto"/>
          <w:highlight w:val="none"/>
        </w:rPr>
        <w:t>自行</w:t>
      </w:r>
      <w:r>
        <w:rPr>
          <w:rFonts w:ascii="Times New Roman" w:hAnsi="Times New Roman" w:cs="Times New Roman"/>
          <w:color w:val="auto"/>
          <w:highlight w:val="none"/>
        </w:rPr>
        <w:t>组建的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highlight w:val="none"/>
        </w:rPr>
        <w:t>。</w:t>
      </w:r>
    </w:p>
    <w:p w14:paraId="15AF268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.1</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.2评审完成后，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2CDE5AF">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 合同授予</w:t>
      </w:r>
    </w:p>
    <w:p w14:paraId="2CE05E9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采用公开询比方式采购的项目，公示期不得少于</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日。</w:t>
      </w:r>
    </w:p>
    <w:p w14:paraId="40AD678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none"/>
          <w:lang w:val="en-US" w:eastAsia="zh-CN"/>
        </w:rPr>
      </w:pPr>
      <w:r>
        <w:rPr>
          <w:rFonts w:ascii="Times New Roman" w:hAnsi="Times New Roman" w:cs="Times New Roman"/>
          <w:color w:val="auto"/>
          <w:highlight w:val="none"/>
        </w:rPr>
        <w:t>7.4.1</w:t>
      </w:r>
      <w:r>
        <w:rPr>
          <w:rFonts w:hint="eastAsia" w:ascii="Times New Roman" w:hAnsi="Times New Roman" w:cs="Times New Roman"/>
          <w:color w:val="auto"/>
          <w:highlight w:val="none"/>
          <w:lang w:val="en-US" w:eastAsia="zh-CN"/>
        </w:rPr>
        <w:t>中标公示后，在合同签订前，乙方需向甲方支付合同总价2%的履约保证金或提供合同总价5%的银行保函。</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7.4.2 成交人不能按本章第7.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.1项要求提交履约保证金的，视为放弃成交候选人，其响应保证金不予退还，给采购人造成的损失超过响应保证金数额的，成交人还应当对超过部分予以赔偿。</w:t>
      </w:r>
    </w:p>
    <w:p w14:paraId="659EEF69">
      <w:pPr>
        <w:pStyle w:val="10"/>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2"/>
    <w:bookmarkEnd w:id="43"/>
    <w:bookmarkEnd w:id="44"/>
    <w:p w14:paraId="66FE727A">
      <w:pPr>
        <w:keepNext/>
        <w:keepLines/>
        <w:spacing w:before="120" w:after="120"/>
        <w:outlineLvl w:val="2"/>
        <w:rPr>
          <w:rFonts w:hint="default" w:ascii="Times New Roman" w:hAnsi="Times New Roman" w:eastAsia="Times New Roman"/>
          <w:color w:val="auto"/>
          <w:sz w:val="24"/>
          <w:szCs w:val="32"/>
          <w:highlight w:val="none"/>
        </w:rPr>
      </w:pPr>
      <w:bookmarkStart w:id="45" w:name="_Toc26656984"/>
      <w:bookmarkStart w:id="46" w:name="_Toc14201253"/>
      <w:r>
        <w:rPr>
          <w:rFonts w:hint="default" w:ascii="Times New Roman" w:hAnsi="Times New Roman" w:eastAsia="Times New Roman"/>
          <w:color w:val="auto"/>
          <w:sz w:val="24"/>
          <w:szCs w:val="32"/>
          <w:highlight w:val="none"/>
        </w:rPr>
        <w:t>7.5</w:t>
      </w:r>
      <w:r>
        <w:rPr>
          <w:rFonts w:hint="eastAsia" w:ascii="Times New Roman" w:hAnsi="Times New Roman" w:eastAsia="黑体"/>
          <w:color w:val="auto"/>
          <w:sz w:val="24"/>
          <w:szCs w:val="32"/>
          <w:highlight w:val="none"/>
        </w:rPr>
        <w:t>签订合同</w:t>
      </w:r>
      <w:bookmarkEnd w:id="45"/>
      <w:bookmarkEnd w:id="46"/>
    </w:p>
    <w:p w14:paraId="4F35551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47" w:name="_Toc26656988"/>
      <w:bookmarkStart w:id="48" w:name="_Toc9067727"/>
      <w:bookmarkStart w:id="49" w:name="_Toc14201257"/>
      <w:r>
        <w:rPr>
          <w:rFonts w:hint="default" w:ascii="Times New Roman" w:hAnsi="Times New Roman" w:eastAsia="Times New Roman"/>
          <w:color w:val="auto"/>
          <w:sz w:val="24"/>
          <w:szCs w:val="32"/>
          <w:highlight w:val="none"/>
        </w:rPr>
        <w:t xml:space="preserve">8. </w:t>
      </w:r>
      <w:r>
        <w:rPr>
          <w:rFonts w:hint="eastAsia" w:ascii="Times New Roman" w:hAnsi="Times New Roman" w:eastAsia="黑体"/>
          <w:color w:val="auto"/>
          <w:sz w:val="24"/>
          <w:szCs w:val="32"/>
          <w:highlight w:val="none"/>
        </w:rPr>
        <w:t>纪律和监督</w:t>
      </w:r>
      <w:bookmarkEnd w:id="47"/>
      <w:bookmarkEnd w:id="48"/>
      <w:bookmarkEnd w:id="49"/>
    </w:p>
    <w:p w14:paraId="30C4FC61">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0" w:name="_Toc14201262"/>
      <w:bookmarkStart w:id="51" w:name="_Toc26656993"/>
      <w:r>
        <w:rPr>
          <w:rFonts w:hint="eastAsia" w:ascii="Times New Roman" w:hAnsi="Times New Roman" w:eastAsia="黑体"/>
          <w:color w:val="auto"/>
          <w:sz w:val="24"/>
          <w:szCs w:val="32"/>
          <w:highlight w:val="none"/>
        </w:rPr>
        <w:t>9</w:t>
      </w:r>
      <w:r>
        <w:rPr>
          <w:rFonts w:hint="default" w:ascii="Times New Roman" w:hAnsi="Times New Roman" w:eastAsia="Times New Roman"/>
          <w:color w:val="auto"/>
          <w:sz w:val="24"/>
          <w:szCs w:val="32"/>
          <w:highlight w:val="none"/>
        </w:rPr>
        <w:t xml:space="preserve"> </w:t>
      </w:r>
      <w:r>
        <w:rPr>
          <w:rFonts w:hint="eastAsia" w:ascii="Times New Roman" w:hAnsi="Times New Roman" w:eastAsia="宋体"/>
          <w:color w:val="auto"/>
          <w:sz w:val="24"/>
          <w:szCs w:val="32"/>
          <w:highlight w:val="none"/>
          <w:lang w:val="en-US" w:eastAsia="zh-CN"/>
        </w:rPr>
        <w:t>.</w:t>
      </w:r>
      <w:r>
        <w:rPr>
          <w:rFonts w:hint="eastAsia" w:ascii="Times New Roman" w:hAnsi="Times New Roman" w:eastAsia="黑体"/>
          <w:color w:val="auto"/>
          <w:sz w:val="24"/>
          <w:szCs w:val="32"/>
          <w:highlight w:val="none"/>
        </w:rPr>
        <w:t>投诉</w:t>
      </w:r>
      <w:bookmarkEnd w:id="50"/>
      <w:bookmarkEnd w:id="51"/>
    </w:p>
    <w:p w14:paraId="0D14997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.1 </w:t>
      </w:r>
      <w:r>
        <w:rPr>
          <w:rFonts w:hint="eastAsia" w:ascii="Times New Roman" w:hAnsi="Times New Roman"/>
          <w:color w:val="auto"/>
          <w:sz w:val="21"/>
          <w:szCs w:val="24"/>
          <w:highlight w:val="none"/>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.2 </w:t>
      </w:r>
      <w:r>
        <w:rPr>
          <w:rFonts w:hint="eastAsia" w:ascii="Times New Roman" w:hAnsi="Times New Roman"/>
          <w:color w:val="auto"/>
          <w:sz w:val="21"/>
          <w:szCs w:val="24"/>
          <w:highlight w:val="none"/>
        </w:rPr>
        <w:t>监督部门及联系方式：_____</w:t>
      </w:r>
      <w:r>
        <w:rPr>
          <w:rFonts w:hint="eastAsia" w:ascii="Times New Roman" w:hAnsi="Times New Roman"/>
          <w:color w:val="auto"/>
          <w:sz w:val="21"/>
          <w:szCs w:val="24"/>
          <w:highlight w:val="none"/>
          <w:u w:val="single"/>
        </w:rPr>
        <w:t>/_</w:t>
      </w:r>
      <w:r>
        <w:rPr>
          <w:rFonts w:hint="eastAsia" w:ascii="Times New Roman" w:hAnsi="Times New Roman"/>
          <w:color w:val="auto"/>
          <w:sz w:val="21"/>
          <w:szCs w:val="24"/>
          <w:highlight w:val="none"/>
        </w:rPr>
        <w:t>_。</w:t>
      </w:r>
    </w:p>
    <w:p w14:paraId="681424AE">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2" w:name="_Toc26656994"/>
      <w:bookmarkStart w:id="53" w:name="_Toc14201263"/>
      <w:bookmarkStart w:id="54" w:name="_Toc9067731"/>
      <w:r>
        <w:rPr>
          <w:rFonts w:hint="eastAsia" w:ascii="Times New Roman" w:hAnsi="Times New Roman" w:eastAsia="黑体"/>
          <w:color w:val="auto"/>
          <w:sz w:val="24"/>
          <w:szCs w:val="32"/>
          <w:highlight w:val="none"/>
        </w:rPr>
        <w:t>10</w:t>
      </w:r>
      <w:r>
        <w:rPr>
          <w:rFonts w:hint="default" w:ascii="Times New Roman" w:hAnsi="Times New Roman" w:eastAsia="Times New Roman"/>
          <w:color w:val="auto"/>
          <w:sz w:val="24"/>
          <w:szCs w:val="32"/>
          <w:highlight w:val="none"/>
        </w:rPr>
        <w:t>.</w:t>
      </w:r>
      <w:r>
        <w:rPr>
          <w:rFonts w:hint="eastAsia" w:ascii="Times New Roman" w:hAnsi="Times New Roman" w:eastAsia="黑体"/>
          <w:color w:val="auto"/>
          <w:sz w:val="24"/>
          <w:szCs w:val="32"/>
          <w:highlight w:val="none"/>
        </w:rPr>
        <w:t xml:space="preserve"> 需要补充的其他内容</w:t>
      </w:r>
      <w:bookmarkEnd w:id="52"/>
      <w:bookmarkEnd w:id="53"/>
      <w:bookmarkEnd w:id="54"/>
    </w:p>
    <w:p w14:paraId="5AB5C0D9">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需要补充的其他内容：_</w:t>
      </w:r>
      <w:r>
        <w:rPr>
          <w:rFonts w:hint="eastAsia" w:ascii="Times New Roman" w:hAnsi="Times New Roman"/>
          <w:color w:val="auto"/>
          <w:sz w:val="21"/>
          <w:szCs w:val="24"/>
          <w:highlight w:val="none"/>
          <w:u w:val="single"/>
        </w:rPr>
        <w:t>_/_</w:t>
      </w:r>
      <w:r>
        <w:rPr>
          <w:rFonts w:hint="eastAsia" w:ascii="Times New Roman" w:hAnsi="Times New Roman"/>
          <w:color w:val="auto"/>
          <w:sz w:val="21"/>
          <w:szCs w:val="24"/>
          <w:highlight w:val="none"/>
        </w:rPr>
        <w:t>__。</w:t>
      </w:r>
    </w:p>
    <w:p w14:paraId="3ED9671A">
      <w:pPr>
        <w:spacing w:line="440" w:lineRule="exact"/>
        <w:ind w:firstLine="420"/>
        <w:rPr>
          <w:rFonts w:hint="eastAsia" w:ascii="Times New Roman" w:hAnsi="Times New Roman"/>
          <w:color w:val="auto"/>
          <w:sz w:val="21"/>
          <w:szCs w:val="24"/>
          <w:highlight w:val="none"/>
        </w:rPr>
      </w:pPr>
    </w:p>
    <w:p w14:paraId="7FBD1ACA">
      <w:pPr>
        <w:spacing w:line="440" w:lineRule="exact"/>
        <w:ind w:firstLine="420"/>
        <w:rPr>
          <w:rFonts w:hint="eastAsia" w:ascii="Times New Roman" w:hAnsi="Times New Roman"/>
          <w:color w:val="auto"/>
          <w:sz w:val="21"/>
          <w:szCs w:val="24"/>
          <w:highlight w:val="none"/>
        </w:rPr>
      </w:pPr>
    </w:p>
    <w:p w14:paraId="73C8FF4F">
      <w:pPr>
        <w:spacing w:line="440" w:lineRule="exact"/>
        <w:ind w:firstLine="420"/>
        <w:rPr>
          <w:rFonts w:hint="eastAsia" w:ascii="Times New Roman" w:hAnsi="Times New Roman"/>
          <w:color w:val="auto"/>
          <w:sz w:val="21"/>
          <w:szCs w:val="24"/>
          <w:highlight w:val="none"/>
        </w:rPr>
      </w:pPr>
    </w:p>
    <w:p w14:paraId="19E26293">
      <w:pPr>
        <w:spacing w:line="440" w:lineRule="exact"/>
        <w:ind w:firstLine="420"/>
        <w:rPr>
          <w:rFonts w:hint="eastAsia" w:ascii="Times New Roman" w:hAnsi="Times New Roman"/>
          <w:color w:val="auto"/>
          <w:sz w:val="21"/>
          <w:szCs w:val="24"/>
          <w:highlight w:val="none"/>
        </w:rPr>
      </w:pPr>
    </w:p>
    <w:p w14:paraId="04721814">
      <w:pPr>
        <w:spacing w:line="440" w:lineRule="exact"/>
        <w:ind w:firstLine="420"/>
        <w:rPr>
          <w:rFonts w:hint="eastAsia" w:ascii="Times New Roman" w:hAnsi="Times New Roman"/>
          <w:color w:val="auto"/>
          <w:sz w:val="21"/>
          <w:szCs w:val="24"/>
          <w:highlight w:val="none"/>
        </w:rPr>
      </w:pPr>
    </w:p>
    <w:p w14:paraId="19444787">
      <w:pPr>
        <w:spacing w:line="440" w:lineRule="exact"/>
        <w:ind w:firstLine="420"/>
        <w:rPr>
          <w:rFonts w:hint="eastAsia" w:ascii="Times New Roman" w:hAnsi="Times New Roman"/>
          <w:color w:val="auto"/>
          <w:sz w:val="21"/>
          <w:szCs w:val="24"/>
          <w:highlight w:val="none"/>
        </w:rPr>
      </w:pPr>
    </w:p>
    <w:p w14:paraId="243F834A">
      <w:pPr>
        <w:spacing w:line="440" w:lineRule="exact"/>
        <w:ind w:firstLine="420"/>
        <w:rPr>
          <w:rFonts w:hint="eastAsia" w:ascii="Times New Roman" w:hAnsi="Times New Roman"/>
          <w:color w:val="auto"/>
          <w:sz w:val="21"/>
          <w:szCs w:val="24"/>
          <w:highlight w:val="none"/>
        </w:rPr>
      </w:pPr>
    </w:p>
    <w:p w14:paraId="6EE6A9DE">
      <w:pPr>
        <w:pStyle w:val="2"/>
        <w:spacing w:before="312" w:after="312"/>
        <w:rPr>
          <w:rFonts w:ascii="Times New Roman" w:hAnsi="Times New Roman" w:eastAsia="宋体" w:cs="Times New Roman"/>
          <w:color w:val="auto"/>
          <w:highlight w:val="none"/>
        </w:rPr>
      </w:pPr>
      <w:bookmarkStart w:id="55" w:name="_Toc6809"/>
      <w:r>
        <w:rPr>
          <w:rFonts w:ascii="Times New Roman" w:hAnsi="Times New Roman" w:eastAsia="宋体" w:cs="Times New Roman"/>
          <w:color w:val="auto"/>
          <w:highlight w:val="none"/>
        </w:rPr>
        <w:t>评审办法</w:t>
      </w:r>
      <w:bookmarkEnd w:id="55"/>
    </w:p>
    <w:p w14:paraId="31FD4C54">
      <w:pPr>
        <w:rPr>
          <w:rFonts w:ascii="Times New Roman" w:hAnsi="Times New Roman" w:eastAsia="宋体" w:cs="Times New Roman"/>
          <w:color w:val="auto"/>
          <w:highlight w:val="none"/>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9"/>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6" w:name="_Toc152045528"/>
      <w:bookmarkStart w:id="57" w:name="_Toc3834"/>
      <w:bookmarkStart w:id="58" w:name="_Toc457482536"/>
      <w:bookmarkStart w:id="59" w:name="_Toc152042304"/>
      <w:bookmarkStart w:id="60" w:name="_Toc144974496"/>
      <w:bookmarkStart w:id="61" w:name="_Toc447808662"/>
      <w:bookmarkStart w:id="62" w:name="_Toc14847"/>
      <w:r>
        <w:rPr>
          <w:rFonts w:hint="eastAsia" w:ascii="宋体" w:hAnsi="宋体" w:eastAsia="宋体"/>
          <w:b/>
          <w:bCs/>
          <w:color w:val="auto"/>
          <w:szCs w:val="28"/>
          <w:highlight w:val="none"/>
        </w:rPr>
        <w:t>前附表</w:t>
      </w:r>
      <w:bookmarkEnd w:id="56"/>
      <w:bookmarkEnd w:id="57"/>
      <w:bookmarkEnd w:id="58"/>
      <w:bookmarkEnd w:id="59"/>
      <w:bookmarkEnd w:id="60"/>
      <w:bookmarkEnd w:id="61"/>
      <w:bookmarkEnd w:id="62"/>
      <w:r>
        <w:rPr>
          <w:rFonts w:hint="eastAsia" w:ascii="宋体" w:hAnsi="宋体" w:eastAsia="宋体"/>
          <w:b/>
          <w:bCs/>
          <w:color w:val="auto"/>
          <w:szCs w:val="28"/>
          <w:highlight w:val="none"/>
        </w:rPr>
        <w:t>A</w:t>
      </w:r>
    </w:p>
    <w:tbl>
      <w:tblPr>
        <w:tblStyle w:val="23"/>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highlight w:val="none"/>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（3）投标文件提供的业绩累计合同金额大的投标人优先。 </w:t>
            </w:r>
          </w:p>
        </w:tc>
      </w:tr>
    </w:tbl>
    <w:tbl>
      <w:tblPr>
        <w:tblStyle w:val="23"/>
        <w:tblpPr w:leftFromText="180" w:rightFromText="180" w:vertAnchor="text" w:horzAnchor="page" w:tblpX="1653" w:tblpY="175"/>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1466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7C373F5B">
            <w:pPr>
              <w:pStyle w:val="10"/>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D3CBC7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4"/>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621D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63CC513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通过资格审查的投标人数量（T）</w:t>
                  </w:r>
                </w:p>
              </w:tc>
              <w:tc>
                <w:tcPr>
                  <w:tcW w:w="2535" w:type="dxa"/>
                  <w:vAlign w:val="center"/>
                </w:tcPr>
                <w:p w14:paraId="5BB2E1D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0C95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5EDF007">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246EA56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1E67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2257601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3C51D47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7DF9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61B5C7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6BE8729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0478228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4B4CF4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72743B17">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3"/>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 xml:space="preserve">（8）投标文件未附有招标人不能接受的条件。 </w:t>
            </w:r>
          </w:p>
          <w:p w14:paraId="0CA24646">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b/>
                <w:bCs/>
                <w:color w:val="auto"/>
                <w:kern w:val="0"/>
                <w:sz w:val="21"/>
                <w:szCs w:val="21"/>
                <w:highlight w:val="yellow"/>
                <w:lang w:val="en-US" w:eastAsia="zh-CN" w:bidi="ar"/>
              </w:rPr>
            </w:pPr>
            <w:r>
              <w:rPr>
                <w:rFonts w:hint="eastAsia" w:asciiTheme="minorEastAsia" w:hAnsiTheme="minorEastAsia" w:cstheme="minorEastAsia"/>
                <w:b/>
                <w:bCs/>
                <w:color w:val="auto"/>
                <w:kern w:val="0"/>
                <w:sz w:val="21"/>
                <w:szCs w:val="21"/>
                <w:highlight w:val="yellow"/>
                <w:lang w:val="en-US" w:eastAsia="zh-CN" w:bidi="ar"/>
              </w:rPr>
              <w:t>（9）未放置盖章版的响应文件扫描件（PDF版本）。</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（6）未附有招标人不能接受的条件。</w:t>
            </w:r>
          </w:p>
          <w:p w14:paraId="5402D87A">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（7）未放置电子版的报价清单。</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响应文件不符合以上条件之一的，对该响应文件作否决其</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处理。</w:t>
            </w:r>
          </w:p>
        </w:tc>
      </w:tr>
    </w:tbl>
    <w:p w14:paraId="2936A21B">
      <w:pPr>
        <w:pStyle w:val="39"/>
        <w:numPr>
          <w:ilvl w:val="0"/>
          <w:numId w:val="0"/>
        </w:numPr>
        <w:spacing w:before="0"/>
        <w:outlineLvl w:val="9"/>
        <w:rPr>
          <w:rFonts w:hint="eastAsia" w:ascii="宋体" w:hAnsi="宋体" w:eastAsia="宋体" w:cs="宋体"/>
          <w:b/>
          <w:bCs/>
          <w:color w:val="auto"/>
          <w:szCs w:val="28"/>
          <w:highlight w:val="none"/>
        </w:rPr>
      </w:pPr>
    </w:p>
    <w:p w14:paraId="0ADDC629">
      <w:pPr>
        <w:pStyle w:val="39"/>
        <w:numPr>
          <w:ilvl w:val="0"/>
          <w:numId w:val="0"/>
        </w:numPr>
        <w:spacing w:before="0"/>
        <w:outlineLvl w:val="9"/>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前附表B</w:t>
      </w:r>
    </w:p>
    <w:tbl>
      <w:tblPr>
        <w:tblStyle w:val="23"/>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29C319BA">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highlight w:val="none"/>
              </w:rPr>
            </w:pPr>
            <w:r>
              <w:rPr>
                <w:rFonts w:hint="eastAsia" w:ascii="宋体" w:hAnsi="宋体" w:cs="宋体"/>
                <w:color w:val="000000"/>
                <w:kern w:val="0"/>
                <w:sz w:val="22"/>
                <w:szCs w:val="22"/>
                <w:highlight w:val="none"/>
                <w:lang w:bidi="ar"/>
              </w:rPr>
              <w:t>第一个信封</w:t>
            </w:r>
          </w:p>
          <w:p w14:paraId="486E4A63">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highlight w:val="none"/>
              </w:rPr>
            </w:pPr>
            <w:r>
              <w:rPr>
                <w:rFonts w:hint="eastAsia" w:ascii="宋体" w:hAnsi="宋体" w:cs="宋体"/>
                <w:color w:val="000000"/>
                <w:kern w:val="0"/>
                <w:sz w:val="22"/>
                <w:szCs w:val="22"/>
                <w:highlight w:val="none"/>
                <w:lang w:bidi="ar"/>
              </w:rPr>
              <w:t>评分分值构</w:t>
            </w:r>
          </w:p>
          <w:p w14:paraId="29BC035D">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000000"/>
                <w:kern w:val="0"/>
                <w:sz w:val="22"/>
                <w:szCs w:val="22"/>
                <w:highlight w:val="none"/>
                <w:lang w:bidi="ar"/>
              </w:rPr>
              <w:t>成</w:t>
            </w:r>
            <w:r>
              <w:rPr>
                <w:rFonts w:hint="eastAsia" w:ascii="宋体" w:hAnsi="宋体" w:cs="宋体"/>
                <w:sz w:val="21"/>
                <w:szCs w:val="21"/>
                <w:highlight w:val="none"/>
              </w:rPr>
              <w:t>（总分100分）</w:t>
            </w:r>
          </w:p>
        </w:tc>
        <w:tc>
          <w:tcPr>
            <w:tcW w:w="6287" w:type="dxa"/>
            <w:vAlign w:val="center"/>
          </w:tcPr>
          <w:p w14:paraId="70DC34AD">
            <w:pPr>
              <w:keepNext w:val="0"/>
              <w:keepLines w:val="0"/>
              <w:suppressLineNumbers w:val="0"/>
              <w:adjustRightInd w:val="0"/>
              <w:spacing w:before="0" w:beforeLines="0" w:beforeAutospacing="0" w:after="0" w:afterLines="0" w:afterAutospacing="0"/>
              <w:ind w:left="0" w:right="0"/>
              <w:rPr>
                <w:rFonts w:hint="eastAsia" w:ascii="宋体" w:hAnsi="宋体" w:cs="宋体"/>
                <w:b/>
                <w:sz w:val="21"/>
                <w:szCs w:val="21"/>
                <w:highlight w:val="none"/>
              </w:rPr>
            </w:pPr>
            <w:r>
              <w:rPr>
                <w:rFonts w:hint="eastAsia" w:ascii="宋体" w:hAnsi="宋体" w:cs="宋体"/>
                <w:b/>
                <w:sz w:val="21"/>
                <w:szCs w:val="21"/>
                <w:highlight w:val="none"/>
              </w:rPr>
              <w:t>商务及技术文件评分分值构成：</w:t>
            </w:r>
            <w:r>
              <w:rPr>
                <w:rFonts w:hint="eastAsia" w:ascii="宋体" w:hAnsi="宋体" w:cs="宋体"/>
                <w:b/>
                <w:sz w:val="21"/>
                <w:szCs w:val="21"/>
                <w:highlight w:val="none"/>
                <w:u w:val="single"/>
              </w:rPr>
              <w:t xml:space="preserve"> 100 </w:t>
            </w:r>
            <w:r>
              <w:rPr>
                <w:rFonts w:hint="eastAsia" w:ascii="宋体" w:hAnsi="宋体" w:cs="宋体"/>
                <w:b/>
                <w:sz w:val="21"/>
                <w:szCs w:val="21"/>
                <w:highlight w:val="none"/>
              </w:rPr>
              <w:t>分</w:t>
            </w:r>
          </w:p>
          <w:p w14:paraId="3F619279">
            <w:pPr>
              <w:keepNext w:val="0"/>
              <w:keepLines w:val="0"/>
              <w:suppressLineNumbers w:val="0"/>
              <w:spacing w:before="0" w:beforeLines="0" w:beforeAutospacing="0" w:after="0" w:afterLines="0" w:afterAutospacing="0" w:line="240" w:lineRule="auto"/>
              <w:ind w:left="0" w:right="0"/>
              <w:rPr>
                <w:rFonts w:hint="eastAsia" w:ascii="宋体" w:hAnsi="宋体" w:cs="宋体"/>
                <w:color w:val="000000" w:themeColor="text1"/>
                <w:sz w:val="21"/>
                <w:szCs w:val="24"/>
                <w:highlight w:val="none"/>
                <w14:textFill>
                  <w14:solidFill>
                    <w14:schemeClr w14:val="tx1"/>
                  </w14:solidFill>
                </w14:textFill>
              </w:rPr>
            </w:pPr>
            <w:r>
              <w:rPr>
                <w:rFonts w:hint="eastAsia" w:ascii="宋体" w:hAnsi="宋体" w:cs="宋体"/>
                <w:color w:val="000000" w:themeColor="text1"/>
                <w:sz w:val="21"/>
                <w:szCs w:val="24"/>
                <w:highlight w:val="none"/>
                <w14:textFill>
                  <w14:solidFill>
                    <w14:schemeClr w14:val="tx1"/>
                  </w14:solidFill>
                </w14:textFill>
              </w:rPr>
              <w:t>企业业绩：</w:t>
            </w:r>
            <w:r>
              <w:rPr>
                <w:rFonts w:hint="eastAsia" w:ascii="宋体" w:hAnsi="宋体" w:cs="宋体"/>
                <w:color w:val="000000" w:themeColor="text1"/>
                <w:sz w:val="21"/>
                <w:szCs w:val="24"/>
                <w:highlight w:val="none"/>
                <w:u w:val="single"/>
                <w14:textFill>
                  <w14:solidFill>
                    <w14:schemeClr w14:val="tx1"/>
                  </w14:solidFill>
                </w14:textFill>
              </w:rPr>
              <w:t xml:space="preserve">  40  </w:t>
            </w:r>
            <w:r>
              <w:rPr>
                <w:rFonts w:hint="eastAsia" w:ascii="宋体" w:hAnsi="宋体" w:cs="宋体"/>
                <w:color w:val="000000" w:themeColor="text1"/>
                <w:sz w:val="21"/>
                <w:szCs w:val="24"/>
                <w:highlight w:val="none"/>
                <w14:textFill>
                  <w14:solidFill>
                    <w14:schemeClr w14:val="tx1"/>
                  </w14:solidFill>
                </w14:textFill>
              </w:rPr>
              <w:t>分</w:t>
            </w:r>
          </w:p>
          <w:p w14:paraId="651151A1">
            <w:pPr>
              <w:keepNext w:val="0"/>
              <w:keepLines w:val="0"/>
              <w:suppressLineNumbers w:val="0"/>
              <w:spacing w:before="0" w:beforeLines="0" w:beforeAutospacing="0" w:after="0" w:afterLines="0" w:afterAutospacing="0" w:line="240" w:lineRule="auto"/>
              <w:ind w:left="0" w:right="0"/>
              <w:rPr>
                <w:rFonts w:hint="eastAsia" w:ascii="宋体" w:hAnsi="宋体" w:cs="宋体"/>
                <w:color w:val="000000" w:themeColor="text1"/>
                <w:sz w:val="21"/>
                <w:szCs w:val="24"/>
                <w:highlight w:val="none"/>
                <w14:textFill>
                  <w14:solidFill>
                    <w14:schemeClr w14:val="tx1"/>
                  </w14:solidFill>
                </w14:textFill>
              </w:rPr>
            </w:pPr>
            <w:r>
              <w:rPr>
                <w:rFonts w:hint="eastAsia" w:ascii="宋体" w:hAnsi="宋体" w:cs="宋体"/>
                <w:color w:val="000000" w:themeColor="text1"/>
                <w:sz w:val="21"/>
                <w:szCs w:val="24"/>
                <w:highlight w:val="none"/>
                <w14:textFill>
                  <w14:solidFill>
                    <w14:schemeClr w14:val="tx1"/>
                  </w14:solidFill>
                </w14:textFill>
              </w:rPr>
              <w:t>企业实力：</w:t>
            </w:r>
            <w:r>
              <w:rPr>
                <w:rFonts w:hint="eastAsia" w:ascii="宋体" w:hAnsi="宋体" w:cs="宋体"/>
                <w:color w:val="000000" w:themeColor="text1"/>
                <w:sz w:val="21"/>
                <w:szCs w:val="24"/>
                <w:highlight w:val="none"/>
                <w:u w:val="single"/>
                <w14:textFill>
                  <w14:solidFill>
                    <w14:schemeClr w14:val="tx1"/>
                  </w14:solidFill>
                </w14:textFill>
              </w:rPr>
              <w:t xml:space="preserve">  3</w:t>
            </w:r>
            <w:r>
              <w:rPr>
                <w:rFonts w:hint="eastAsia" w:ascii="宋体" w:hAnsi="宋体" w:cs="宋体"/>
                <w:color w:val="000000" w:themeColor="text1"/>
                <w:sz w:val="21"/>
                <w:szCs w:val="24"/>
                <w:highlight w:val="none"/>
                <w:u w:val="single"/>
                <w:lang w:val="en-US" w:eastAsia="zh-CN"/>
                <w14:textFill>
                  <w14:solidFill>
                    <w14:schemeClr w14:val="tx1"/>
                  </w14:solidFill>
                </w14:textFill>
              </w:rPr>
              <w:t>0</w:t>
            </w:r>
            <w:r>
              <w:rPr>
                <w:rFonts w:hint="eastAsia" w:ascii="宋体" w:hAnsi="宋体" w:cs="宋体"/>
                <w:color w:val="000000" w:themeColor="text1"/>
                <w:sz w:val="21"/>
                <w:szCs w:val="24"/>
                <w:highlight w:val="none"/>
                <w:u w:val="single"/>
                <w14:textFill>
                  <w14:solidFill>
                    <w14:schemeClr w14:val="tx1"/>
                  </w14:solidFill>
                </w14:textFill>
              </w:rPr>
              <w:t xml:space="preserve">  </w:t>
            </w:r>
            <w:r>
              <w:rPr>
                <w:rFonts w:hint="eastAsia" w:ascii="宋体" w:hAnsi="宋体" w:cs="宋体"/>
                <w:color w:val="000000" w:themeColor="text1"/>
                <w:sz w:val="21"/>
                <w:szCs w:val="24"/>
                <w:highlight w:val="none"/>
                <w14:textFill>
                  <w14:solidFill>
                    <w14:schemeClr w14:val="tx1"/>
                  </w14:solidFill>
                </w14:textFill>
              </w:rPr>
              <w:t>分</w:t>
            </w:r>
          </w:p>
          <w:p w14:paraId="1F1FD8B2">
            <w:pPr>
              <w:keepNext w:val="0"/>
              <w:keepLines w:val="0"/>
              <w:suppressLineNumbers w:val="0"/>
              <w:spacing w:before="0" w:beforeLines="0" w:beforeAutospacing="0" w:after="0" w:afterLines="0" w:afterAutospacing="0" w:line="240" w:lineRule="auto"/>
              <w:ind w:left="0" w:right="0"/>
              <w:rPr>
                <w:rFonts w:hint="eastAsia" w:ascii="宋体" w:hAnsi="宋体" w:cs="宋体"/>
                <w:color w:val="000000" w:themeColor="text1"/>
                <w:sz w:val="21"/>
                <w:szCs w:val="24"/>
                <w:highlight w:val="none"/>
                <w14:textFill>
                  <w14:solidFill>
                    <w14:schemeClr w14:val="tx1"/>
                  </w14:solidFill>
                </w14:textFill>
              </w:rPr>
            </w:pPr>
            <w:r>
              <w:rPr>
                <w:rFonts w:hint="eastAsia" w:ascii="宋体" w:hAnsi="宋体" w:cs="宋体"/>
                <w:color w:val="000000" w:themeColor="text1"/>
                <w:sz w:val="21"/>
                <w:szCs w:val="24"/>
                <w:highlight w:val="none"/>
                <w14:textFill>
                  <w14:solidFill>
                    <w14:schemeClr w14:val="tx1"/>
                  </w14:solidFill>
                </w14:textFill>
              </w:rPr>
              <w:t>生产体系认证：</w:t>
            </w:r>
            <w:r>
              <w:rPr>
                <w:rFonts w:hint="eastAsia" w:ascii="宋体" w:hAnsi="宋体" w:cs="宋体"/>
                <w:color w:val="000000" w:themeColor="text1"/>
                <w:sz w:val="21"/>
                <w:szCs w:val="24"/>
                <w:highlight w:val="none"/>
                <w:u w:val="single"/>
                <w14:textFill>
                  <w14:solidFill>
                    <w14:schemeClr w14:val="tx1"/>
                  </w14:solidFill>
                </w14:textFill>
              </w:rPr>
              <w:t xml:space="preserve">  6  </w:t>
            </w:r>
            <w:r>
              <w:rPr>
                <w:rFonts w:hint="eastAsia" w:ascii="宋体" w:hAnsi="宋体" w:cs="宋体"/>
                <w:color w:val="000000" w:themeColor="text1"/>
                <w:sz w:val="21"/>
                <w:szCs w:val="24"/>
                <w:highlight w:val="none"/>
                <w14:textFill>
                  <w14:solidFill>
                    <w14:schemeClr w14:val="tx1"/>
                  </w14:solidFill>
                </w14:textFill>
              </w:rPr>
              <w:t>分</w:t>
            </w:r>
          </w:p>
          <w:p w14:paraId="2144FC41">
            <w:pPr>
              <w:keepNext w:val="0"/>
              <w:keepLines w:val="0"/>
              <w:suppressLineNumbers w:val="0"/>
              <w:spacing w:before="0" w:beforeLines="0" w:beforeAutospacing="0" w:after="0" w:afterLines="0" w:afterAutospacing="0" w:line="240" w:lineRule="auto"/>
              <w:ind w:left="0" w:right="0"/>
              <w:rPr>
                <w:rFonts w:hint="eastAsia" w:ascii="宋体" w:hAnsi="宋体" w:cs="宋体"/>
                <w:color w:val="000000" w:themeColor="text1"/>
                <w:sz w:val="21"/>
                <w:szCs w:val="24"/>
                <w:highlight w:val="none"/>
                <w14:textFill>
                  <w14:solidFill>
                    <w14:schemeClr w14:val="tx1"/>
                  </w14:solidFill>
                </w14:textFill>
              </w:rPr>
            </w:pPr>
            <w:r>
              <w:rPr>
                <w:rFonts w:hint="eastAsia" w:ascii="宋体" w:hAnsi="宋体" w:cs="宋体"/>
                <w:color w:val="000000" w:themeColor="text1"/>
                <w:sz w:val="21"/>
                <w:szCs w:val="24"/>
                <w:highlight w:val="none"/>
                <w14:textFill>
                  <w14:solidFill>
                    <w14:schemeClr w14:val="tx1"/>
                  </w14:solidFill>
                </w14:textFill>
              </w:rPr>
              <w:t>供货方案：</w:t>
            </w:r>
            <w:r>
              <w:rPr>
                <w:rFonts w:hint="eastAsia" w:ascii="宋体" w:hAnsi="宋体" w:cs="宋体"/>
                <w:color w:val="000000" w:themeColor="text1"/>
                <w:sz w:val="21"/>
                <w:szCs w:val="24"/>
                <w:highlight w:val="none"/>
                <w:u w:val="single"/>
                <w14:textFill>
                  <w14:solidFill>
                    <w14:schemeClr w14:val="tx1"/>
                  </w14:solidFill>
                </w14:textFill>
              </w:rPr>
              <w:t xml:space="preserve">  1</w:t>
            </w:r>
            <w:r>
              <w:rPr>
                <w:rFonts w:hint="eastAsia" w:ascii="宋体" w:hAnsi="宋体" w:cs="宋体"/>
                <w:color w:val="000000" w:themeColor="text1"/>
                <w:sz w:val="21"/>
                <w:szCs w:val="24"/>
                <w:highlight w:val="none"/>
                <w:u w:val="single"/>
                <w:lang w:val="en-US" w:eastAsia="zh-CN"/>
                <w14:textFill>
                  <w14:solidFill>
                    <w14:schemeClr w14:val="tx1"/>
                  </w14:solidFill>
                </w14:textFill>
              </w:rPr>
              <w:t xml:space="preserve">4 </w:t>
            </w:r>
            <w:r>
              <w:rPr>
                <w:rFonts w:hint="eastAsia" w:ascii="宋体" w:hAnsi="宋体" w:cs="宋体"/>
                <w:color w:val="000000" w:themeColor="text1"/>
                <w:sz w:val="21"/>
                <w:szCs w:val="24"/>
                <w:highlight w:val="none"/>
                <w:u w:val="single"/>
                <w14:textFill>
                  <w14:solidFill>
                    <w14:schemeClr w14:val="tx1"/>
                  </w14:solidFill>
                </w14:textFill>
              </w:rPr>
              <w:t xml:space="preserve"> </w:t>
            </w:r>
            <w:r>
              <w:rPr>
                <w:rFonts w:hint="eastAsia" w:ascii="宋体" w:hAnsi="宋体" w:cs="宋体"/>
                <w:color w:val="000000" w:themeColor="text1"/>
                <w:sz w:val="21"/>
                <w:szCs w:val="24"/>
                <w:highlight w:val="none"/>
                <w14:textFill>
                  <w14:solidFill>
                    <w14:schemeClr w14:val="tx1"/>
                  </w14:solidFill>
                </w14:textFill>
              </w:rPr>
              <w:t>分</w:t>
            </w:r>
          </w:p>
          <w:p w14:paraId="265BFC5D">
            <w:pPr>
              <w:pStyle w:val="10"/>
              <w:keepNext w:val="0"/>
              <w:keepLines w:val="0"/>
              <w:suppressLineNumbers w:val="0"/>
              <w:spacing w:before="0" w:beforeAutospacing="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color w:val="000000" w:themeColor="text1"/>
                <w:highlight w:val="none"/>
                <w:lang w:eastAsia="zh-CN"/>
                <w14:textFill>
                  <w14:solidFill>
                    <w14:schemeClr w14:val="tx1"/>
                  </w14:solidFill>
                </w14:textFill>
              </w:rPr>
              <w:t>售后服务方案</w:t>
            </w:r>
            <w:r>
              <w:rPr>
                <w:rFonts w:hint="eastAsia"/>
                <w:color w:val="000000" w:themeColor="text1"/>
                <w:highlight w:val="none"/>
                <w14:textFill>
                  <w14:solidFill>
                    <w14:schemeClr w14:val="tx1"/>
                  </w14:solidFill>
                </w14:textFill>
              </w:rPr>
              <w:t>：</w:t>
            </w:r>
            <w:r>
              <w:rPr>
                <w:rFonts w:hint="eastAsia"/>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lang w:val="en-US" w:eastAsia="zh-CN"/>
                <w14:textFill>
                  <w14:solidFill>
                    <w14:schemeClr w14:val="tx1"/>
                  </w14:solidFill>
                </w14:textFill>
              </w:rPr>
              <w:t>10</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2.2.3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4A2672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（1）评标价计算公式： </w:t>
            </w:r>
          </w:p>
          <w:p w14:paraId="1A7914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评标价＝修正后的投标报价 </w:t>
            </w:r>
          </w:p>
          <w:p w14:paraId="257206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（2）评标价平均值 Bi 的计算： </w:t>
            </w:r>
          </w:p>
          <w:p w14:paraId="6DC47C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招标人在第二个信封开标现场宣布采购人对第一个信封 </w:t>
            </w:r>
          </w:p>
          <w:p w14:paraId="174512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的评审结果，并开启进入第二个信封评审的投标人的报价文件。 </w:t>
            </w:r>
          </w:p>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除按第二章“投标人须知”规定开标现场被宣布为不进入评标基准价计算的投标报价之外，投标人的评标价的算术平均值为评标价平均值 Bi。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24881C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①如投标人的评标价低于评标价平均值的90%时，采购人可以在评标现场要求该投标人作出情况说明并提供相应降低工程造价的相关证明材料，参照附表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w:t>
            </w:r>
          </w:p>
          <w:p w14:paraId="68F926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②异常低价或不平衡报价，采购人有权作废标处理。</w:t>
            </w:r>
          </w:p>
          <w:p w14:paraId="31F3B4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注： </w:t>
            </w:r>
          </w:p>
          <w:p w14:paraId="73F8B05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1)针对异常低价承诺书请投标人合理考虑时间，可提前准备好降 </w:t>
            </w:r>
          </w:p>
          <w:p w14:paraId="08C58E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低工程造价的相关证明材料，以避免错过询标时间，造成的不良后果由投标人自行承担。 </w:t>
            </w:r>
          </w:p>
          <w:p w14:paraId="79AFF6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2)以下情形不得作为询标或报价文件中提供异常低价投标说明 </w:t>
            </w:r>
          </w:p>
          <w:p w14:paraId="1DC0201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6731446D">
      <w:pPr>
        <w:rPr>
          <w:rFonts w:hint="eastAsia" w:ascii="黑体" w:eastAsia="黑体"/>
          <w:color w:val="auto"/>
          <w:sz w:val="21"/>
          <w:szCs w:val="21"/>
          <w:highlight w:val="none"/>
          <w:lang w:val="en-US" w:eastAsia="zh-CN"/>
        </w:rPr>
      </w:pPr>
    </w:p>
    <w:tbl>
      <w:tblPr>
        <w:tblStyle w:val="23"/>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9"/>
        <w:gridCol w:w="933"/>
        <w:gridCol w:w="1662"/>
        <w:gridCol w:w="5391"/>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6" w:type="pct"/>
            <w:vAlign w:val="center"/>
          </w:tcPr>
          <w:p w14:paraId="159E5634">
            <w:pPr>
              <w:pStyle w:val="10"/>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5521CC7E">
            <w:pPr>
              <w:pStyle w:val="10"/>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70A2FD8E">
            <w:pPr>
              <w:pStyle w:val="10"/>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39" w:type="pct"/>
            <w:vAlign w:val="center"/>
          </w:tcPr>
          <w:p w14:paraId="3868DF9F">
            <w:pPr>
              <w:pStyle w:val="10"/>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96" w:type="pct"/>
            <w:vMerge w:val="restart"/>
            <w:vAlign w:val="center"/>
          </w:tcPr>
          <w:p w14:paraId="572DA4A5">
            <w:pPr>
              <w:pStyle w:val="10"/>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2.2.4</w:t>
            </w:r>
          </w:p>
          <w:p w14:paraId="5BC79124">
            <w:pPr>
              <w:pStyle w:val="10"/>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526" w:type="pct"/>
            <w:vMerge w:val="restart"/>
            <w:vAlign w:val="center"/>
          </w:tcPr>
          <w:p w14:paraId="2B8AF269">
            <w:pPr>
              <w:pStyle w:val="10"/>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商务及技术文件</w:t>
            </w:r>
          </w:p>
        </w:tc>
        <w:tc>
          <w:tcPr>
            <w:tcW w:w="937" w:type="pct"/>
            <w:vAlign w:val="center"/>
          </w:tcPr>
          <w:p w14:paraId="62D7CE1F">
            <w:pPr>
              <w:pStyle w:val="10"/>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企业业绩</w:t>
            </w:r>
          </w:p>
          <w:p w14:paraId="35898049">
            <w:pPr>
              <w:pStyle w:val="10"/>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（满分</w:t>
            </w:r>
            <w:r>
              <w:rPr>
                <w:rFonts w:hint="eastAsia" w:ascii="宋体" w:hAnsi="宋体" w:cs="宋体"/>
                <w:color w:val="000000" w:themeColor="text1"/>
                <w:sz w:val="21"/>
                <w:szCs w:val="21"/>
                <w:highlight w:val="none"/>
                <w:u w:val="single"/>
                <w14:textFill>
                  <w14:solidFill>
                    <w14:schemeClr w14:val="tx1"/>
                  </w14:solidFill>
                </w14:textFill>
              </w:rPr>
              <w:t xml:space="preserve"> 40 </w:t>
            </w:r>
            <w:r>
              <w:rPr>
                <w:rFonts w:hint="eastAsia" w:ascii="宋体" w:hAnsi="宋体" w:cs="宋体"/>
                <w:color w:val="000000" w:themeColor="text1"/>
                <w:sz w:val="21"/>
                <w:szCs w:val="21"/>
                <w:highlight w:val="none"/>
                <w14:textFill>
                  <w14:solidFill>
                    <w14:schemeClr w14:val="tx1"/>
                  </w14:solidFill>
                </w14:textFill>
              </w:rPr>
              <w:t>分）</w:t>
            </w:r>
          </w:p>
        </w:tc>
        <w:tc>
          <w:tcPr>
            <w:tcW w:w="3039" w:type="pct"/>
            <w:vAlign w:val="center"/>
          </w:tcPr>
          <w:p w14:paraId="003C586F">
            <w:pPr>
              <w:pStyle w:val="10"/>
              <w:keepNext w:val="0"/>
              <w:keepLines w:val="0"/>
              <w:suppressLineNumbers w:val="0"/>
              <w:adjustRightInd w:val="0"/>
              <w:snapToGrid w:val="0"/>
              <w:spacing w:before="0" w:beforeLines="0" w:beforeAutospacing="0" w:afterLines="0" w:afterAutospacing="0"/>
              <w:ind w:left="0" w:right="0"/>
              <w:rPr>
                <w:rFonts w:hint="eastAsia" w:ascii="宋体" w:hAnsi="宋体" w:cs="宋体"/>
                <w:color w:val="000000" w:themeColor="text1"/>
                <w:sz w:val="21"/>
                <w:szCs w:val="24"/>
                <w:highlight w:val="none"/>
                <w14:textFill>
                  <w14:solidFill>
                    <w14:schemeClr w14:val="tx1"/>
                  </w14:solidFill>
                </w14:textFill>
              </w:rPr>
            </w:pPr>
            <w:r>
              <w:rPr>
                <w:rFonts w:hint="eastAsia" w:ascii="宋体" w:hAnsi="宋体" w:cs="宋体"/>
                <w:color w:val="000000" w:themeColor="text1"/>
                <w:sz w:val="21"/>
                <w:szCs w:val="24"/>
                <w:highlight w:val="none"/>
                <w14:textFill>
                  <w14:solidFill>
                    <w14:schemeClr w14:val="tx1"/>
                  </w14:solidFill>
                </w14:textFill>
              </w:rPr>
              <w:t>202</w:t>
            </w:r>
            <w:r>
              <w:rPr>
                <w:rFonts w:hint="eastAsia" w:ascii="宋体" w:hAnsi="宋体" w:cs="宋体"/>
                <w:color w:val="000000" w:themeColor="text1"/>
                <w:sz w:val="21"/>
                <w:szCs w:val="24"/>
                <w:highlight w:val="none"/>
                <w:lang w:val="en-US" w:eastAsia="zh-CN"/>
                <w14:textFill>
                  <w14:solidFill>
                    <w14:schemeClr w14:val="tx1"/>
                  </w14:solidFill>
                </w14:textFill>
              </w:rPr>
              <w:t>2</w:t>
            </w:r>
            <w:r>
              <w:rPr>
                <w:rFonts w:hint="eastAsia" w:ascii="宋体" w:hAnsi="宋体" w:cs="宋体"/>
                <w:color w:val="000000" w:themeColor="text1"/>
                <w:sz w:val="21"/>
                <w:szCs w:val="24"/>
                <w:highlight w:val="none"/>
                <w14:textFill>
                  <w14:solidFill>
                    <w14:schemeClr w14:val="tx1"/>
                  </w14:solidFill>
                </w14:textFill>
              </w:rPr>
              <w:t xml:space="preserve"> 年 1月1 日以来（以合同签订时间为准），除供应商资审条件要求的业绩得</w:t>
            </w:r>
            <w:r>
              <w:rPr>
                <w:rFonts w:hint="eastAsia" w:ascii="宋体" w:hAnsi="宋体" w:cs="宋体"/>
                <w:color w:val="000000" w:themeColor="text1"/>
                <w:sz w:val="21"/>
                <w:szCs w:val="24"/>
                <w:highlight w:val="none"/>
                <w:lang w:val="en-US" w:eastAsia="zh-CN"/>
                <w14:textFill>
                  <w14:solidFill>
                    <w14:schemeClr w14:val="tx1"/>
                  </w14:solidFill>
                </w14:textFill>
              </w:rPr>
              <w:t>25</w:t>
            </w:r>
            <w:r>
              <w:rPr>
                <w:rFonts w:hint="eastAsia" w:ascii="宋体" w:hAnsi="宋体" w:cs="宋体"/>
                <w:color w:val="000000" w:themeColor="text1"/>
                <w:sz w:val="21"/>
                <w:szCs w:val="24"/>
                <w:highlight w:val="none"/>
                <w14:textFill>
                  <w14:solidFill>
                    <w14:schemeClr w14:val="tx1"/>
                  </w14:solidFill>
                </w14:textFill>
              </w:rPr>
              <w:t>分，近三年来具有</w:t>
            </w:r>
            <w:r>
              <w:rPr>
                <w:rFonts w:hint="eastAsia" w:ascii="宋体" w:hAnsi="宋体" w:cs="宋体"/>
                <w:color w:val="000000" w:themeColor="text1"/>
                <w:sz w:val="21"/>
                <w:szCs w:val="24"/>
                <w:highlight w:val="none"/>
                <w:lang w:val="en-US" w:eastAsia="zh-CN"/>
                <w14:textFill>
                  <w14:solidFill>
                    <w14:schemeClr w14:val="tx1"/>
                  </w14:solidFill>
                </w14:textFill>
              </w:rPr>
              <w:t>90</w:t>
            </w:r>
            <w:r>
              <w:rPr>
                <w:rFonts w:hint="eastAsia" w:ascii="宋体" w:hAnsi="宋体" w:cs="宋体"/>
                <w:color w:val="000000" w:themeColor="text1"/>
                <w:sz w:val="21"/>
                <w:szCs w:val="24"/>
                <w:highlight w:val="none"/>
                <w14:textFill>
                  <w14:solidFill>
                    <w14:schemeClr w14:val="tx1"/>
                  </w14:solidFill>
                </w14:textFill>
              </w:rPr>
              <w:t>万及以上的</w:t>
            </w:r>
            <w:r>
              <w:rPr>
                <w:rFonts w:hint="eastAsia" w:ascii="宋体" w:hAnsi="宋体" w:cs="宋体"/>
                <w:color w:val="000000" w:themeColor="text1"/>
                <w:sz w:val="21"/>
                <w:szCs w:val="24"/>
                <w:highlight w:val="none"/>
                <w:lang w:val="en-US" w:eastAsia="zh-CN"/>
                <w14:textFill>
                  <w14:solidFill>
                    <w14:schemeClr w14:val="tx1"/>
                  </w14:solidFill>
                </w14:textFill>
              </w:rPr>
              <w:t>铝单板</w:t>
            </w:r>
            <w:r>
              <w:rPr>
                <w:rFonts w:hint="eastAsia" w:ascii="宋体" w:hAnsi="宋体" w:cs="宋体"/>
                <w:color w:val="000000" w:themeColor="text1"/>
                <w:sz w:val="21"/>
                <w:szCs w:val="24"/>
                <w:highlight w:val="none"/>
                <w:u w:val="none"/>
                <w14:textFill>
                  <w14:solidFill>
                    <w14:schemeClr w14:val="tx1"/>
                  </w14:solidFill>
                </w14:textFill>
              </w:rPr>
              <w:t>供应</w:t>
            </w:r>
            <w:r>
              <w:rPr>
                <w:rFonts w:hint="eastAsia" w:ascii="宋体" w:hAnsi="宋体" w:cs="宋体"/>
                <w:color w:val="000000" w:themeColor="text1"/>
                <w:sz w:val="21"/>
                <w:szCs w:val="24"/>
                <w:highlight w:val="none"/>
                <w14:textFill>
                  <w14:solidFill>
                    <w14:schemeClr w14:val="tx1"/>
                  </w14:solidFill>
                </w14:textFill>
              </w:rPr>
              <w:t>业绩，每多提供一个业绩得5分，满分40分。</w:t>
            </w:r>
          </w:p>
          <w:p w14:paraId="1679D332">
            <w:pPr>
              <w:pStyle w:val="10"/>
              <w:keepNext w:val="0"/>
              <w:keepLines w:val="0"/>
              <w:suppressLineNumbers w:val="0"/>
              <w:adjustRightInd w:val="0"/>
              <w:snapToGrid w:val="0"/>
              <w:spacing w:before="0" w:beforeLines="0" w:beforeAutospacing="0" w:afterLines="0" w:afterAutospacing="0"/>
              <w:ind w:left="0" w:right="0"/>
              <w:rPr>
                <w:rFonts w:hint="eastAsia" w:ascii="宋体" w:hAnsi="宋体" w:cs="宋体"/>
                <w:color w:val="000000" w:themeColor="text1"/>
                <w:sz w:val="21"/>
                <w:szCs w:val="24"/>
                <w:highlight w:val="none"/>
                <w:lang w:val="en-US" w:eastAsia="zh-CN"/>
                <w14:textFill>
                  <w14:solidFill>
                    <w14:schemeClr w14:val="tx1"/>
                  </w14:solidFill>
                </w14:textFill>
              </w:rPr>
            </w:pPr>
            <w:r>
              <w:rPr>
                <w:rFonts w:hint="eastAsia" w:ascii="宋体" w:hAnsi="宋体" w:cs="宋体"/>
                <w:color w:val="000000" w:themeColor="text1"/>
                <w:sz w:val="21"/>
                <w:szCs w:val="24"/>
                <w:highlight w:val="none"/>
                <w14:textFill>
                  <w14:solidFill>
                    <w14:schemeClr w14:val="tx1"/>
                  </w14:solidFill>
                </w14:textFill>
              </w:rPr>
              <w:t>（1）</w:t>
            </w:r>
            <w:r>
              <w:rPr>
                <w:rFonts w:hint="eastAsia" w:ascii="宋体" w:hAnsi="宋体" w:cs="宋体"/>
                <w:color w:val="000000" w:themeColor="text1"/>
                <w:sz w:val="21"/>
                <w:szCs w:val="24"/>
                <w:highlight w:val="none"/>
                <w:lang w:val="en-US" w:eastAsia="zh-CN"/>
                <w14:textFill>
                  <w14:solidFill>
                    <w14:schemeClr w14:val="tx1"/>
                  </w14:solidFill>
                </w14:textFill>
              </w:rPr>
              <w:t>投标人</w:t>
            </w:r>
            <w:r>
              <w:rPr>
                <w:rFonts w:hint="eastAsia" w:ascii="宋体" w:hAnsi="宋体" w:cs="宋体"/>
                <w:color w:val="000000" w:themeColor="text1"/>
                <w:sz w:val="21"/>
                <w:szCs w:val="24"/>
                <w:highlight w:val="none"/>
                <w14:textFill>
                  <w14:solidFill>
                    <w14:schemeClr w14:val="tx1"/>
                  </w14:solidFill>
                </w14:textFill>
              </w:rPr>
              <w:t>业绩合同应提供包含项目名称、合同总金额、合同签订时间、合同签字盖章页等关键内容的关键页的扫描件；</w:t>
            </w:r>
            <w:r>
              <w:rPr>
                <w:rFonts w:hint="eastAsia" w:ascii="宋体" w:hAnsi="宋体" w:cs="宋体"/>
                <w:color w:val="000000" w:themeColor="text1"/>
                <w:sz w:val="21"/>
                <w:szCs w:val="24"/>
                <w:highlight w:val="none"/>
                <w:lang w:val="en-US" w:eastAsia="zh-CN"/>
                <w14:textFill>
                  <w14:solidFill>
                    <w14:schemeClr w14:val="tx1"/>
                  </w14:solidFill>
                </w14:textFill>
              </w:rPr>
              <w:t>（每个业绩至少提供不低于合同金额50%的增值税发票或收到业主转账的收款凭证，未提供，该业绩无效）</w:t>
            </w:r>
          </w:p>
          <w:p w14:paraId="71881B33">
            <w:pPr>
              <w:pStyle w:val="10"/>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4"/>
                <w:highlight w:val="none"/>
                <w14:textFill>
                  <w14:solidFill>
                    <w14:schemeClr w14:val="tx1"/>
                  </w14:solidFill>
                </w14:textFill>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96" w:type="pct"/>
            <w:vMerge w:val="continue"/>
            <w:vAlign w:val="center"/>
          </w:tcPr>
          <w:p w14:paraId="15F3468D">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526" w:type="pct"/>
            <w:vMerge w:val="continue"/>
            <w:vAlign w:val="center"/>
          </w:tcPr>
          <w:p w14:paraId="6271DD01">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937" w:type="pct"/>
            <w:vAlign w:val="center"/>
          </w:tcPr>
          <w:p w14:paraId="2BCA433A">
            <w:pPr>
              <w:pStyle w:val="10"/>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企业实力</w:t>
            </w:r>
          </w:p>
          <w:p w14:paraId="6119F0E8">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（满分</w:t>
            </w:r>
            <w:r>
              <w:rPr>
                <w:rFonts w:hint="eastAsia" w:ascii="宋体" w:hAnsi="宋体" w:cs="宋体"/>
                <w:color w:val="000000" w:themeColor="text1"/>
                <w:sz w:val="21"/>
                <w:szCs w:val="21"/>
                <w:highlight w:val="none"/>
                <w:u w:val="single"/>
                <w14:textFill>
                  <w14:solidFill>
                    <w14:schemeClr w14:val="tx1"/>
                  </w14:solidFill>
                </w14:textFill>
              </w:rPr>
              <w:t xml:space="preserve">  3</w:t>
            </w:r>
            <w:r>
              <w:rPr>
                <w:rFonts w:hint="eastAsia" w:ascii="宋体" w:hAnsi="宋体" w:cs="宋体"/>
                <w:color w:val="000000" w:themeColor="text1"/>
                <w:sz w:val="21"/>
                <w:szCs w:val="21"/>
                <w:highlight w:val="none"/>
                <w:u w:val="single"/>
                <w:lang w:val="en-US" w:eastAsia="zh-CN"/>
                <w14:textFill>
                  <w14:solidFill>
                    <w14:schemeClr w14:val="tx1"/>
                  </w14:solidFill>
                </w14:textFill>
              </w:rPr>
              <w:t>0</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分）</w:t>
            </w:r>
          </w:p>
        </w:tc>
        <w:tc>
          <w:tcPr>
            <w:tcW w:w="3039" w:type="pct"/>
            <w:vAlign w:val="center"/>
          </w:tcPr>
          <w:p w14:paraId="142D53F5">
            <w:pPr>
              <w:pStyle w:val="20"/>
              <w:keepNext w:val="0"/>
              <w:keepLines w:val="0"/>
              <w:suppressLineNumbers w:val="0"/>
              <w:spacing w:before="0" w:beforeLines="0" w:beforeAutospacing="0" w:after="0" w:afterLines="0" w:afterAutospacing="0"/>
              <w:ind w:left="0" w:right="0" w:firstLine="210" w:firstLineChars="100"/>
              <w:jc w:val="both"/>
              <w:rPr>
                <w:rFonts w:hint="eastAsia" w:asciiTheme="minorEastAsia" w:hAnsiTheme="minorEastAsia" w:eastAsiaTheme="minorEastAsia" w:cstheme="minorEastAsia"/>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bidi="ar"/>
                <w14:textFill>
                  <w14:solidFill>
                    <w14:schemeClr w14:val="tx1"/>
                  </w14:solidFill>
                </w14:textFill>
              </w:rPr>
              <w:t>企业实力</w:t>
            </w:r>
            <w:r>
              <w:rPr>
                <w:rFonts w:hint="eastAsia" w:asciiTheme="minorEastAsia" w:hAnsiTheme="minorEastAsia" w:eastAsiaTheme="minorEastAsia" w:cstheme="minorEastAsia"/>
                <w:color w:val="000000" w:themeColor="text1"/>
                <w:kern w:val="0"/>
                <w:sz w:val="21"/>
                <w:szCs w:val="21"/>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bidi="ar"/>
                <w14:textFill>
                  <w14:solidFill>
                    <w14:schemeClr w14:val="tx1"/>
                  </w14:solidFill>
                </w14:textFill>
              </w:rPr>
              <w:t>投标人</w:t>
            </w:r>
            <w:r>
              <w:rPr>
                <w:rFonts w:hint="eastAsia" w:asciiTheme="minorEastAsia" w:hAnsiTheme="minorEastAsia" w:eastAsiaTheme="minorEastAsia" w:cstheme="minorEastAsia"/>
                <w:color w:val="000000" w:themeColor="text1"/>
                <w:kern w:val="0"/>
                <w:sz w:val="21"/>
                <w:szCs w:val="21"/>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bidi="ar"/>
                <w14:textFill>
                  <w14:solidFill>
                    <w14:schemeClr w14:val="tx1"/>
                  </w14:solidFill>
                </w14:textFill>
              </w:rPr>
              <w:t>：</w:t>
            </w:r>
          </w:p>
          <w:p w14:paraId="0B7DADC9">
            <w:pPr>
              <w:pStyle w:val="20"/>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b/>
                <w:color w:val="000000" w:themeColor="text1"/>
                <w:kern w:val="0"/>
                <w:sz w:val="21"/>
                <w:szCs w:val="21"/>
                <w:highlight w:val="none"/>
                <w:lang w:val="en-US" w:eastAsia="zh-CN" w:bidi="ar"/>
                <w14:textFill>
                  <w14:solidFill>
                    <w14:schemeClr w14:val="tx1"/>
                  </w14:solidFill>
                </w14:textFill>
              </w:rPr>
              <w:t>1</w:t>
            </w:r>
            <w:r>
              <w:rPr>
                <w:rFonts w:hint="eastAsia" w:ascii="宋体" w:hAnsi="宋体" w:eastAsia="宋体" w:cs="宋体"/>
                <w:b/>
                <w:color w:val="000000" w:themeColor="text1"/>
                <w:kern w:val="0"/>
                <w:sz w:val="21"/>
                <w:szCs w:val="21"/>
                <w:highlight w:val="none"/>
                <w:lang w:bidi="ar"/>
                <w14:textFill>
                  <w14:solidFill>
                    <w14:schemeClr w14:val="tx1"/>
                  </w14:solidFill>
                </w14:textFill>
              </w:rPr>
              <w:t>.厂区规模情况</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须提供</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投标产品生产加工厂的相关资料，包括但不限于工厂具体定位（百度地图定位截图）、</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厂区</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加工车间照片、房屋购买租赁合同协议书等，自有或租赁厂房须明确证明材料</w:t>
            </w:r>
            <w:r>
              <w:rPr>
                <w:rFonts w:hint="eastAsia" w:ascii="宋体" w:hAnsi="宋体" w:eastAsia="宋体" w:cs="宋体"/>
                <w:color w:val="000000" w:themeColor="text1"/>
                <w:kern w:val="0"/>
                <w:sz w:val="21"/>
                <w:szCs w:val="21"/>
                <w:highlight w:val="none"/>
                <w:lang w:bidi="ar"/>
                <w14:textFill>
                  <w14:solidFill>
                    <w14:schemeClr w14:val="tx1"/>
                  </w14:solidFill>
                </w14:textFill>
              </w:rPr>
              <w:t>），评委根据上述证明材料综合评审，优秀的得</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10</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w:t>
            </w:r>
            <w:r>
              <w:rPr>
                <w:rFonts w:hint="eastAsia" w:ascii="宋体" w:hAnsi="宋体" w:eastAsia="宋体" w:cs="宋体"/>
                <w:color w:val="000000" w:themeColor="text1"/>
                <w:kern w:val="0"/>
                <w:sz w:val="21"/>
                <w:szCs w:val="21"/>
                <w:highlight w:val="none"/>
                <w:lang w:bidi="ar"/>
                <w14:textFill>
                  <w14:solidFill>
                    <w14:schemeClr w14:val="tx1"/>
                  </w14:solidFill>
                </w14:textFill>
              </w:rPr>
              <w:t>分；一般的得6-</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r>
              <w:rPr>
                <w:rFonts w:hint="eastAsia" w:ascii="宋体" w:hAnsi="宋体" w:eastAsia="宋体" w:cs="宋体"/>
                <w:color w:val="000000" w:themeColor="text1"/>
                <w:kern w:val="0"/>
                <w:sz w:val="21"/>
                <w:szCs w:val="21"/>
                <w:highlight w:val="none"/>
                <w:lang w:bidi="ar"/>
                <w14:textFill>
                  <w14:solidFill>
                    <w14:schemeClr w14:val="tx1"/>
                  </w14:solidFill>
                </w14:textFill>
              </w:rPr>
              <w:t>分，较差得基础分</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1"/>
                <w:szCs w:val="21"/>
                <w:highlight w:val="none"/>
                <w:lang w:bidi="ar"/>
                <w14:textFill>
                  <w14:solidFill>
                    <w14:schemeClr w14:val="tx1"/>
                  </w14:solidFill>
                </w14:textFill>
              </w:rPr>
              <w:t>分，未提供不得分</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w:t>
            </w:r>
          </w:p>
          <w:p w14:paraId="3BDDDC7B">
            <w:pPr>
              <w:pStyle w:val="20"/>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2.机械设备情况</w:t>
            </w:r>
            <w:r>
              <w:rPr>
                <w:rFonts w:hint="eastAsia" w:ascii="宋体" w:hAnsi="宋体" w:eastAsia="宋体" w:cs="宋体"/>
                <w:color w:val="000000" w:themeColor="text1"/>
                <w:kern w:val="0"/>
                <w:sz w:val="21"/>
                <w:szCs w:val="21"/>
                <w:highlight w:val="none"/>
                <w:lang w:bidi="ar"/>
                <w14:textFill>
                  <w14:solidFill>
                    <w14:schemeClr w14:val="tx1"/>
                  </w14:solidFill>
                </w14:textFill>
              </w:rPr>
              <w:t>（须提供自有设备照片、采购租赁合同协议书等，自有或租赁设备须明确证明材料），评委根据上述证明材料综合评审，优秀的得</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10</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w:t>
            </w:r>
            <w:r>
              <w:rPr>
                <w:rFonts w:hint="eastAsia" w:ascii="宋体" w:hAnsi="宋体" w:eastAsia="宋体" w:cs="宋体"/>
                <w:color w:val="000000" w:themeColor="text1"/>
                <w:kern w:val="0"/>
                <w:sz w:val="21"/>
                <w:szCs w:val="21"/>
                <w:highlight w:val="none"/>
                <w:lang w:bidi="ar"/>
                <w14:textFill>
                  <w14:solidFill>
                    <w14:schemeClr w14:val="tx1"/>
                  </w14:solidFill>
                </w14:textFill>
              </w:rPr>
              <w:t>分；一般的得6-</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r>
              <w:rPr>
                <w:rFonts w:hint="eastAsia" w:ascii="宋体" w:hAnsi="宋体" w:eastAsia="宋体" w:cs="宋体"/>
                <w:color w:val="000000" w:themeColor="text1"/>
                <w:kern w:val="0"/>
                <w:sz w:val="21"/>
                <w:szCs w:val="21"/>
                <w:highlight w:val="none"/>
                <w:lang w:bidi="ar"/>
                <w14:textFill>
                  <w14:solidFill>
                    <w14:schemeClr w14:val="tx1"/>
                  </w14:solidFill>
                </w14:textFill>
              </w:rPr>
              <w:t>分，较差得基础分</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1"/>
                <w:szCs w:val="21"/>
                <w:highlight w:val="none"/>
                <w:lang w:bidi="ar"/>
                <w14:textFill>
                  <w14:solidFill>
                    <w14:schemeClr w14:val="tx1"/>
                  </w14:solidFill>
                </w14:textFill>
              </w:rPr>
              <w:t>分，未提供不得分</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w:t>
            </w:r>
          </w:p>
          <w:p w14:paraId="4A57E4ED">
            <w:pPr>
              <w:pStyle w:val="20"/>
              <w:keepNext w:val="0"/>
              <w:keepLines w:val="0"/>
              <w:suppressLineNumbers w:val="0"/>
              <w:spacing w:before="0" w:beforeLines="0" w:beforeAutospacing="0" w:after="0" w:afterLines="0" w:afterAutospacing="0"/>
              <w:ind w:left="0" w:leftChars="0" w:right="0" w:rightChars="0" w:firstLine="211" w:firstLineChars="100"/>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0"/>
                <w:sz w:val="21"/>
                <w:szCs w:val="21"/>
                <w:highlight w:val="none"/>
                <w:lang w:val="en-US" w:eastAsia="zh-CN" w:bidi="ar"/>
                <w14:textFill>
                  <w14:solidFill>
                    <w14:schemeClr w14:val="tx1"/>
                  </w14:solidFill>
                </w14:textFill>
              </w:rPr>
              <w:t>3</w:t>
            </w:r>
            <w:r>
              <w:rPr>
                <w:rFonts w:hint="eastAsia" w:ascii="宋体" w:hAnsi="宋体" w:eastAsia="宋体" w:cs="宋体"/>
                <w:b/>
                <w:color w:val="000000" w:themeColor="text1"/>
                <w:kern w:val="0"/>
                <w:sz w:val="21"/>
                <w:szCs w:val="21"/>
                <w:highlight w:val="none"/>
                <w:lang w:bidi="ar"/>
                <w14:textFill>
                  <w14:solidFill>
                    <w14:schemeClr w14:val="tx1"/>
                  </w14:solidFill>
                </w14:textFill>
              </w:rPr>
              <w:t>.人员情况</w:t>
            </w:r>
            <w:r>
              <w:rPr>
                <w:rFonts w:hint="eastAsia" w:ascii="宋体" w:hAnsi="宋体" w:eastAsia="宋体" w:cs="宋体"/>
                <w:color w:val="000000" w:themeColor="text1"/>
                <w:kern w:val="0"/>
                <w:sz w:val="21"/>
                <w:szCs w:val="21"/>
                <w:highlight w:val="none"/>
                <w:lang w:bidi="ar"/>
                <w14:textFill>
                  <w14:solidFill>
                    <w14:schemeClr w14:val="tx1"/>
                  </w14:solidFill>
                </w14:textFill>
              </w:rPr>
              <w:t>（生产人员、售后</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等</w:t>
            </w:r>
            <w:r>
              <w:rPr>
                <w:rFonts w:hint="eastAsia" w:ascii="宋体" w:hAnsi="宋体" w:eastAsia="宋体" w:cs="宋体"/>
                <w:color w:val="000000" w:themeColor="text1"/>
                <w:kern w:val="0"/>
                <w:sz w:val="21"/>
                <w:szCs w:val="21"/>
                <w:highlight w:val="none"/>
                <w:lang w:bidi="ar"/>
                <w14:textFill>
                  <w14:solidFill>
                    <w14:schemeClr w14:val="tx1"/>
                  </w14:solidFill>
                </w14:textFill>
              </w:rPr>
              <w:t>人员情况，可提供公司社保名录等证明材料），评委根据上述证明材料综合评审，优秀的得</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10</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w:t>
            </w:r>
            <w:r>
              <w:rPr>
                <w:rFonts w:hint="eastAsia" w:ascii="宋体" w:hAnsi="宋体" w:eastAsia="宋体" w:cs="宋体"/>
                <w:color w:val="000000" w:themeColor="text1"/>
                <w:kern w:val="0"/>
                <w:sz w:val="21"/>
                <w:szCs w:val="21"/>
                <w:highlight w:val="none"/>
                <w:lang w:bidi="ar"/>
                <w14:textFill>
                  <w14:solidFill>
                    <w14:schemeClr w14:val="tx1"/>
                  </w14:solidFill>
                </w14:textFill>
              </w:rPr>
              <w:t>分；一般的得6-</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r>
              <w:rPr>
                <w:rFonts w:hint="eastAsia" w:ascii="宋体" w:hAnsi="宋体" w:eastAsia="宋体" w:cs="宋体"/>
                <w:color w:val="000000" w:themeColor="text1"/>
                <w:kern w:val="0"/>
                <w:sz w:val="21"/>
                <w:szCs w:val="21"/>
                <w:highlight w:val="none"/>
                <w:lang w:bidi="ar"/>
                <w14:textFill>
                  <w14:solidFill>
                    <w14:schemeClr w14:val="tx1"/>
                  </w14:solidFill>
                </w14:textFill>
              </w:rPr>
              <w:t>分，较差得基础分</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1"/>
                <w:szCs w:val="21"/>
                <w:highlight w:val="none"/>
                <w:lang w:bidi="ar"/>
                <w14:textFill>
                  <w14:solidFill>
                    <w14:schemeClr w14:val="tx1"/>
                  </w14:solidFill>
                </w14:textFill>
              </w:rPr>
              <w:t>分，未提供不得分</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color w:val="000000" w:themeColor="text1"/>
                <w:kern w:val="0"/>
                <w:sz w:val="21"/>
                <w:szCs w:val="21"/>
                <w:highlight w:val="none"/>
                <w:lang w:bidi="ar"/>
                <w14:textFill>
                  <w14:solidFill>
                    <w14:schemeClr w14:val="tx1"/>
                  </w14:solidFill>
                </w14:textFill>
              </w:rPr>
              <w:t>本项累计3</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0</w:t>
            </w:r>
            <w:r>
              <w:rPr>
                <w:rFonts w:hint="eastAsia" w:ascii="宋体" w:hAnsi="宋体" w:eastAsia="宋体" w:cs="宋体"/>
                <w:color w:val="000000" w:themeColor="text1"/>
                <w:kern w:val="0"/>
                <w:sz w:val="21"/>
                <w:szCs w:val="21"/>
                <w:highlight w:val="none"/>
                <w:lang w:bidi="ar"/>
                <w14:textFill>
                  <w14:solidFill>
                    <w14:schemeClr w14:val="tx1"/>
                  </w14:solidFill>
                </w14:textFill>
              </w:rPr>
              <w:t>分。</w:t>
            </w:r>
            <w:r>
              <w:rPr>
                <w:rFonts w:hint="eastAsia" w:ascii="宋体" w:hAnsi="宋体" w:eastAsia="宋体" w:cs="宋体"/>
                <w:b/>
                <w:color w:val="000000" w:themeColor="text1"/>
                <w:kern w:val="0"/>
                <w:sz w:val="21"/>
                <w:szCs w:val="21"/>
                <w:highlight w:val="none"/>
                <w:lang w:bidi="ar"/>
                <w14:textFill>
                  <w14:solidFill>
                    <w14:schemeClr w14:val="tx1"/>
                  </w14:solidFill>
                </w14:textFill>
              </w:rPr>
              <w:t>（如采购人发现响应人提供的资料弄虚作假，采购人有权取消中标资格，已签合同的可随时解除合同）</w:t>
            </w:r>
          </w:p>
        </w:tc>
      </w:tr>
      <w:tr w14:paraId="485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6" w:type="pct"/>
            <w:vMerge w:val="continue"/>
            <w:vAlign w:val="center"/>
          </w:tcPr>
          <w:p w14:paraId="770DBF94">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526" w:type="pct"/>
            <w:vMerge w:val="continue"/>
            <w:vAlign w:val="center"/>
          </w:tcPr>
          <w:p w14:paraId="7680D05C">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937" w:type="pct"/>
            <w:vAlign w:val="center"/>
          </w:tcPr>
          <w:p w14:paraId="188F7F47">
            <w:pPr>
              <w:keepNext w:val="0"/>
              <w:keepLines w:val="0"/>
              <w:suppressLineNumbers w:val="0"/>
              <w:spacing w:before="0" w:beforeLines="0" w:beforeAutospacing="0" w:after="0" w:afterLines="0" w:afterAutospacing="0"/>
              <w:ind w:left="618" w:right="0" w:hanging="618" w:hangingChars="300"/>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pacing w:val="-2"/>
                <w:sz w:val="21"/>
                <w:szCs w:val="21"/>
                <w:highlight w:val="none"/>
                <w14:textFill>
                  <w14:solidFill>
                    <w14:schemeClr w14:val="tx1"/>
                  </w14:solidFill>
                </w14:textFill>
              </w:rPr>
              <w:t>生产</w:t>
            </w:r>
            <w:r>
              <w:rPr>
                <w:rFonts w:hint="eastAsia" w:ascii="宋体" w:hAnsi="宋体" w:cs="宋体"/>
                <w:color w:val="000000" w:themeColor="text1"/>
                <w:spacing w:val="-1"/>
                <w:sz w:val="21"/>
                <w:szCs w:val="21"/>
                <w:highlight w:val="none"/>
                <w14:textFill>
                  <w14:solidFill>
                    <w14:schemeClr w14:val="tx1"/>
                  </w14:solidFill>
                </w14:textFill>
              </w:rPr>
              <w:t>体系认</w:t>
            </w:r>
            <w:r>
              <w:rPr>
                <w:rFonts w:hint="eastAsia" w:ascii="宋体" w:hAnsi="宋体" w:cs="宋体"/>
                <w:color w:val="000000" w:themeColor="text1"/>
                <w:sz w:val="21"/>
                <w:szCs w:val="21"/>
                <w:highlight w:val="none"/>
                <w14:textFill>
                  <w14:solidFill>
                    <w14:schemeClr w14:val="tx1"/>
                  </w14:solidFill>
                </w14:textFill>
              </w:rPr>
              <w:t>证</w:t>
            </w:r>
          </w:p>
          <w:p w14:paraId="4B4EEB8E">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（满分</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6</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分）</w:t>
            </w:r>
          </w:p>
        </w:tc>
        <w:tc>
          <w:tcPr>
            <w:tcW w:w="5389" w:type="dxa"/>
            <w:vAlign w:val="center"/>
          </w:tcPr>
          <w:p w14:paraId="505720CC">
            <w:pPr>
              <w:pStyle w:val="15"/>
              <w:keepNext w:val="0"/>
              <w:keepLines w:val="0"/>
              <w:suppressLineNumbers w:val="0"/>
              <w:spacing w:before="0" w:beforeLines="0" w:beforeAutospacing="0" w:after="0" w:afterLines="0" w:afterAutospacing="0"/>
              <w:ind w:left="0" w:right="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投标人</w:t>
            </w:r>
            <w:r>
              <w:rPr>
                <w:rFonts w:hint="eastAsia" w:ascii="宋体" w:hAnsi="宋体" w:cs="宋体"/>
                <w:color w:val="000000" w:themeColor="text1"/>
                <w:kern w:val="0"/>
                <w:sz w:val="21"/>
                <w:szCs w:val="21"/>
                <w:highlight w:val="none"/>
                <w:lang w:bidi="ar"/>
                <w14:textFill>
                  <w14:solidFill>
                    <w14:schemeClr w14:val="tx1"/>
                  </w14:solidFill>
                </w14:textFill>
              </w:rPr>
              <w:t>具有有效期内的质量管理体系认证证书、环境管理体系认证证书、职业健康安全管理体系认证证书的，每提供1个得2分，总分6分。提供证书扫描件，未提供或提供材料不符合要求的不得分。</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6" w:type="pct"/>
            <w:vMerge w:val="continue"/>
            <w:vAlign w:val="center"/>
          </w:tcPr>
          <w:p w14:paraId="249875D6">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526" w:type="pct"/>
            <w:vMerge w:val="continue"/>
            <w:vAlign w:val="center"/>
          </w:tcPr>
          <w:p w14:paraId="36F98C23">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937" w:type="pct"/>
            <w:shd w:val="clear" w:color="auto" w:fill="auto"/>
            <w:vAlign w:val="center"/>
          </w:tcPr>
          <w:p w14:paraId="0FFC4C0C">
            <w:pPr>
              <w:pStyle w:val="10"/>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供货方案</w:t>
            </w:r>
          </w:p>
          <w:p w14:paraId="4CD1C9F8">
            <w:pPr>
              <w:pStyle w:val="10"/>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（满分</w:t>
            </w:r>
            <w:r>
              <w:rPr>
                <w:rFonts w:hint="eastAsia" w:ascii="宋体" w:hAnsi="宋体" w:cs="宋体"/>
                <w:color w:val="000000" w:themeColor="text1"/>
                <w:sz w:val="21"/>
                <w:szCs w:val="21"/>
                <w:highlight w:val="none"/>
                <w:u w:val="single"/>
                <w14:textFill>
                  <w14:solidFill>
                    <w14:schemeClr w14:val="tx1"/>
                  </w14:solidFill>
                </w14:textFill>
              </w:rPr>
              <w:t xml:space="preserve"> 1</w:t>
            </w:r>
            <w:r>
              <w:rPr>
                <w:rFonts w:hint="eastAsia" w:ascii="宋体" w:hAnsi="宋体" w:cs="宋体"/>
                <w:color w:val="000000" w:themeColor="text1"/>
                <w:sz w:val="21"/>
                <w:szCs w:val="21"/>
                <w:highlight w:val="none"/>
                <w:u w:val="single"/>
                <w:lang w:val="en-US" w:eastAsia="zh-CN"/>
                <w14:textFill>
                  <w14:solidFill>
                    <w14:schemeClr w14:val="tx1"/>
                  </w14:solidFill>
                </w14:textFill>
              </w:rPr>
              <w:t>4</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分）</w:t>
            </w:r>
          </w:p>
        </w:tc>
        <w:tc>
          <w:tcPr>
            <w:tcW w:w="5389" w:type="dxa"/>
            <w:shd w:val="clear" w:color="auto" w:fill="auto"/>
            <w:vAlign w:val="center"/>
          </w:tcPr>
          <w:p w14:paraId="0C475E43">
            <w:pPr>
              <w:pStyle w:val="10"/>
              <w:keepNext w:val="0"/>
              <w:keepLines w:val="0"/>
              <w:suppressLineNumbers w:val="0"/>
              <w:adjustRightInd w:val="0"/>
              <w:snapToGrid w:val="0"/>
              <w:spacing w:before="0" w:beforeLines="0" w:beforeAutospacing="0" w:afterLines="0" w:afterAutospacing="0"/>
              <w:ind w:left="0" w:leftChars="0" w:right="0" w:rightChars="0" w:firstLine="210" w:firstLineChars="100"/>
              <w:jc w:val="left"/>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供货方案合理,对项目关键技术主要施工艺有深入的表述,对重点、难点问题有合理化建议解决方案完整、经济、安全、切实可行,措施得力，评委综合评分，优秀的得14-10分；一般的得9-5分，较差得基础分4分，未提供不得分。</w:t>
            </w:r>
            <w:r>
              <w:rPr>
                <w:rFonts w:hint="eastAsia" w:ascii="宋体" w:hAnsi="宋体" w:cs="宋体"/>
                <w:color w:val="000000" w:themeColor="text1"/>
                <w:sz w:val="21"/>
                <w:szCs w:val="21"/>
                <w:highlight w:val="none"/>
                <w:lang w:bidi="ar"/>
                <w14:textFill>
                  <w14:solidFill>
                    <w14:schemeClr w14:val="tx1"/>
                  </w14:solidFill>
                </w14:textFill>
              </w:rPr>
              <w:t xml:space="preserve">  </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6" w:type="pct"/>
            <w:vMerge w:val="continue"/>
            <w:vAlign w:val="center"/>
          </w:tcPr>
          <w:p w14:paraId="1728D70F">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526" w:type="pct"/>
            <w:vMerge w:val="continue"/>
            <w:vAlign w:val="center"/>
          </w:tcPr>
          <w:p w14:paraId="2CE56D02">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937" w:type="pct"/>
            <w:shd w:val="clear" w:color="auto" w:fill="auto"/>
            <w:vAlign w:val="center"/>
          </w:tcPr>
          <w:p w14:paraId="06E7F4D4">
            <w:pPr>
              <w:pStyle w:val="22"/>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售后服务方案</w:t>
            </w:r>
          </w:p>
          <w:p w14:paraId="308209DC">
            <w:pPr>
              <w:pStyle w:val="22"/>
              <w:keepNext w:val="0"/>
              <w:keepLines w:val="0"/>
              <w:suppressLineNumbers w:val="0"/>
              <w:spacing w:before="0" w:beforeLines="0" w:beforeAutospacing="0" w:afterLines="0" w:afterAutospacing="0"/>
              <w:ind w:left="0" w:leftChars="0" w:right="0" w:rightChars="0" w:firstLine="0" w:firstLineChars="0"/>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满分</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10 </w:t>
            </w:r>
            <w:r>
              <w:rPr>
                <w:rFonts w:hint="eastAsia" w:ascii="宋体" w:hAnsi="宋体" w:cs="宋体"/>
                <w:color w:val="000000" w:themeColor="text1"/>
                <w:sz w:val="21"/>
                <w:szCs w:val="21"/>
                <w:highlight w:val="none"/>
                <w:lang w:val="en-US" w:eastAsia="zh-CN"/>
                <w14:textFill>
                  <w14:solidFill>
                    <w14:schemeClr w14:val="tx1"/>
                  </w14:solidFill>
                </w14:textFill>
              </w:rPr>
              <w:t>分</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5389" w:type="dxa"/>
            <w:shd w:val="clear" w:color="auto" w:fill="auto"/>
            <w:vAlign w:val="center"/>
          </w:tcPr>
          <w:p w14:paraId="3686DE7B">
            <w:pPr>
              <w:pStyle w:val="15"/>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4"/>
                <w:highlight w:val="none"/>
                <w:lang w:val="en-US" w:eastAsia="zh-CN"/>
                <w14:textFill>
                  <w14:solidFill>
                    <w14:schemeClr w14:val="tx1"/>
                  </w14:solidFill>
                </w14:textFill>
              </w:rPr>
              <w:t>根据投标人售后服务方案及增值服务进行综合评审。评委综合评分，优秀的得10-7分；一般的得6-3分，较差得基础分2分，未提供不得分。</w:t>
            </w:r>
          </w:p>
        </w:tc>
      </w:tr>
    </w:tbl>
    <w:p w14:paraId="5218B9BA">
      <w:pPr>
        <w:pStyle w:val="39"/>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000000" w:themeColor="text1"/>
          <w:szCs w:val="28"/>
          <w:highlight w:val="none"/>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C627878">
      <w:pPr>
        <w:jc w:val="left"/>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1. </w:t>
      </w:r>
      <w:r>
        <w:rPr>
          <w:rFonts w:hint="eastAsia" w:ascii="Times New Roman" w:hAnsi="Times New Roman" w:eastAsia="黑体"/>
          <w:color w:val="auto"/>
          <w:sz w:val="24"/>
          <w:szCs w:val="32"/>
          <w:highlight w:val="none"/>
        </w:rPr>
        <w:t>评审方法</w:t>
      </w:r>
    </w:p>
    <w:p w14:paraId="4274C6E3">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lang w:val="en-US" w:eastAsia="zh-CN"/>
        </w:rPr>
        <w:t>1.1</w:t>
      </w:r>
      <w:r>
        <w:rPr>
          <w:rFonts w:hint="eastAsia" w:ascii="Times New Roman" w:hAnsi="Times New Roman"/>
          <w:color w:val="auto"/>
          <w:sz w:val="21"/>
          <w:szCs w:val="24"/>
          <w:highlight w:val="none"/>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1C01D69">
      <w:pPr>
        <w:spacing w:line="440" w:lineRule="exact"/>
        <w:ind w:firstLine="420"/>
        <w:rPr>
          <w:rFonts w:hint="eastAsia" w:ascii="Times New Roman" w:hAnsi="Times New Roman" w:eastAsiaTheme="minorEastAsia"/>
          <w:color w:val="auto"/>
          <w:sz w:val="21"/>
          <w:szCs w:val="24"/>
          <w:highlight w:val="none"/>
          <w:lang w:eastAsia="zh-CN"/>
        </w:rPr>
      </w:pPr>
      <w:r>
        <w:rPr>
          <w:rFonts w:hint="eastAsia" w:ascii="Times New Roman" w:hAnsi="Times New Roman" w:eastAsiaTheme="minorEastAsia"/>
          <w:color w:val="auto"/>
          <w:sz w:val="21"/>
          <w:szCs w:val="24"/>
          <w:highlight w:val="none"/>
          <w:lang w:eastAsia="zh-CN"/>
        </w:rPr>
        <w:t>1.2若参与本项目询比且通过形式评审、响应性评审与资格评审的供应商只有3家，则3家无需进行商务技术文件评审，直接开启第二信封报价文件，按照评标价由低到高的顺序推荐3名中标候选人。</w:t>
      </w:r>
    </w:p>
    <w:p w14:paraId="251CEB30">
      <w:pPr>
        <w:spacing w:line="440" w:lineRule="exact"/>
        <w:ind w:firstLine="420"/>
        <w:rPr>
          <w:rFonts w:hint="eastAsia" w:ascii="Times New Roman" w:hAnsi="Times New Roman" w:eastAsiaTheme="minorEastAsia"/>
          <w:color w:val="auto"/>
          <w:sz w:val="21"/>
          <w:szCs w:val="24"/>
          <w:highlight w:val="none"/>
          <w:lang w:eastAsia="zh-CN"/>
        </w:rPr>
      </w:pPr>
      <w:r>
        <w:rPr>
          <w:rFonts w:hint="eastAsia" w:ascii="Times New Roman" w:hAnsi="Times New Roman"/>
          <w:b/>
          <w:bCs/>
          <w:color w:val="auto"/>
          <w:sz w:val="21"/>
          <w:szCs w:val="24"/>
          <w:highlight w:val="none"/>
          <w:lang w:val="en-US" w:eastAsia="zh-CN"/>
        </w:rPr>
        <w:t>1.3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采购人可以按照评审小组提出的成交候选供应商名单排序依次确定其他成交候选供应商为成交供应商（重新确定成交供应商的，采购人有权与其二次谈判价格）。依次确定其他成交候选供应商与采购人预期差距较大，或者对采购人明显不利的，采购人可以重新采购。</w:t>
      </w:r>
    </w:p>
    <w:p w14:paraId="294BE65D">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 </w:t>
      </w:r>
      <w:r>
        <w:rPr>
          <w:rFonts w:hint="eastAsia" w:ascii="Times New Roman" w:hAnsi="Times New Roman" w:eastAsia="黑体"/>
          <w:color w:val="auto"/>
          <w:sz w:val="24"/>
          <w:szCs w:val="32"/>
          <w:highlight w:val="none"/>
        </w:rPr>
        <w:t>评审标准</w:t>
      </w:r>
    </w:p>
    <w:p w14:paraId="4417430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2.1 </w:t>
      </w:r>
      <w:r>
        <w:rPr>
          <w:rFonts w:hint="eastAsia" w:ascii="Times New Roman" w:hAnsi="Times New Roman" w:eastAsia="黑体"/>
          <w:color w:val="auto"/>
          <w:sz w:val="24"/>
          <w:szCs w:val="32"/>
          <w:highlight w:val="none"/>
        </w:rPr>
        <w:t>初步评审标准</w:t>
      </w:r>
    </w:p>
    <w:p w14:paraId="1C952C4E">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2.1.1 </w:t>
      </w:r>
      <w:r>
        <w:rPr>
          <w:rFonts w:hint="eastAsia" w:ascii="Times New Roman" w:hAnsi="Times New Roman"/>
          <w:color w:val="auto"/>
          <w:sz w:val="21"/>
          <w:szCs w:val="24"/>
          <w:highlight w:val="none"/>
        </w:rPr>
        <w:t>形式评审标准：见评审办法前附表。</w:t>
      </w:r>
    </w:p>
    <w:p w14:paraId="26E4FF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2.1.2 </w:t>
      </w:r>
      <w:r>
        <w:rPr>
          <w:rFonts w:hint="eastAsia" w:ascii="Times New Roman" w:hAnsi="Times New Roman"/>
          <w:color w:val="auto"/>
          <w:sz w:val="21"/>
          <w:szCs w:val="24"/>
          <w:highlight w:val="none"/>
        </w:rPr>
        <w:t>资格评审标准：见评审办法前附表。</w:t>
      </w:r>
    </w:p>
    <w:p w14:paraId="4B8844F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2.1.3 </w:t>
      </w:r>
      <w:r>
        <w:rPr>
          <w:rFonts w:hint="eastAsia" w:ascii="Times New Roman" w:hAnsi="Times New Roman"/>
          <w:color w:val="auto"/>
          <w:sz w:val="21"/>
          <w:szCs w:val="24"/>
          <w:highlight w:val="none"/>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2.2 </w:t>
      </w:r>
      <w:r>
        <w:rPr>
          <w:rFonts w:hint="eastAsia" w:ascii="Times New Roman" w:hAnsi="Times New Roman" w:eastAsia="黑体"/>
          <w:color w:val="auto"/>
          <w:sz w:val="24"/>
          <w:szCs w:val="32"/>
          <w:highlight w:val="none"/>
        </w:rPr>
        <w:t>分值构成与评审标准</w:t>
      </w:r>
    </w:p>
    <w:p w14:paraId="2FFCF1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2.2.1</w:t>
      </w:r>
      <w:r>
        <w:rPr>
          <w:rFonts w:hint="eastAsia" w:ascii="Times New Roman" w:hAnsi="Times New Roman"/>
          <w:color w:val="auto"/>
          <w:sz w:val="21"/>
          <w:szCs w:val="24"/>
          <w:highlight w:val="none"/>
        </w:rPr>
        <w:t>分值构成：</w:t>
      </w:r>
    </w:p>
    <w:p w14:paraId="7945925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（1）业绩：见评审办法前附表；</w:t>
      </w:r>
    </w:p>
    <w:p w14:paraId="152FFD3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（2）供货方案：见评审办法前附表；</w:t>
      </w:r>
    </w:p>
    <w:p w14:paraId="7B34FA40">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（3）评审价：见评审办法前附表。</w:t>
      </w:r>
    </w:p>
    <w:p w14:paraId="3AE5AA9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2.2.2 </w:t>
      </w:r>
      <w:r>
        <w:rPr>
          <w:rFonts w:hint="eastAsia" w:ascii="Times New Roman" w:hAnsi="Times New Roman"/>
          <w:color w:val="auto"/>
          <w:sz w:val="21"/>
          <w:szCs w:val="24"/>
          <w:highlight w:val="none"/>
        </w:rPr>
        <w:t>评分标准：</w:t>
      </w:r>
    </w:p>
    <w:p w14:paraId="1D5428E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（1）业绩评分标准：见评审办法前附表；</w:t>
      </w:r>
    </w:p>
    <w:p w14:paraId="10CC277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 </w:t>
      </w:r>
      <w:r>
        <w:rPr>
          <w:rFonts w:hint="eastAsia" w:ascii="Times New Roman" w:hAnsi="Times New Roman" w:eastAsia="黑体"/>
          <w:color w:val="auto"/>
          <w:sz w:val="24"/>
          <w:szCs w:val="32"/>
          <w:highlight w:val="none"/>
        </w:rPr>
        <w:t>评审程序</w:t>
      </w:r>
    </w:p>
    <w:p w14:paraId="2F8BD502">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3.1 </w:t>
      </w:r>
      <w:r>
        <w:rPr>
          <w:rFonts w:hint="eastAsia" w:ascii="Times New Roman" w:hAnsi="Times New Roman" w:eastAsia="黑体"/>
          <w:color w:val="auto"/>
          <w:sz w:val="24"/>
          <w:szCs w:val="32"/>
          <w:highlight w:val="none"/>
        </w:rPr>
        <w:t>初步评审</w:t>
      </w:r>
    </w:p>
    <w:p w14:paraId="7847808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3.1.1</w:t>
      </w:r>
      <w:r>
        <w:rPr>
          <w:rFonts w:hint="eastAsia" w:ascii="Times New Roman" w:hAnsi="Times New Roman"/>
          <w:color w:val="auto"/>
          <w:sz w:val="21"/>
          <w:szCs w:val="24"/>
          <w:highlight w:val="none"/>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4 修正后的最终报价若超过最高限价（如有），评审小组应否决其报价。</w:t>
      </w:r>
    </w:p>
    <w:p w14:paraId="32CC1B59">
      <w:pPr>
        <w:spacing w:line="440" w:lineRule="exact"/>
        <w:ind w:firstLine="420"/>
        <w:rPr>
          <w:rFonts w:hint="default"/>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5</w:t>
      </w:r>
      <w:r>
        <w:rPr>
          <w:rFonts w:hint="default" w:ascii="Times New Roman" w:hAnsi="Times New Roman" w:eastAsia="Times New Roman"/>
          <w:color w:val="auto"/>
          <w:sz w:val="21"/>
          <w:szCs w:val="24"/>
          <w:highlight w:val="none"/>
        </w:rPr>
        <w:t xml:space="preserve"> </w:t>
      </w:r>
      <w:r>
        <w:rPr>
          <w:rFonts w:hint="eastAsia" w:ascii="Times New Roman" w:hAnsi="Times New Roman"/>
          <w:color w:val="auto"/>
          <w:sz w:val="21"/>
          <w:szCs w:val="21"/>
          <w:highlight w:val="none"/>
        </w:rPr>
        <w:t>修正后的</w:t>
      </w:r>
      <w:r>
        <w:rPr>
          <w:rFonts w:hint="eastAsia" w:ascii="Times New Roman" w:hAnsi="Times New Roman"/>
          <w:color w:val="auto"/>
          <w:sz w:val="21"/>
          <w:szCs w:val="24"/>
          <w:highlight w:val="none"/>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4"/>
          <w:szCs w:val="32"/>
          <w:highlight w:val="none"/>
        </w:rPr>
        <w:t xml:space="preserve">3.2 </w:t>
      </w:r>
      <w:r>
        <w:rPr>
          <w:rFonts w:hint="eastAsia" w:ascii="Times New Roman" w:hAnsi="Times New Roman" w:eastAsia="黑体"/>
          <w:color w:val="auto"/>
          <w:sz w:val="24"/>
          <w:szCs w:val="32"/>
          <w:highlight w:val="none"/>
        </w:rPr>
        <w:t>详细评审</w:t>
      </w:r>
    </w:p>
    <w:p w14:paraId="02549B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3.2.1 </w:t>
      </w:r>
      <w:r>
        <w:rPr>
          <w:rFonts w:hint="eastAsia" w:ascii="Times New Roman" w:hAnsi="Times New Roman"/>
          <w:color w:val="auto"/>
          <w:sz w:val="21"/>
          <w:szCs w:val="24"/>
          <w:highlight w:val="none"/>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3.2.2 </w:t>
      </w:r>
      <w:r>
        <w:rPr>
          <w:rFonts w:hint="eastAsia" w:ascii="Times New Roman" w:hAnsi="Times New Roman"/>
          <w:color w:val="auto"/>
          <w:sz w:val="21"/>
          <w:szCs w:val="24"/>
          <w:highlight w:val="none"/>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3.3 </w:t>
      </w:r>
      <w:r>
        <w:rPr>
          <w:rFonts w:hint="eastAsia" w:ascii="Times New Roman" w:hAnsi="Times New Roman" w:eastAsia="黑体"/>
          <w:color w:val="auto"/>
          <w:sz w:val="24"/>
          <w:szCs w:val="32"/>
          <w:highlight w:val="none"/>
        </w:rPr>
        <w:t>否决响应文件的其他情形</w:t>
      </w:r>
    </w:p>
    <w:p w14:paraId="68153C5D">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3.4 </w:t>
      </w:r>
      <w:r>
        <w:rPr>
          <w:rFonts w:hint="eastAsia" w:ascii="Times New Roman" w:hAnsi="Times New Roman" w:eastAsia="黑体"/>
          <w:color w:val="auto"/>
          <w:sz w:val="24"/>
          <w:szCs w:val="32"/>
          <w:highlight w:val="none"/>
        </w:rPr>
        <w:t>响应文件的澄清</w:t>
      </w:r>
    </w:p>
    <w:p w14:paraId="283ECFE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3.4.1 </w:t>
      </w:r>
      <w:r>
        <w:rPr>
          <w:rFonts w:hint="eastAsia" w:ascii="Times New Roman" w:hAnsi="Times New Roman"/>
          <w:color w:val="auto"/>
          <w:sz w:val="21"/>
          <w:szCs w:val="24"/>
          <w:highlight w:val="none"/>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highlight w:val="none"/>
        </w:rPr>
      </w:pPr>
      <w:r>
        <w:rPr>
          <w:rFonts w:hint="default" w:ascii="Times New Roman" w:hAnsi="Times New Roman" w:eastAsia="Times New Roman"/>
          <w:color w:val="auto"/>
          <w:sz w:val="21"/>
          <w:szCs w:val="24"/>
          <w:highlight w:val="none"/>
        </w:rPr>
        <w:t xml:space="preserve">3.4.2 </w:t>
      </w:r>
      <w:r>
        <w:rPr>
          <w:rFonts w:hint="eastAsia" w:ascii="Times New Roman" w:hAnsi="Times New Roman"/>
          <w:color w:val="auto"/>
          <w:sz w:val="21"/>
          <w:szCs w:val="24"/>
          <w:highlight w:val="none"/>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3.</w:t>
      </w:r>
      <w:r>
        <w:rPr>
          <w:rFonts w:hint="eastAsia" w:ascii="Times New Roman" w:hAnsi="Times New Roman" w:eastAsia="黑体"/>
          <w:color w:val="auto"/>
          <w:sz w:val="24"/>
          <w:szCs w:val="32"/>
          <w:highlight w:val="none"/>
        </w:rPr>
        <w:t>5</w:t>
      </w:r>
      <w:r>
        <w:rPr>
          <w:rFonts w:hint="default" w:ascii="Times New Roman" w:hAnsi="Times New Roman" w:eastAsia="Times New Roman"/>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5FEF92A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45EF7E80">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5CDC8F99">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38E12168">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397DC17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7B110645">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、评审办法（技术评分最低价法）</w:t>
      </w:r>
    </w:p>
    <w:p w14:paraId="2E8C59B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01A6AD07">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、详细评审情况（供应商的技术评分情况）</w:t>
      </w:r>
    </w:p>
    <w:p w14:paraId="077D1C5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00DD0452">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7203CD04">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4B7EB3A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1D401B32">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387E1AED">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mc:AlternateContent>
          <mc:Choice Requires="wps">
            <w:drawing>
              <wp:anchor distT="0" distB="0" distL="114300" distR="114300" simplePos="0" relativeHeight="251662336"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0"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62336;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CpZHYVVQIA&#10;AJ8EAAAOAAAAAAAAAAEAIAAAACUBAABkcnMvZTJvRG9jLnhtbFBLBQYAAAAABgAGAFkBAADsBQAA&#10;AAA=&#10;">
                <v:fill on="t" focussize="0,0"/>
                <v:stroke on="f" weight="0.5pt"/>
                <v:imagedata o:title=""/>
                <o:lock v:ext="edit" aspectratio="f"/>
                <v:textbo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v:textbox>
              </v:shape>
            </w:pict>
          </mc:Fallback>
        </mc:AlternateContent>
      </w:r>
      <w:r>
        <w:rPr>
          <w:rFonts w:hint="eastAsia" w:ascii="Times New Roman" w:hAnsi="Times New Roman"/>
          <w:color w:val="auto"/>
          <w:sz w:val="21"/>
          <w:szCs w:val="24"/>
          <w:highlight w:val="none"/>
          <w:lang w:val="en-US" w:eastAsia="zh-CN"/>
        </w:rPr>
        <w:t>1、投标登记表</w:t>
      </w:r>
    </w:p>
    <w:p w14:paraId="63F664B4">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2、评审人员抽取记录表</w:t>
      </w:r>
    </w:p>
    <w:p w14:paraId="392DB6E0">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3、唱标记录表</w:t>
      </w:r>
    </w:p>
    <w:p w14:paraId="312A5215">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4、评审专家签到表</w:t>
      </w:r>
    </w:p>
    <w:p w14:paraId="01A026F2">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20E7F13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6、商务及技术详细评审得分表</w:t>
      </w:r>
    </w:p>
    <w:p w14:paraId="66A0520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7、个人的评审表</w:t>
      </w:r>
    </w:p>
    <w:p w14:paraId="1BF28788">
      <w:pPr>
        <w:spacing w:line="440" w:lineRule="exact"/>
        <w:ind w:firstLine="420"/>
        <w:rPr>
          <w:rFonts w:hint="eastAsia" w:ascii="Times New Roman" w:hAnsi="Times New Roman"/>
          <w:color w:val="auto"/>
          <w:sz w:val="21"/>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color w:val="auto"/>
          <w:sz w:val="21"/>
          <w:szCs w:val="24"/>
          <w:highlight w:val="none"/>
          <w:lang w:val="en-US" w:eastAsia="zh-CN"/>
        </w:rPr>
        <w:t>8、评审结果汇总表</w:t>
      </w:r>
    </w:p>
    <w:p w14:paraId="7F9EE705">
      <w:pPr>
        <w:pStyle w:val="2"/>
        <w:numPr>
          <w:ilvl w:val="0"/>
          <w:numId w:val="0"/>
        </w:numPr>
        <w:spacing w:before="312" w:after="312"/>
        <w:ind w:leftChars="0"/>
        <w:jc w:val="center"/>
        <w:rPr>
          <w:rFonts w:ascii="Times New Roman" w:hAnsi="Times New Roman" w:eastAsia="宋体" w:cs="Times New Roman"/>
          <w:color w:val="auto"/>
          <w:highlight w:val="none"/>
        </w:rPr>
      </w:pPr>
      <w:bookmarkStart w:id="63" w:name="_Toc1341"/>
      <w:r>
        <w:rPr>
          <w:rFonts w:hint="eastAsia" w:ascii="Times New Roman" w:hAnsi="Times New Roman" w:eastAsia="宋体" w:cs="Times New Roman"/>
          <w:color w:val="auto"/>
          <w:highlight w:val="none"/>
          <w:lang w:val="en-US" w:eastAsia="zh-CN"/>
        </w:rPr>
        <w:t xml:space="preserve">第四章 </w:t>
      </w:r>
      <w:r>
        <w:rPr>
          <w:rFonts w:ascii="Times New Roman" w:hAnsi="Times New Roman" w:eastAsia="宋体" w:cs="Times New Roman"/>
          <w:color w:val="auto"/>
          <w:highlight w:val="none"/>
        </w:rPr>
        <w:t>合同内容</w:t>
      </w:r>
      <w:bookmarkEnd w:id="63"/>
    </w:p>
    <w:p w14:paraId="1558D023">
      <w:pPr>
        <w:rPr>
          <w:color w:val="auto"/>
          <w:highlight w:val="none"/>
        </w:rPr>
      </w:pPr>
    </w:p>
    <w:p w14:paraId="37368B5D">
      <w:pPr>
        <w:pStyle w:val="35"/>
        <w:rPr>
          <w:rFonts w:hint="eastAsia" w:ascii="Times New Roman" w:hAnsi="Times New Roman" w:eastAsia="宋体" w:cs="Times New Roman"/>
          <w:color w:val="auto"/>
          <w:highlight w:val="none"/>
        </w:rPr>
      </w:pPr>
    </w:p>
    <w:p w14:paraId="0E6FDAD6">
      <w:pPr>
        <w:pStyle w:val="35"/>
        <w:rPr>
          <w:rFonts w:hint="eastAsia" w:ascii="Times New Roman" w:hAnsi="Times New Roman" w:eastAsia="宋体" w:cs="Times New Roman"/>
          <w:color w:val="auto"/>
          <w:highlight w:val="none"/>
        </w:rPr>
      </w:pPr>
    </w:p>
    <w:p w14:paraId="58CDC6FF">
      <w:pPr>
        <w:pStyle w:val="35"/>
        <w:rPr>
          <w:rFonts w:hint="eastAsia" w:ascii="Times New Roman" w:hAnsi="Times New Roman" w:eastAsia="宋体" w:cs="Times New Roman"/>
          <w:color w:val="auto"/>
          <w:highlight w:val="none"/>
        </w:rPr>
      </w:pPr>
    </w:p>
    <w:p w14:paraId="4C8D3807">
      <w:pPr>
        <w:rPr>
          <w:rFonts w:hint="eastAsia" w:ascii="方正小标宋简体" w:hAnsi="方正小标宋简体" w:eastAsia="方正小标宋简体" w:cs="方正小标宋简体"/>
          <w:bCs/>
          <w:color w:val="auto"/>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lang w:eastAsia="zh-CN"/>
        </w:rPr>
        <w:br w:type="page"/>
      </w:r>
    </w:p>
    <w:p w14:paraId="6256DB39">
      <w:pPr>
        <w:spacing w:beforeLines="0" w:afterLines="0" w:line="560" w:lineRule="exact"/>
        <w:jc w:val="center"/>
        <w:rPr>
          <w:rFonts w:hint="eastAsia" w:ascii="宋体" w:hAnsi="宋体" w:cs="宋体"/>
          <w:color w:val="auto"/>
          <w:sz w:val="44"/>
          <w:szCs w:val="44"/>
          <w:highlight w:val="cyan"/>
        </w:rPr>
      </w:pPr>
      <w:permStart w:id="0" w:edGrp="everyone"/>
      <w:r>
        <w:rPr>
          <w:rFonts w:hint="eastAsia" w:ascii="方正小标宋简体" w:hAnsi="方正小标宋简体" w:eastAsia="方正小标宋简体" w:cs="方正小标宋简体"/>
          <w:color w:val="auto"/>
          <w:sz w:val="44"/>
          <w:szCs w:val="44"/>
          <w:highlight w:val="cyan"/>
          <w:u w:val="single"/>
        </w:rPr>
        <w:t xml:space="preserve"> </w:t>
      </w:r>
      <w:r>
        <w:rPr>
          <w:rFonts w:hint="eastAsia" w:ascii="方正小标宋简体" w:hAnsi="方正小标宋简体" w:eastAsia="方正小标宋简体" w:cs="方正小标宋简体"/>
          <w:color w:val="auto"/>
          <w:sz w:val="44"/>
          <w:szCs w:val="44"/>
          <w:u w:val="single"/>
        </w:rPr>
        <w:t xml:space="preserve">         </w:t>
      </w:r>
      <w:r>
        <w:rPr>
          <w:rFonts w:hint="eastAsia" w:ascii="方正小标宋简体" w:hAnsi="方正小标宋简体" w:eastAsia="方正小标宋简体" w:cs="方正小标宋简体"/>
          <w:color w:val="auto"/>
          <w:sz w:val="44"/>
          <w:szCs w:val="44"/>
        </w:rPr>
        <w:t>项目</w:t>
      </w:r>
      <w:r>
        <w:rPr>
          <w:rFonts w:hint="eastAsia" w:ascii="方正小标宋简体" w:hAnsi="方正小标宋简体" w:eastAsia="方正小标宋简体" w:cs="方正小标宋简体"/>
          <w:color w:val="auto"/>
          <w:sz w:val="44"/>
          <w:szCs w:val="44"/>
          <w:u w:val="single"/>
        </w:rPr>
        <w:t xml:space="preserve">       </w:t>
      </w:r>
      <w:r>
        <w:rPr>
          <w:rFonts w:hint="eastAsia" w:ascii="方正小标宋简体" w:hAnsi="方正小标宋简体" w:eastAsia="方正小标宋简体" w:cs="方正小标宋简体"/>
          <w:color w:val="auto"/>
          <w:sz w:val="44"/>
          <w:szCs w:val="44"/>
          <w:highlight w:val="green"/>
        </w:rPr>
        <w:t>采购合</w:t>
      </w:r>
      <w:r>
        <w:rPr>
          <w:rFonts w:hint="eastAsia" w:ascii="方正小标宋简体" w:hAnsi="方正小标宋简体" w:eastAsia="方正小标宋简体" w:cs="方正小标宋简体"/>
          <w:color w:val="auto"/>
          <w:sz w:val="44"/>
          <w:szCs w:val="44"/>
        </w:rPr>
        <w:t>同</w:t>
      </w:r>
    </w:p>
    <w:permEnd w:id="0"/>
    <w:p w14:paraId="3563C92A">
      <w:pPr>
        <w:spacing w:beforeLines="0" w:afterLines="0" w:line="560" w:lineRule="exact"/>
        <w:ind w:left="5880" w:firstLine="560" w:firstLineChars="200"/>
        <w:rPr>
          <w:rFonts w:hint="eastAsia" w:ascii="宋体" w:hAnsi="宋体" w:cs="宋体"/>
          <w:color w:val="auto"/>
          <w:sz w:val="28"/>
          <w:szCs w:val="28"/>
        </w:rPr>
      </w:pPr>
      <w:r>
        <w:rPr>
          <w:rFonts w:hint="eastAsia" w:ascii="宋体" w:hAnsi="宋体" w:cs="宋体"/>
          <w:color w:val="auto"/>
          <w:sz w:val="28"/>
          <w:szCs w:val="28"/>
        </w:rPr>
        <w:t xml:space="preserve">                                                 </w:t>
      </w:r>
    </w:p>
    <w:p w14:paraId="23A120CF">
      <w:pPr>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甲方（采购方）：</w:t>
      </w:r>
      <w:permStart w:id="1" w:edGrp="everyone"/>
      <w:r>
        <w:rPr>
          <w:rFonts w:hint="eastAsia" w:ascii="仿宋_GB2312" w:hAnsi="仿宋_GB2312" w:eastAsia="仿宋_GB2312" w:cs="仿宋_GB2312"/>
          <w:color w:val="auto"/>
          <w:sz w:val="28"/>
          <w:szCs w:val="28"/>
          <w:u w:val="single"/>
        </w:rPr>
        <w:t xml:space="preserve"> 安徽省经工物资有限公司 </w:t>
      </w:r>
      <w:r>
        <w:rPr>
          <w:rFonts w:hint="eastAsia" w:ascii="仿宋_GB2312" w:hAnsi="仿宋_GB2312" w:eastAsia="仿宋_GB2312" w:cs="仿宋_GB2312"/>
          <w:color w:val="auto"/>
          <w:sz w:val="28"/>
          <w:szCs w:val="28"/>
        </w:rPr>
        <w:t>（以</w:t>
      </w:r>
      <w:permEnd w:id="1"/>
      <w:r>
        <w:rPr>
          <w:rFonts w:hint="eastAsia" w:ascii="仿宋_GB2312" w:hAnsi="仿宋_GB2312" w:eastAsia="仿宋_GB2312" w:cs="仿宋_GB2312"/>
          <w:color w:val="auto"/>
          <w:sz w:val="28"/>
          <w:szCs w:val="28"/>
        </w:rPr>
        <w:t>下简称甲方）</w:t>
      </w:r>
    </w:p>
    <w:p w14:paraId="33CC0D3B">
      <w:pPr>
        <w:tabs>
          <w:tab w:val="left" w:pos="5370"/>
        </w:tabs>
        <w:spacing w:beforeLines="0" w:afterLines="0" w:line="560" w:lineRule="exact"/>
        <w:rPr>
          <w:rFonts w:hint="eastAsia" w:ascii="仿宋_GB2312" w:hAnsi="仿宋_GB2312" w:eastAsia="仿宋_GB2312" w:cs="仿宋_GB2312"/>
          <w:color w:val="auto"/>
          <w:sz w:val="28"/>
          <w:szCs w:val="28"/>
        </w:rPr>
      </w:pPr>
      <w:permStart w:id="2" w:edGrp="everyone"/>
      <w:r>
        <w:rPr>
          <w:rFonts w:hint="eastAsia" w:ascii="仿宋_GB2312" w:hAnsi="仿宋_GB2312" w:eastAsia="仿宋_GB2312" w:cs="仿宋_GB2312"/>
          <w:color w:val="auto"/>
          <w:sz w:val="28"/>
          <w:szCs w:val="28"/>
        </w:rPr>
        <w:t>乙方（供应方）：</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（以下简称乙方） </w:t>
      </w:r>
      <w:permEnd w:id="2"/>
      <w:r>
        <w:rPr>
          <w:rFonts w:hint="eastAsia" w:ascii="仿宋_GB2312" w:hAnsi="仿宋_GB2312" w:eastAsia="仿宋_GB2312" w:cs="仿宋_GB2312"/>
          <w:color w:val="auto"/>
          <w:sz w:val="28"/>
          <w:szCs w:val="28"/>
        </w:rPr>
        <w:t xml:space="preserve"> </w:t>
      </w:r>
    </w:p>
    <w:p w14:paraId="680F95E3">
      <w:pPr>
        <w:widowControl/>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依据《中华人民共和国民法典》及有关规定，甲、乙双方经过友好协商，</w:t>
      </w:r>
      <w:permStart w:id="3" w:edGrp="everyone"/>
      <w:r>
        <w:rPr>
          <w:rFonts w:hint="eastAsia" w:ascii="仿宋_GB2312" w:hAnsi="仿宋_GB2312" w:eastAsia="仿宋_GB2312" w:cs="仿宋_GB2312"/>
          <w:color w:val="auto"/>
          <w:sz w:val="28"/>
          <w:szCs w:val="28"/>
        </w:rPr>
        <w:t>现就甲方向乙方购买</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用于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项目有关事宜，达成如下一致条款，以资双方共同遵照执行：</w:t>
      </w:r>
    </w:p>
    <w:p w14:paraId="5BB5F688">
      <w:pPr>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第一条  合同价款</w:t>
      </w:r>
    </w:p>
    <w:p w14:paraId="38F4BBBF">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1.本合同总价人民币大写：</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ermEnd w:id="3"/>
    <w:p w14:paraId="226F259D">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具体报价清单见附件，产品为固定综合单价，已经包含税费、材料费（含辅材）、运输费、材料装卸车费、人员成本、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265C4EE4">
      <w:pPr>
        <w:spacing w:beforeLines="0" w:afterLines="0" w:line="560" w:lineRule="exact"/>
        <w:ind w:firstLine="560" w:firstLineChars="200"/>
        <w:rPr>
          <w:rFonts w:hint="eastAsia" w:ascii="宋体" w:hAnsi="宋体" w:cs="宋体"/>
          <w:b/>
          <w:color w:val="auto"/>
          <w:sz w:val="22"/>
          <w:szCs w:val="22"/>
        </w:rPr>
      </w:pPr>
      <w:r>
        <w:rPr>
          <w:rFonts w:hint="eastAsia" w:ascii="黑体" w:hAnsi="黑体" w:eastAsia="黑体" w:cs="黑体"/>
          <w:color w:val="auto"/>
          <w:sz w:val="28"/>
          <w:szCs w:val="28"/>
        </w:rPr>
        <w:t>第二条  交货方式、时间及地点</w:t>
      </w:r>
    </w:p>
    <w:p w14:paraId="6DA0A62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1.交货方式：乙方负责运送至甲方指定地点。</w:t>
      </w:r>
    </w:p>
    <w:p w14:paraId="7BF5BDEA">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2.交货地点：甲方指定地点，乙方负责运送至甲方指定现场，并按甲方指定地点卸货。货物在验收合格并交付给甲方前的毁损、灭失，损失由乙方全额承担。</w:t>
      </w:r>
    </w:p>
    <w:p w14:paraId="6EE0C02A">
      <w:pPr>
        <w:widowControl/>
        <w:wordWrap w:val="0"/>
        <w:topLinePunct/>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3.交货时间：乙方须在接到甲方通知后，按甲方通知时间完成供货。通知方式包括但不限于电话、短信、邮件、传真、微信，</w:t>
      </w:r>
      <w:permStart w:id="4" w:edGrp="everyone"/>
      <w:r>
        <w:rPr>
          <w:rFonts w:hint="eastAsia" w:ascii="仿宋_GB2312" w:hAnsi="仿宋_GB2312" w:eastAsia="仿宋_GB2312" w:cs="仿宋_GB2312"/>
          <w:color w:val="auto"/>
          <w:sz w:val="28"/>
          <w:szCs w:val="28"/>
        </w:rPr>
        <w:t>乙方确</w:t>
      </w:r>
    </w:p>
    <w:p w14:paraId="50C85F1B">
      <w:pPr>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认其有效联系人姓名</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，电话为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，联系地址为：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ermEnd w:id="4"/>
      <w:r>
        <w:rPr>
          <w:rFonts w:hint="eastAsia" w:ascii="仿宋_GB2312" w:hAnsi="仿宋_GB2312" w:eastAsia="仿宋_GB2312" w:cs="仿宋_GB2312"/>
          <w:color w:val="auto"/>
          <w:sz w:val="28"/>
          <w:szCs w:val="28"/>
        </w:rPr>
        <w:t>甲方以上述任一方式发出的通知均为合法有效的通知。</w:t>
      </w:r>
    </w:p>
    <w:p w14:paraId="1CAFC977">
      <w:pPr>
        <w:wordWrap w:val="0"/>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第三条  验收</w:t>
      </w:r>
    </w:p>
    <w:p w14:paraId="494369FC">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1.乙方按约将货物送至现场后，需将货物卸至甲方指定地点，并经甲方签收确认。甲方指定</w:t>
      </w:r>
      <w:permStart w:id="5" w:edGrp="everyone"/>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（联系方式为：</w:t>
      </w:r>
      <w:r>
        <w:rPr>
          <w:rFonts w:hint="eastAsia" w:ascii="仿宋_GB2312" w:hAnsi="仿宋_GB2312" w:eastAsia="仿宋_GB2312" w:cs="仿宋_GB2312"/>
          <w:color w:val="auto"/>
          <w:sz w:val="28"/>
          <w:szCs w:val="28"/>
          <w:u w:val="single"/>
        </w:rPr>
        <w:t xml:space="preserve">           </w:t>
      </w:r>
      <w:permEnd w:id="5"/>
      <w:r>
        <w:rPr>
          <w:rFonts w:hint="eastAsia" w:ascii="仿宋_GB2312" w:hAnsi="仿宋_GB2312" w:eastAsia="仿宋_GB2312" w:cs="仿宋_GB2312"/>
          <w:color w:val="auto"/>
          <w:sz w:val="28"/>
          <w:szCs w:val="28"/>
        </w:rPr>
        <w:t>）为货物签收确认人，并由其指定现场人员对货物进行签收。如果现场签收人员发生变更，甲方会通知乙方重新指定。</w:t>
      </w:r>
    </w:p>
    <w:p w14:paraId="457C8D8F">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7AC5FFFB">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3.在乙方将货物送至现场后，甲方有权在现场车上或货物堆放在指定地点后按物品的特性及行业惯例进行验收。如甲方认为乙方送货的数量与送货单记载数量不符的，则可以随时抽检。</w:t>
      </w:r>
    </w:p>
    <w:p w14:paraId="2E9E5727">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4.对于货物的规格型号、数量、材质等与约定不符或有其他质量问题的,甲方异议期为货物签收后</w:t>
      </w:r>
      <w:r>
        <w:rPr>
          <w:rFonts w:hint="eastAsia" w:ascii="仿宋_GB2312" w:hAnsi="仿宋_GB2312" w:eastAsia="仿宋_GB2312" w:cs="仿宋_GB2312"/>
          <w:color w:val="auto"/>
          <w:sz w:val="28"/>
          <w:szCs w:val="28"/>
          <w:u w:val="single"/>
        </w:rPr>
        <w:t xml:space="preserve"> 5 </w:t>
      </w:r>
      <w:r>
        <w:rPr>
          <w:rFonts w:hint="eastAsia" w:ascii="仿宋_GB2312" w:hAnsi="仿宋_GB2312" w:eastAsia="仿宋_GB2312" w:cs="仿宋_GB2312"/>
          <w:color w:val="auto"/>
          <w:sz w:val="28"/>
          <w:szCs w:val="28"/>
        </w:rPr>
        <w:t>日内，异议经核实乙方应无条件补足或换货。</w:t>
      </w:r>
    </w:p>
    <w:p w14:paraId="1C0323D8">
      <w:pPr>
        <w:wordWrap w:val="0"/>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第四条 产品质量和包装</w:t>
      </w:r>
    </w:p>
    <w:p w14:paraId="6830229C">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1.本合同的缺陷责任期为交工验收通过后</w:t>
      </w:r>
      <w:permStart w:id="6" w:edGrp="everyone"/>
      <w:r>
        <w:rPr>
          <w:rFonts w:hint="eastAsia" w:ascii="仿宋_GB2312" w:hAnsi="仿宋_GB2312" w:eastAsia="仿宋_GB2312" w:cs="仿宋_GB2312"/>
          <w:color w:val="auto"/>
          <w:sz w:val="28"/>
          <w:szCs w:val="28"/>
          <w:highlight w:val="none"/>
          <w:u w:val="single"/>
        </w:rPr>
        <w:t xml:space="preserve"> 2 </w:t>
      </w:r>
      <w:permEnd w:id="6"/>
      <w:r>
        <w:rPr>
          <w:rFonts w:hint="eastAsia" w:ascii="仿宋_GB2312" w:hAnsi="仿宋_GB2312" w:eastAsia="仿宋_GB2312" w:cs="仿宋_GB2312"/>
          <w:color w:val="auto"/>
          <w:sz w:val="28"/>
          <w:szCs w:val="28"/>
          <w:highlight w:val="none"/>
        </w:rPr>
        <w:t>年，质量保证期（以下简称质保期）为交工验收合格后</w:t>
      </w:r>
      <w:r>
        <w:rPr>
          <w:rFonts w:hint="eastAsia" w:ascii="仿宋_GB2312" w:hAnsi="仿宋_GB2312" w:eastAsia="仿宋_GB2312" w:cs="仿宋_GB2312"/>
          <w:color w:val="auto"/>
          <w:sz w:val="28"/>
          <w:szCs w:val="28"/>
          <w:highlight w:val="none"/>
          <w:u w:val="single"/>
        </w:rPr>
        <w:t xml:space="preserve"> </w:t>
      </w:r>
      <w:permStart w:id="7" w:edGrp="everyone"/>
      <w:r>
        <w:rPr>
          <w:rFonts w:hint="eastAsia" w:ascii="仿宋_GB2312" w:hAnsi="仿宋_GB2312" w:eastAsia="仿宋_GB2312" w:cs="仿宋_GB2312"/>
          <w:color w:val="auto"/>
          <w:sz w:val="28"/>
          <w:szCs w:val="28"/>
          <w:highlight w:val="none"/>
          <w:u w:val="single"/>
        </w:rPr>
        <w:t xml:space="preserve"> 2  </w:t>
      </w:r>
      <w:permEnd w:id="7"/>
      <w:r>
        <w:rPr>
          <w:rFonts w:hint="eastAsia" w:ascii="仿宋_GB2312" w:hAnsi="仿宋_GB2312" w:eastAsia="仿宋_GB2312" w:cs="仿宋_GB2312"/>
          <w:color w:val="auto"/>
          <w:sz w:val="28"/>
          <w:szCs w:val="28"/>
          <w:highlight w:val="none"/>
        </w:rPr>
        <w:t>年，若乙方在响应文件中承诺质保期更长的，质保期从其承诺。质保期内乙方进行质量“三包”，质量三包不包括因不可抗力因素和人为因素造</w:t>
      </w:r>
      <w:r>
        <w:rPr>
          <w:rFonts w:hint="eastAsia" w:ascii="仿宋_GB2312" w:hAnsi="仿宋_GB2312" w:eastAsia="仿宋_GB2312" w:cs="仿宋_GB2312"/>
          <w:color w:val="auto"/>
          <w:sz w:val="28"/>
          <w:szCs w:val="28"/>
        </w:rPr>
        <w:t>成的损坏。乙方供应产品质量必须满足国家或本行业现行的技术标准并满足该项目需要。甲方对产品技术标准另有要求的，必须达到甲方指定标准。对于特殊产品需要提供质量外检服务的，费用由乙方承担。</w:t>
      </w:r>
    </w:p>
    <w:p w14:paraId="0B643174">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2.质保期满后，若有零部件或货物出现故障，经鉴定属于寿命异常问题（明显短于该零部件或货物正常寿命）时，则由乙方负责免费更换维修。质保期满后，乙方以优惠价格向甲方提供所需的零配件或货物。</w:t>
      </w:r>
    </w:p>
    <w:p w14:paraId="3219A47F">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3.乙方必须提供合同标的中所有产品的合格证、产品说明书、检测报告、第三方检测报告（如有）、随机附件、工具（如有），货到现场后交给现场的收货人员。</w:t>
      </w:r>
    </w:p>
    <w:p w14:paraId="66F75FE3">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4.合同标的中若有进口产品，则乙方必须提供原产地证明、单机产品序列号、原生产厂商质量保证书、报关单等证明材料。</w:t>
      </w:r>
    </w:p>
    <w:p w14:paraId="7A757907">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5.产品包装应符合国家标准。乙方应承担由于其包装或其防护措施不妥而引起货物锈蚀、损坏和丢失等任何损失的责任或费用。产品在卸货后剥离包装物同时负责回收或送到包装清理指定地点。</w:t>
      </w:r>
    </w:p>
    <w:p w14:paraId="3786604D">
      <w:pPr>
        <w:wordWrap w:val="0"/>
        <w:spacing w:beforeLines="0" w:afterLines="0" w:line="560" w:lineRule="exact"/>
        <w:ind w:firstLine="560" w:firstLineChars="200"/>
        <w:rPr>
          <w:rFonts w:hint="eastAsia" w:ascii="仿宋_GB2312" w:hAnsi="仿宋_GB2312" w:eastAsia="黑体" w:cs="仿宋_GB2312"/>
          <w:color w:val="auto"/>
          <w:sz w:val="28"/>
          <w:szCs w:val="28"/>
        </w:rPr>
      </w:pPr>
      <w:r>
        <w:rPr>
          <w:rFonts w:hint="eastAsia" w:ascii="黑体" w:hAnsi="黑体" w:eastAsia="黑体" w:cs="黑体"/>
          <w:color w:val="auto"/>
          <w:sz w:val="28"/>
          <w:szCs w:val="28"/>
        </w:rPr>
        <w:t>第五条  结算方式及期限</w:t>
      </w:r>
    </w:p>
    <w:p w14:paraId="5B0CB9AB">
      <w:pPr>
        <w:wordWrap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1.货到工地经甲方指定签收人验收合格并签收，当货物金额达到合同金额的50%后办理第一批货款支付，支付已供货物价款的70%。</w:t>
      </w:r>
    </w:p>
    <w:p w14:paraId="63FE45C5">
      <w:pPr>
        <w:wordWrap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2.产品全部供货到现场经甲方指定验收人验收合格并办理完成结算手续后，甲方向乙方支付至结算价的97%。</w:t>
      </w:r>
    </w:p>
    <w:p w14:paraId="59F2F2D0">
      <w:pPr>
        <w:wordWrap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3.剩余3%作为质保金，在缺陷责任期结束后，无质量问题一次性无息支付。</w:t>
      </w:r>
    </w:p>
    <w:p w14:paraId="39CD3125">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4.乙方供货后15日内将所送货物的送货单(需为经甲方指定签收人签字确认的有效送货单)汇总后向甲方提交书面对账清单，经甲方确认后方可作为价款结算和付款依据。若因乙方迟延提交对账清单，</w:t>
      </w:r>
      <w:r>
        <w:rPr>
          <w:rFonts w:hint="eastAsia" w:ascii="仿宋_GB2312" w:hAnsi="仿宋_GB2312" w:eastAsia="仿宋_GB2312" w:cs="仿宋_GB2312"/>
          <w:color w:val="auto"/>
          <w:sz w:val="28"/>
          <w:szCs w:val="28"/>
          <w:highlight w:val="none"/>
        </w:rPr>
        <w:t>因此造成的损失由乙方自行承担。</w:t>
      </w:r>
    </w:p>
    <w:p w14:paraId="05C6BA71">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5.响应保证金转为履约保证金，合同履行完成无违约行为并经甲方认定同意后28 天内无息退还。</w:t>
      </w:r>
    </w:p>
    <w:p w14:paraId="250CBC2B">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6.乙方提供符合采购人财务要求的</w:t>
      </w:r>
      <w:r>
        <w:rPr>
          <w:rFonts w:hint="eastAsia" w:ascii="仿宋_GB2312" w:hAnsi="仿宋_GB2312" w:eastAsia="仿宋_GB2312" w:cs="仿宋_GB2312"/>
          <w:color w:val="auto"/>
          <w:sz w:val="28"/>
          <w:szCs w:val="28"/>
        </w:rPr>
        <w:t>国家税务局13%增值税专用发票后办理结算，发票需要做到“三流一致”，也即“货物、劳务及应税服务流”、“资金流”、“发票流”必须都是同一受票方。</w:t>
      </w:r>
    </w:p>
    <w:p w14:paraId="0C5F544F">
      <w:pPr>
        <w:wordWrap w:val="0"/>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第六条  违约责任</w:t>
      </w:r>
    </w:p>
    <w:p w14:paraId="5FAB7C15">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若逾期交货，需支付甲方逾期交货部分价款每日5%的违约金，迟延交付超过3日的，甲方有权解除合同或将乙方未完成的合同内容直接委托第三方继续履行，由第三方履行增加的费用，甲方将直接从乙方材料款中扣除。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14:paraId="5BCA13C1">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14:paraId="6514D766">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3.乙方违反合同约定的其他自身义务时，给甲方造成损失的，甲方均有权解除合同，并有权要求乙方按上述第1、2项规定承担赔偿责任，支付违约金。</w:t>
      </w:r>
    </w:p>
    <w:p w14:paraId="3D51AC1D">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4.对于乙方因违反本合同约定需支付的违约金，甲方有权在应付货款中直接予以扣除。</w:t>
      </w:r>
    </w:p>
    <w:p w14:paraId="444849B6">
      <w:pPr>
        <w:spacing w:beforeLines="0" w:afterLines="0"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5.禁止转包分包</w:t>
      </w:r>
    </w:p>
    <w:p w14:paraId="0154A4DD">
      <w:pPr>
        <w:spacing w:beforeLines="0" w:afterLines="0"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鉴于保护合同双方权益及确保工程质量和进度，双方明确以下转包分包相关事项:</w:t>
      </w:r>
    </w:p>
    <w:p w14:paraId="54DDB04E">
      <w:pPr>
        <w:spacing w:beforeLines="0" w:afterLines="0"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（1）乙方不得将本合同项下的任何部分工程转包或分包给任何第三方。如有特殊情况，必须经甲方书面同意。</w:t>
      </w:r>
    </w:p>
    <w:p w14:paraId="6F911519">
      <w:pPr>
        <w:spacing w:beforeLines="0" w:afterLines="0"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（2）若乙方未经甲方同意擅自转包或分包 ,甲方有权立即终止本合同并要求乙方承担由此造成的一切损失。</w:t>
      </w:r>
    </w:p>
    <w:p w14:paraId="21258437">
      <w:pPr>
        <w:spacing w:beforeLines="0" w:afterLines="0"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（3）乙方与任何第三方签订的与本合同相关的协议或承诺书 ,对甲方不具有法律约束力，除非得到甲方的书面确认。</w:t>
      </w:r>
    </w:p>
    <w:p w14:paraId="1CB2999F">
      <w:pPr>
        <w:spacing w:beforeLines="0" w:afterLines="0"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（4）甲方有权对乙方的工程实施情况进行监督 ,乙方应配合并提供必要的便利条件。如发现乙方存在违法转包分包行为，甲方有权采取法律手段维护自身权益。</w:t>
      </w:r>
    </w:p>
    <w:p w14:paraId="2A592823">
      <w:pPr>
        <w:numPr>
          <w:ilvl w:val="0"/>
          <w:numId w:val="0"/>
        </w:numPr>
        <w:spacing w:beforeLines="0" w:afterLines="0" w:line="560" w:lineRule="exact"/>
        <w:ind w:firstLine="560" w:firstLineChars="200"/>
        <w:rPr>
          <w:rFonts w:hint="eastAsia" w:ascii="黑体" w:hAnsi="黑体" w:eastAsia="黑体" w:cs="黑体"/>
          <w:color w:val="auto"/>
          <w:sz w:val="28"/>
          <w:szCs w:val="28"/>
        </w:rPr>
      </w:pPr>
      <w:r>
        <w:rPr>
          <w:rFonts w:hint="eastAsia" w:ascii="仿宋_GB2312" w:hAnsi="仿宋_GB2312" w:eastAsia="仿宋_GB2312" w:cs="仿宋_GB2312"/>
          <w:color w:val="auto"/>
          <w:sz w:val="28"/>
          <w:szCs w:val="28"/>
        </w:rPr>
        <w:t xml:space="preserve"> </w:t>
      </w:r>
      <w:r>
        <w:rPr>
          <w:rFonts w:hint="eastAsia" w:ascii="黑体" w:hAnsi="黑体" w:eastAsia="黑体" w:cs="黑体"/>
          <w:color w:val="auto"/>
          <w:sz w:val="28"/>
          <w:szCs w:val="28"/>
        </w:rPr>
        <w:t>第七条  其他约定</w:t>
      </w:r>
    </w:p>
    <w:p w14:paraId="5AC672EA">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1.乙方送货车辆到甲方现场后，在行驶和卸货过程中，乙方驾驶人员应自行察看周围地形，乙方车辆在甲方现场若出现事故产生损失或造成对第三人侵权等其他情形，一切损失和责任均由乙方自行承担。</w:t>
      </w:r>
    </w:p>
    <w:p w14:paraId="62377A72">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2.乙方必须服从甲方指定项目部的全面协调管理工作，乙方在装卸中，严格遵守执行安全操作规范、防火规定、工艺规范等规范规定以及质量标准。</w:t>
      </w:r>
    </w:p>
    <w:p w14:paraId="017696E1">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0BA4500B">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6C137B31">
      <w:pPr>
        <w:wordWrap w:val="0"/>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第八条  争议解决方式</w:t>
      </w:r>
    </w:p>
    <w:p w14:paraId="556FD8F0">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在履行合同期间发生</w:t>
      </w:r>
      <w:r>
        <w:rPr>
          <w:rFonts w:hint="eastAsia" w:ascii="仿宋_GB2312" w:hAnsi="仿宋_GB2312" w:eastAsia="仿宋_GB2312" w:cs="仿宋_GB2312"/>
          <w:color w:val="auto"/>
          <w:sz w:val="28"/>
          <w:szCs w:val="28"/>
          <w:lang w:val="en-US" w:eastAsia="zh-CN"/>
        </w:rPr>
        <w:t>纠纷</w:t>
      </w:r>
      <w:r>
        <w:rPr>
          <w:rFonts w:hint="eastAsia" w:ascii="仿宋_GB2312" w:hAnsi="仿宋_GB2312" w:eastAsia="仿宋_GB2312" w:cs="仿宋_GB2312"/>
          <w:color w:val="auto"/>
          <w:sz w:val="28"/>
          <w:szCs w:val="28"/>
        </w:rPr>
        <w:t>，先由双方协商解决，协商不成，双方约定向甲方所在地人民法院提起诉讼。</w:t>
      </w:r>
    </w:p>
    <w:p w14:paraId="10816575">
      <w:pPr>
        <w:wordWrap w:val="0"/>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第九条</w:t>
      </w:r>
    </w:p>
    <w:p w14:paraId="3067A004">
      <w:pPr>
        <w:numPr>
          <w:ilvl w:val="0"/>
          <w:numId w:val="0"/>
        </w:num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1.本合同未尽事宜，由双方另行协商解决并签订补充协议。</w:t>
      </w:r>
    </w:p>
    <w:p w14:paraId="371A161F">
      <w:pPr>
        <w:numPr>
          <w:ilvl w:val="0"/>
          <w:numId w:val="0"/>
        </w:num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2.本合同自甲乙双方签字盖章之日起生效。</w:t>
      </w:r>
    </w:p>
    <w:p w14:paraId="4D27F355">
      <w:pPr>
        <w:pStyle w:val="10"/>
        <w:spacing w:beforeLines="0" w:after="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3.本合同一式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份，甲方执</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 xml:space="preserve"> 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14:paraId="651B71E9">
      <w:pPr>
        <w:spacing w:beforeLines="0" w:afterLines="0"/>
        <w:rPr>
          <w:rFonts w:hint="eastAsia"/>
          <w:color w:val="auto"/>
          <w:sz w:val="21"/>
          <w:szCs w:val="24"/>
        </w:rPr>
      </w:pPr>
    </w:p>
    <w:p w14:paraId="3944C186">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附件：1.廉政合同</w:t>
      </w:r>
    </w:p>
    <w:p w14:paraId="62026D4A">
      <w:pPr>
        <w:pStyle w:val="22"/>
        <w:spacing w:beforeLines="0" w:afterLines="0" w:line="560" w:lineRule="exact"/>
        <w:ind w:left="0" w:leftChars="0" w:firstLine="1400" w:firstLineChars="500"/>
        <w:rPr>
          <w:rFonts w:hint="default"/>
          <w:color w:val="auto"/>
          <w:sz w:val="21"/>
          <w:szCs w:val="22"/>
        </w:rPr>
      </w:pPr>
      <w:r>
        <w:rPr>
          <w:rFonts w:hint="eastAsia" w:ascii="仿宋_GB2312" w:hAnsi="仿宋_GB2312" w:eastAsia="仿宋_GB2312" w:cs="仿宋_GB2312"/>
          <w:color w:val="auto"/>
          <w:sz w:val="28"/>
          <w:szCs w:val="28"/>
        </w:rPr>
        <w:t>2.安全生产合同</w:t>
      </w:r>
    </w:p>
    <w:p w14:paraId="5B5686BB">
      <w:pPr>
        <w:pStyle w:val="22"/>
        <w:spacing w:beforeLines="0" w:afterLines="0" w:line="560" w:lineRule="exact"/>
        <w:ind w:left="0" w:leftChars="0" w:firstLine="1400" w:firstLineChars="5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3.报价清单</w:t>
      </w:r>
    </w:p>
    <w:p w14:paraId="1ACD2457">
      <w:pPr>
        <w:spacing w:beforeLines="0" w:afterLines="0" w:line="560" w:lineRule="exact"/>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（以下无正文）</w:t>
      </w:r>
    </w:p>
    <w:p w14:paraId="53A80BF1">
      <w:pPr>
        <w:spacing w:beforeLines="0" w:afterLines="0"/>
        <w:rPr>
          <w:rFonts w:hint="eastAsia"/>
          <w:color w:val="auto"/>
          <w:sz w:val="21"/>
          <w:szCs w:val="24"/>
        </w:rPr>
      </w:pPr>
    </w:p>
    <w:p w14:paraId="345B6559">
      <w:pPr>
        <w:spacing w:beforeLines="0" w:afterLines="0"/>
        <w:rPr>
          <w:rFonts w:hint="eastAsia"/>
          <w:color w:val="auto"/>
          <w:sz w:val="21"/>
          <w:szCs w:val="24"/>
        </w:rPr>
      </w:pPr>
    </w:p>
    <w:p w14:paraId="122E676B">
      <w:pPr>
        <w:wordWrap w:val="0"/>
        <w:spacing w:beforeLines="0" w:afterLines="0" w:line="560" w:lineRule="exact"/>
        <w:rPr>
          <w:rFonts w:hint="default"/>
          <w:color w:val="auto"/>
          <w:sz w:val="21"/>
          <w:szCs w:val="24"/>
        </w:rPr>
      </w:pPr>
      <w:permStart w:id="8" w:edGrp="everyone"/>
      <w:r>
        <w:rPr>
          <w:rFonts w:hint="eastAsia" w:ascii="仿宋_GB2312" w:hAnsi="仿宋_GB2312" w:eastAsia="仿宋_GB2312" w:cs="仿宋_GB2312"/>
          <w:color w:val="auto"/>
          <w:sz w:val="28"/>
          <w:szCs w:val="28"/>
        </w:rPr>
        <w:t xml:space="preserve">甲方：安徽省经工物资有限公司       乙方：  </w:t>
      </w:r>
    </w:p>
    <w:p w14:paraId="32F74587">
      <w:pPr>
        <w:wordWrap w:val="0"/>
        <w:spacing w:beforeLines="0" w:afterLines="0" w:line="560" w:lineRule="exact"/>
        <w:ind w:firstLine="2800" w:firstLineChars="10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（盖章）                          （盖章）</w:t>
      </w:r>
    </w:p>
    <w:p w14:paraId="326FB331">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                       法定代表人或</w:t>
      </w:r>
    </w:p>
    <w:p w14:paraId="1C0DC21C">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授权委托人（签字）：               授权委托人（签字）：</w:t>
      </w:r>
    </w:p>
    <w:p w14:paraId="5807330D">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纳税识别号：91340100MA2MY6GA6E     纳税识别号:</w:t>
      </w:r>
    </w:p>
    <w:p w14:paraId="335731CA">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地址：安徽省合肥市蜀山区甘泉路     地址：</w:t>
      </w:r>
    </w:p>
    <w:p w14:paraId="1D38C4F7">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398号                               </w:t>
      </w:r>
    </w:p>
    <w:p w14:paraId="56B596DB">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开户银行：工行合肥蜀山支行       开户银行：</w:t>
      </w:r>
    </w:p>
    <w:p w14:paraId="01056A25">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账号：1302012119200034038          账号：</w:t>
      </w:r>
    </w:p>
    <w:p w14:paraId="69EFB4ED">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2D2E16FE">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p>
    <w:p w14:paraId="65A69AC7">
      <w:pPr>
        <w:pStyle w:val="10"/>
        <w:spacing w:beforeLines="0" w:afterLines="0" w:line="560" w:lineRule="exact"/>
        <w:ind w:firstLine="420" w:firstLineChars="200"/>
        <w:rPr>
          <w:rFonts w:hint="eastAsia"/>
          <w:color w:val="auto"/>
          <w:sz w:val="21"/>
          <w:szCs w:val="24"/>
        </w:rPr>
        <w:sectPr>
          <w:headerReference r:id="rId11" w:type="default"/>
          <w:footerReference r:id="rId12" w:type="default"/>
          <w:pgSz w:w="11906" w:h="16838"/>
          <w:pgMar w:top="1440" w:right="1800" w:bottom="1440" w:left="1800" w:header="851" w:footer="992" w:gutter="0"/>
          <w:lnNumType w:countBy="0" w:distance="360"/>
          <w:pgNumType w:fmt="decimal"/>
          <w:cols w:space="720" w:num="1"/>
          <w:docGrid w:type="lines" w:linePitch="312" w:charSpace="0"/>
        </w:sectPr>
      </w:pPr>
    </w:p>
    <w:permEnd w:id="8"/>
    <w:p w14:paraId="7FA41C25">
      <w:pPr>
        <w:numPr>
          <w:ilvl w:val="0"/>
          <w:numId w:val="0"/>
        </w:numPr>
        <w:spacing w:beforeLines="0" w:afterLines="0" w:line="560" w:lineRule="exac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附件1：</w:t>
      </w:r>
    </w:p>
    <w:p w14:paraId="3767ADAE">
      <w:pPr>
        <w:numPr>
          <w:ilvl w:val="0"/>
          <w:numId w:val="0"/>
        </w:numPr>
        <w:spacing w:beforeLines="0" w:afterLines="0" w:line="560" w:lineRule="exact"/>
        <w:ind w:firstLine="883" w:firstLineChars="200"/>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廉 政 合 同</w:t>
      </w:r>
    </w:p>
    <w:p w14:paraId="3EFD3064">
      <w:pPr>
        <w:pStyle w:val="10"/>
        <w:spacing w:beforeLines="0" w:afterLines="0" w:line="560" w:lineRule="exact"/>
        <w:ind w:firstLine="422" w:firstLineChars="200"/>
        <w:rPr>
          <w:rFonts w:hint="eastAsia"/>
          <w:b/>
          <w:color w:val="auto"/>
          <w:sz w:val="21"/>
          <w:szCs w:val="24"/>
        </w:rPr>
      </w:pPr>
    </w:p>
    <w:p w14:paraId="6A99AB53">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为抓好物资设备等采购供应中的党风廉政建设，规范、约束采供双方行为，确保双方工作人员廉洁从业， </w:t>
      </w:r>
      <w:permStart w:id="9" w:edGrp="everyone"/>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ermEnd w:id="9"/>
      <w:r>
        <w:rPr>
          <w:rFonts w:hint="eastAsia" w:ascii="仿宋_GB2312" w:hAnsi="仿宋_GB2312" w:eastAsia="仿宋_GB2312" w:cs="仿宋_GB2312"/>
          <w:color w:val="auto"/>
          <w:sz w:val="28"/>
          <w:szCs w:val="28"/>
        </w:rPr>
        <w:t>项目名称）的采购人</w:t>
      </w:r>
      <w:permStart w:id="10" w:edGrp="everyone"/>
      <w:r>
        <w:rPr>
          <w:rFonts w:hint="eastAsia" w:ascii="仿宋_GB2312" w:hAnsi="仿宋_GB2312" w:eastAsia="仿宋_GB2312" w:cs="仿宋_GB2312"/>
          <w:color w:val="auto"/>
          <w:sz w:val="28"/>
          <w:szCs w:val="28"/>
          <w:u w:val="single"/>
        </w:rPr>
        <w:t xml:space="preserve"> 安徽省经工物资有限公司  </w:t>
      </w:r>
      <w:permEnd w:id="10"/>
      <w:r>
        <w:rPr>
          <w:rFonts w:hint="eastAsia" w:ascii="仿宋_GB2312" w:hAnsi="仿宋_GB2312" w:eastAsia="仿宋_GB2312" w:cs="仿宋_GB2312"/>
          <w:color w:val="auto"/>
          <w:sz w:val="28"/>
          <w:szCs w:val="28"/>
        </w:rPr>
        <w:t>（采购人名称，以下简称甲方）与该项目的供货商</w:t>
      </w:r>
      <w:permStart w:id="11" w:edGrp="everyone"/>
      <w:r>
        <w:rPr>
          <w:rFonts w:hint="eastAsia" w:ascii="仿宋_GB2312" w:hAnsi="仿宋_GB2312" w:eastAsia="仿宋_GB2312" w:cs="仿宋_GB2312"/>
          <w:color w:val="auto"/>
          <w:sz w:val="28"/>
          <w:szCs w:val="28"/>
          <w:u w:val="single"/>
        </w:rPr>
        <w:t xml:space="preserve">               </w:t>
      </w:r>
      <w:permEnd w:id="11"/>
      <w:r>
        <w:rPr>
          <w:rFonts w:hint="eastAsia" w:ascii="仿宋_GB2312" w:hAnsi="仿宋_GB2312" w:eastAsia="仿宋_GB2312" w:cs="仿宋_GB2312"/>
          <w:color w:val="auto"/>
          <w:sz w:val="28"/>
          <w:szCs w:val="28"/>
        </w:rPr>
        <w:t>（供货商名称，以下简称乙方），特订立如下合同。</w:t>
      </w:r>
    </w:p>
    <w:p w14:paraId="631D0CC3">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1.甲乙双方的权利和义务</w:t>
      </w:r>
    </w:p>
    <w:p w14:paraId="0C55E326">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（1）严格遵守党的政策和国家有关法律法规的有关规定。</w:t>
      </w:r>
    </w:p>
    <w:p w14:paraId="455EB75B">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（2）严格执行</w:t>
      </w:r>
      <w:permStart w:id="12" w:edGrp="everyone"/>
      <w:r>
        <w:rPr>
          <w:rFonts w:hint="eastAsia" w:ascii="仿宋_GB2312" w:hAnsi="仿宋_GB2312" w:eastAsia="仿宋_GB2312" w:cs="仿宋_GB2312"/>
          <w:color w:val="auto"/>
          <w:sz w:val="28"/>
          <w:szCs w:val="28"/>
          <w:u w:val="single"/>
        </w:rPr>
        <w:t xml:space="preserve">                             </w:t>
      </w:r>
      <w:permEnd w:id="12"/>
      <w:r>
        <w:rPr>
          <w:rFonts w:hint="eastAsia" w:ascii="仿宋_GB2312" w:hAnsi="仿宋_GB2312" w:eastAsia="仿宋_GB2312" w:cs="仿宋_GB2312"/>
          <w:color w:val="auto"/>
          <w:sz w:val="28"/>
          <w:szCs w:val="28"/>
        </w:rPr>
        <w:t>（合同文件名称）合同文件，自觉按合同办事。</w:t>
      </w:r>
    </w:p>
    <w:p w14:paraId="01DEB90B">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（3）双方的业务活动坚持公开、公正、诚信、透明的原则（法律认定的商业秘密和合同文件另有规定除外），不得损害国家和集体利益。</w:t>
      </w:r>
    </w:p>
    <w:p w14:paraId="167E75D1">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（4）建立健全廉政制度，开展廉政教育和廉洁文化建设，公布举报电话，监督并认真查处违规违纪违法行为。</w:t>
      </w:r>
    </w:p>
    <w:p w14:paraId="5B103D9E">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（5）发现对方在业务活动中有违反廉政规定的行为，有及时提醒对方纠正的权利和义务。</w:t>
      </w:r>
    </w:p>
    <w:p w14:paraId="102E0ED3">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（6）发现对方严重违反本合同义务条款的行为，有向有关部门举报、建议给予处理并要求告知处理结果的权利。</w:t>
      </w:r>
    </w:p>
    <w:p w14:paraId="4D20B0C1">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2.甲方的义务</w:t>
      </w:r>
    </w:p>
    <w:p w14:paraId="7E06196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（1）甲方及其工作人员不得利用职务之便索要或接受乙方的礼品、礼金、消费卡和有价证券、股权、其他金融产品等财物。</w:t>
      </w:r>
    </w:p>
    <w:p w14:paraId="40082E16">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（2）甲方及其工作人员不得在利用职务之便为乙方谋取利益之前或之后，约定在其离职后收受乙方财物，并在离职后收受。</w:t>
      </w:r>
    </w:p>
    <w:p w14:paraId="695AC1DA">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（3）甲方及其工作人员不得在乙方报销应由甲方或个人支付的费用等。</w:t>
      </w:r>
    </w:p>
    <w:p w14:paraId="6A32C75E">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（4）甲方及其工作人员不得要求或者接受乙方可能影响公正执行公务的宴请以及旅游、健身、娱乐等活动安排，不得要求和接受乙方提供的交通工具、通讯工具、高档办公用品等。</w:t>
      </w:r>
    </w:p>
    <w:p w14:paraId="671FA687">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180A8BF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（6）甲方及其工作人员不得要求乙方购买合同规定外的材料和设备。    </w:t>
      </w:r>
    </w:p>
    <w:p w14:paraId="2FE7180E">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（7）甲方及其工作人员不得有其他可能影响廉洁从业的行为。</w:t>
      </w:r>
    </w:p>
    <w:p w14:paraId="326B45C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3.乙方的义务</w:t>
      </w:r>
    </w:p>
    <w:p w14:paraId="7CD924EA">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（1）乙方及其工作人员不得以任何形式向甲方及其工作人员行贿或馈赠礼品、礼金、消费卡和有价证券、股权、其他金融产品等财物，以及回扣、好处费、感谢费等。</w:t>
      </w:r>
    </w:p>
    <w:p w14:paraId="6610A9E9">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（2）乙方及其工作人员不得与甲方及其工作人员约定，甲方及其工作人员利用职务之便为乙方谋取利益，乙方在其离职后给予财物。</w:t>
      </w:r>
    </w:p>
    <w:p w14:paraId="26AD880A">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（3）乙方不得以任何名义为甲方及其工作人员报销由甲方单位或个人支付的任何费用。</w:t>
      </w:r>
    </w:p>
    <w:p w14:paraId="13A91A85">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（4）乙方及其工作人员不得以任何理由邀请甲方工作人员参与可能影响公正执行公务的宴请以及旅游、健身、娱乐等活动。不得为甲方单位和个人购置或提供通讯工具、交通工具和高档办公用品等。</w:t>
      </w:r>
    </w:p>
    <w:p w14:paraId="2DA306E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（5）乙方及其工作人员不得为甲方工作人员住房装修、婚丧嫁娶、出国出境、旅游等提供方便；不得为甲方工作人员的特定关系人以安排工作为名，使其不实际工作却获取薪酬。</w:t>
      </w:r>
    </w:p>
    <w:p w14:paraId="46E3A177">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（6）乙方及其工作人员不得有其他可能影响廉洁从业的行为。</w:t>
      </w:r>
    </w:p>
    <w:p w14:paraId="2277F35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4.违约责任</w:t>
      </w:r>
    </w:p>
    <w:p w14:paraId="63D466D5">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（1）甲方及其工作人员违反本合同第1、2条，按管理权限，依据有关规定给予党纪政务处分和组织处理；涉嫌犯罪的，移交司法机关追究刑事责任；给乙方单位造成经济损失的，应予以赔偿。</w:t>
      </w:r>
    </w:p>
    <w:p w14:paraId="15B18103">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（2）乙方及其工作人员违反本合同第1、3条，按管理权限，依据有关规定，给予相关处理；给甲方单位造成经济损失的，应予以赔偿。</w:t>
      </w:r>
    </w:p>
    <w:p w14:paraId="3BF0ED6C">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5.本合同有效期为甲乙双方签署之日起至该供货合同履行完毕后止。</w:t>
      </w:r>
    </w:p>
    <w:p w14:paraId="08947E17">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6.本合同作为</w:t>
      </w:r>
      <w:permStart w:id="13" w:edGrp="everyone"/>
      <w:r>
        <w:rPr>
          <w:rFonts w:hint="eastAsia" w:ascii="仿宋_GB2312" w:hAnsi="仿宋_GB2312" w:eastAsia="仿宋_GB2312" w:cs="仿宋_GB2312"/>
          <w:color w:val="auto"/>
          <w:sz w:val="28"/>
          <w:szCs w:val="28"/>
          <w:u w:val="single"/>
        </w:rPr>
        <w:t xml:space="preserve">                             </w:t>
      </w:r>
      <w:permEnd w:id="13"/>
      <w:r>
        <w:rPr>
          <w:rFonts w:hint="eastAsia" w:ascii="仿宋_GB2312" w:hAnsi="仿宋_GB2312" w:eastAsia="仿宋_GB2312" w:cs="仿宋_GB2312"/>
          <w:color w:val="auto"/>
          <w:sz w:val="28"/>
          <w:szCs w:val="28"/>
        </w:rPr>
        <w:t>（合同文件名称）的附件，与采购合同具有同等的法律效力，经合同双方签署立即生效。</w:t>
      </w:r>
    </w:p>
    <w:p w14:paraId="3709BF42">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7.本合同一式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份，甲方执</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14:paraId="6FB758F0">
      <w:pPr>
        <w:pStyle w:val="10"/>
        <w:spacing w:beforeLines="0" w:afterLines="0"/>
        <w:rPr>
          <w:rFonts w:hint="eastAsia" w:ascii="仿宋_GB2312" w:hAnsi="仿宋_GB2312" w:eastAsia="仿宋_GB2312" w:cs="仿宋_GB2312"/>
          <w:color w:val="auto"/>
          <w:sz w:val="28"/>
          <w:szCs w:val="28"/>
        </w:rPr>
      </w:pPr>
    </w:p>
    <w:p w14:paraId="56A32439">
      <w:pPr>
        <w:spacing w:beforeLines="0" w:afterLines="0"/>
        <w:rPr>
          <w:rFonts w:hint="eastAsia"/>
          <w:color w:val="auto"/>
          <w:sz w:val="21"/>
          <w:szCs w:val="24"/>
        </w:rPr>
      </w:pPr>
    </w:p>
    <w:p w14:paraId="270CBAFC">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甲方（盖章） ：                  乙方（盖章）：</w:t>
      </w:r>
    </w:p>
    <w:p w14:paraId="7A92C25D">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                     法定代表</w:t>
      </w:r>
      <w:r>
        <w:rPr>
          <w:rFonts w:hint="eastAsia" w:ascii="仿宋_GB2312" w:hAnsi="仿宋_GB2312" w:eastAsia="仿宋_GB2312" w:cs="仿宋_GB2312"/>
          <w:color w:val="auto"/>
          <w:sz w:val="28"/>
          <w:szCs w:val="28"/>
          <w:lang w:val="en-US" w:eastAsia="zh-CN"/>
        </w:rPr>
        <w:t>人</w:t>
      </w:r>
      <w:r>
        <w:rPr>
          <w:rFonts w:hint="eastAsia" w:ascii="仿宋_GB2312" w:hAnsi="仿宋_GB2312" w:eastAsia="仿宋_GB2312" w:cs="仿宋_GB2312"/>
          <w:color w:val="auto"/>
          <w:sz w:val="28"/>
          <w:szCs w:val="28"/>
        </w:rPr>
        <w:t>或</w:t>
      </w:r>
    </w:p>
    <w:p w14:paraId="155654CE">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授权委托人（签字）：             授权委托人（签字）：</w:t>
      </w:r>
    </w:p>
    <w:p w14:paraId="6E19CC8F">
      <w:pPr>
        <w:spacing w:beforeLines="0" w:afterLines="0" w:line="560" w:lineRule="exact"/>
        <w:ind w:firstLine="1120" w:firstLine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6774B86D">
      <w:pPr>
        <w:spacing w:beforeLines="0" w:afterLines="0" w:line="560" w:lineRule="exact"/>
        <w:ind w:firstLine="562" w:firstLine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br w:type="textWrapping"/>
      </w:r>
    </w:p>
    <w:p w14:paraId="363D4365">
      <w:pPr>
        <w:spacing w:beforeLines="0" w:afterLines="0" w:line="560" w:lineRule="exac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附件2：</w:t>
      </w:r>
    </w:p>
    <w:p w14:paraId="5CCB79CA">
      <w:pPr>
        <w:spacing w:beforeLines="0" w:afterLines="0" w:line="560" w:lineRule="exact"/>
        <w:ind w:firstLine="883" w:firstLineChars="200"/>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14:paraId="75347F21">
      <w:pPr>
        <w:pStyle w:val="10"/>
        <w:spacing w:beforeLines="0" w:afterLines="0" w:line="560" w:lineRule="exact"/>
        <w:ind w:firstLine="420" w:firstLineChars="200"/>
        <w:rPr>
          <w:rFonts w:hint="eastAsia"/>
          <w:color w:val="auto"/>
          <w:sz w:val="21"/>
          <w:szCs w:val="24"/>
        </w:rPr>
      </w:pPr>
    </w:p>
    <w:p w14:paraId="7E43EDC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permStart w:id="14" w:edGrp="everyone"/>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ermEnd w:id="14"/>
      <w:r>
        <w:rPr>
          <w:rFonts w:hint="eastAsia" w:ascii="仿宋_GB2312" w:hAnsi="仿宋_GB2312" w:eastAsia="仿宋_GB2312" w:cs="仿宋_GB2312"/>
          <w:color w:val="auto"/>
          <w:sz w:val="28"/>
          <w:szCs w:val="28"/>
        </w:rPr>
        <w:t xml:space="preserve">项目名称）的实施过程中创造安全、高效的施工环境，切实搞好本项目的安全管理工作，本项目采购人 </w:t>
      </w:r>
      <w:permStart w:id="15" w:edGrp="everyone"/>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u w:val="single"/>
        </w:rPr>
        <w:t xml:space="preserve"> 安徽省经工物资有限公司    </w:t>
      </w:r>
      <w:permEnd w:id="15"/>
      <w:r>
        <w:rPr>
          <w:rFonts w:hint="eastAsia" w:ascii="仿宋_GB2312" w:hAnsi="仿宋_GB2312" w:eastAsia="仿宋_GB2312" w:cs="仿宋_GB2312"/>
          <w:color w:val="auto"/>
          <w:sz w:val="28"/>
          <w:szCs w:val="28"/>
        </w:rPr>
        <w:t>（采购人名称，以下简称甲方）与该项目的供货商</w:t>
      </w:r>
      <w:permStart w:id="16" w:edGrp="everyone"/>
      <w:r>
        <w:rPr>
          <w:rFonts w:hint="eastAsia" w:ascii="仿宋_GB2312" w:hAnsi="仿宋_GB2312" w:eastAsia="仿宋_GB2312" w:cs="仿宋_GB2312"/>
          <w:color w:val="auto"/>
          <w:sz w:val="28"/>
          <w:szCs w:val="28"/>
          <w:u w:val="single"/>
        </w:rPr>
        <w:t xml:space="preserve">              </w:t>
      </w:r>
      <w:permEnd w:id="16"/>
      <w:r>
        <w:rPr>
          <w:rFonts w:hint="eastAsia" w:ascii="仿宋_GB2312" w:hAnsi="仿宋_GB2312" w:eastAsia="仿宋_GB2312" w:cs="仿宋_GB2312"/>
          <w:color w:val="auto"/>
          <w:sz w:val="28"/>
          <w:szCs w:val="28"/>
        </w:rPr>
        <w:t>（供货商名称，以下简称乙方）特此签订此安全生产合同：</w:t>
      </w:r>
    </w:p>
    <w:p w14:paraId="5963FDE5">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防止和减少安全事故，保障人民群众生命和财产安全，有效促进双方全面履行经营合同，维护双方的合法权益，依据《中华人民共和国民法典》、《中华人民共和</w:t>
      </w:r>
      <w:r>
        <w:rPr>
          <w:rFonts w:hint="eastAsia" w:ascii="仿宋_GB2312" w:hAnsi="仿宋_GB2312" w:eastAsia="仿宋_GB2312" w:cs="仿宋_GB2312"/>
          <w:color w:val="auto"/>
          <w:sz w:val="28"/>
          <w:szCs w:val="28"/>
          <w:lang w:val="en-US" w:eastAsia="zh-CN"/>
        </w:rPr>
        <w:t>国</w:t>
      </w:r>
      <w:r>
        <w:rPr>
          <w:rFonts w:hint="eastAsia" w:ascii="仿宋_GB2312" w:hAnsi="仿宋_GB2312" w:eastAsia="仿宋_GB2312" w:cs="仿宋_GB2312"/>
          <w:color w:val="auto"/>
          <w:sz w:val="28"/>
          <w:szCs w:val="28"/>
        </w:rPr>
        <w:t>道路交通安全法》、《中华人民共和国安全生产法》、《中华人民共和国环境保护法》等相关安全法律、行政法规和规章，在平等、自愿、公平和诚实信用的原则下，双方就材料供应、运输安全事项协商一致，双方达成如下协议：</w:t>
      </w:r>
    </w:p>
    <w:p w14:paraId="4C17F116">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14:paraId="236CD0BD">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二、甲方负责提供材料堆放场地，乙方负责供应及运输。</w:t>
      </w:r>
    </w:p>
    <w:p w14:paraId="562A84F4">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三、在甲方运输区域，乙方运输车辆必须服从甲方的统一管理、调度和指挥，严格遵守交通规则，保证道路的畅通和运输安全，不得乱停、乱靠、乱装、乱卸，不得争道抢行，不得超速超载。</w:t>
      </w:r>
    </w:p>
    <w:p w14:paraId="046249CB">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四、乙方对提供的运输车辆应当已取得国家道路运输的许可证，并确保车辆性能符合安全技术标准、防止带病上路运行，已依照国家法律政策规定购齐有关车辆保险。</w:t>
      </w:r>
    </w:p>
    <w:p w14:paraId="1AEC4397">
      <w:pPr>
        <w:pStyle w:val="10"/>
        <w:spacing w:beforeLines="0" w:afterLines="0"/>
        <w:rPr>
          <w:rFonts w:hint="eastAsia"/>
          <w:color w:val="auto"/>
          <w:sz w:val="21"/>
          <w:szCs w:val="24"/>
        </w:rPr>
      </w:pPr>
    </w:p>
    <w:p w14:paraId="1841B558">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五、乙方应当设立安全管理人员，配备有专业知识、技能的人员并明确责任，建立、健全安全规章制度，为其雇佣的从业人员提供安全法规知识、安全规章制度、安全操作规程和安全操作技能教育和培训。</w:t>
      </w:r>
    </w:p>
    <w:p w14:paraId="60F6B7DC">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六、乙方应确保货物在卸载过程中，装卸工有安全防护措施，发现不安全因素，及时处理。在甲方区域，禁止出现无证操作、无证驾驶现象。</w:t>
      </w:r>
    </w:p>
    <w:p w14:paraId="4E54FB02">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6E391B2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八、乙方在履行合同过程中，必须确保货物运输及供应安全，如发生各类人身、财产事故，造成的一切损失均由乙方负责承担，甲方概不负责。</w:t>
      </w:r>
    </w:p>
    <w:p w14:paraId="6A817C4F">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九、争议的解决 </w:t>
      </w:r>
    </w:p>
    <w:p w14:paraId="70D833A3">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本合同在履行中如发生争议，双方应及时协商解决。协商不成的，任何一方均有权将合同争议事项向甲方公司注册所在地人民法院提起诉讼，通过法定程序解决。</w:t>
      </w:r>
    </w:p>
    <w:p w14:paraId="4594E651">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十、本协议一式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 xml:space="preserve">份，甲方执 </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14:paraId="62BF0EEC">
      <w:pPr>
        <w:spacing w:beforeLines="0" w:afterLines="0" w:line="560" w:lineRule="exact"/>
        <w:ind w:firstLine="560" w:firstLineChars="200"/>
        <w:rPr>
          <w:rFonts w:hint="eastAsia" w:ascii="仿宋_GB2312" w:hAnsi="仿宋_GB2312" w:eastAsia="仿宋_GB2312" w:cs="仿宋_GB2312"/>
          <w:color w:val="auto"/>
          <w:sz w:val="28"/>
          <w:szCs w:val="28"/>
        </w:rPr>
      </w:pPr>
    </w:p>
    <w:p w14:paraId="4D5D92EC">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甲方（盖章）：                  乙方（盖章）：</w:t>
      </w:r>
    </w:p>
    <w:p w14:paraId="2EFD33C9">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                      法定代表人</w:t>
      </w:r>
    </w:p>
    <w:p w14:paraId="1D91E5D1">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或授权委托人（签字）：          或授权委托人（签字）：</w:t>
      </w:r>
    </w:p>
    <w:p w14:paraId="340A417C">
      <w:pPr>
        <w:spacing w:beforeLines="0" w:afterLines="0" w:line="560" w:lineRule="exact"/>
        <w:ind w:firstLine="1120" w:firstLine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4E516E8A">
      <w:pPr>
        <w:pStyle w:val="13"/>
        <w:adjustRightInd w:val="0"/>
        <w:snapToGrid w:val="0"/>
        <w:spacing w:beforeLines="0" w:afterLines="0"/>
        <w:jc w:val="left"/>
        <w:rPr>
          <w:rFonts w:hint="eastAsia" w:ascii="仿宋_GB2312" w:hAnsi="仿宋_GB2312" w:eastAsia="仿宋_GB2312" w:cs="仿宋_GB2312"/>
          <w:b/>
          <w:color w:val="auto"/>
          <w:sz w:val="28"/>
          <w:szCs w:val="28"/>
        </w:rPr>
      </w:pPr>
    </w:p>
    <w:p w14:paraId="08910F88">
      <w:pPr>
        <w:pStyle w:val="13"/>
        <w:adjustRightInd w:val="0"/>
        <w:snapToGrid w:val="0"/>
        <w:jc w:val="left"/>
        <w:rPr>
          <w:rFonts w:hint="default" w:ascii="Times New Roman" w:hAnsi="Times New Roman" w:eastAsia="华文中宋" w:cs="Times New Roman"/>
          <w:b/>
          <w:smallCaps/>
          <w:color w:val="auto"/>
          <w:sz w:val="24"/>
          <w:szCs w:val="24"/>
          <w:highlight w:val="none"/>
          <w:lang w:val="en-US" w:eastAsia="zh-CN"/>
        </w:rPr>
      </w:pPr>
      <w:r>
        <w:rPr>
          <w:rFonts w:hint="eastAsia" w:ascii="仿宋_GB2312" w:hAnsi="仿宋_GB2312" w:eastAsia="仿宋_GB2312" w:cs="仿宋_GB2312"/>
          <w:b/>
          <w:color w:val="auto"/>
          <w:sz w:val="28"/>
          <w:szCs w:val="28"/>
          <w:highlight w:val="none"/>
          <w:lang w:val="en-US" w:eastAsia="zh-CN"/>
        </w:rPr>
        <w:t>附件3：后附报价清单</w:t>
      </w:r>
    </w:p>
    <w:p w14:paraId="729876BA">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lang w:val="en-US" w:eastAsia="zh-CN"/>
        </w:rPr>
      </w:pPr>
    </w:p>
    <w:p w14:paraId="44C7AAEA">
      <w:pPr>
        <w:pStyle w:val="11"/>
        <w:bidi w:val="0"/>
        <w:rPr>
          <w:rFonts w:hint="eastAsia"/>
          <w:color w:val="auto"/>
          <w:highlight w:val="none"/>
        </w:rPr>
      </w:pPr>
    </w:p>
    <w:p w14:paraId="57FD5F42">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0D1130A1">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316DFA0D">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2033EE4E">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12E9AE00">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2F26F749">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582EACC5">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09840CA3">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4992CA58">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69DC150F">
      <w:pPr>
        <w:pStyle w:val="35"/>
        <w:jc w:val="center"/>
        <w:rPr>
          <w:rFonts w:hint="eastAsia" w:ascii="宋体" w:hAnsi="宋体" w:eastAsia="宋体" w:cs="宋体"/>
          <w:b/>
          <w:bCs/>
          <w:color w:val="auto"/>
          <w:sz w:val="28"/>
          <w:szCs w:val="28"/>
          <w:highlight w:val="none"/>
          <w:lang w:val="en-US" w:eastAsia="zh-CN"/>
        </w:rPr>
      </w:pPr>
    </w:p>
    <w:p w14:paraId="56324A43">
      <w:pPr>
        <w:pStyle w:val="35"/>
        <w:jc w:val="center"/>
        <w:rPr>
          <w:rFonts w:hint="eastAsia" w:ascii="宋体" w:hAnsi="宋体" w:eastAsia="宋体" w:cs="宋体"/>
          <w:b/>
          <w:bCs/>
          <w:color w:val="auto"/>
          <w:sz w:val="28"/>
          <w:szCs w:val="28"/>
          <w:highlight w:val="none"/>
          <w:lang w:val="en-US" w:eastAsia="zh-CN"/>
        </w:rPr>
      </w:pPr>
    </w:p>
    <w:p w14:paraId="40178912">
      <w:pPr>
        <w:pStyle w:val="35"/>
        <w:jc w:val="center"/>
        <w:rPr>
          <w:rFonts w:hint="eastAsia" w:ascii="宋体" w:hAnsi="宋体" w:eastAsia="宋体" w:cs="宋体"/>
          <w:b/>
          <w:bCs/>
          <w:color w:val="auto"/>
          <w:sz w:val="28"/>
          <w:szCs w:val="28"/>
          <w:highlight w:val="none"/>
          <w:lang w:val="en-US" w:eastAsia="zh-CN"/>
        </w:rPr>
      </w:pPr>
    </w:p>
    <w:p w14:paraId="3D9FB0D6">
      <w:pPr>
        <w:pStyle w:val="35"/>
        <w:jc w:val="center"/>
        <w:rPr>
          <w:rFonts w:hint="eastAsia" w:ascii="宋体" w:hAnsi="宋体" w:eastAsia="宋体" w:cs="宋体"/>
          <w:b/>
          <w:bCs/>
          <w:color w:val="auto"/>
          <w:sz w:val="28"/>
          <w:szCs w:val="28"/>
          <w:highlight w:val="none"/>
          <w:lang w:val="en-US" w:eastAsia="zh-CN"/>
        </w:rPr>
      </w:pPr>
    </w:p>
    <w:p w14:paraId="2A3C4900">
      <w:pPr>
        <w:pStyle w:val="35"/>
        <w:jc w:val="center"/>
        <w:rPr>
          <w:rFonts w:hint="eastAsia" w:ascii="宋体" w:hAnsi="宋体" w:eastAsia="宋体" w:cs="宋体"/>
          <w:b/>
          <w:bCs/>
          <w:color w:val="auto"/>
          <w:sz w:val="28"/>
          <w:szCs w:val="28"/>
          <w:highlight w:val="none"/>
          <w:lang w:val="en-US" w:eastAsia="zh-CN"/>
        </w:rPr>
      </w:pPr>
    </w:p>
    <w:p w14:paraId="297C38F8">
      <w:pPr>
        <w:pStyle w:val="2"/>
        <w:numPr>
          <w:ilvl w:val="255"/>
          <w:numId w:val="0"/>
        </w:numPr>
        <w:spacing w:before="312" w:after="312"/>
        <w:ind w:left="402"/>
        <w:rPr>
          <w:rFonts w:ascii="Times New Roman" w:hAnsi="Times New Roman" w:eastAsia="宋体" w:cs="Times New Roman"/>
          <w:color w:val="auto"/>
          <w:highlight w:val="none"/>
        </w:rPr>
      </w:pPr>
      <w:bookmarkStart w:id="64" w:name="_Toc12221"/>
      <w:r>
        <w:rPr>
          <w:rFonts w:hint="eastAsia" w:ascii="Times New Roman" w:hAnsi="Times New Roman" w:eastAsia="宋体" w:cs="Times New Roman"/>
          <w:color w:val="auto"/>
          <w:highlight w:val="none"/>
          <w:lang w:val="en-US" w:eastAsia="zh-CN"/>
        </w:rPr>
        <w:t>第五章</w:t>
      </w:r>
      <w:r>
        <w:rPr>
          <w:rFonts w:hint="eastAsia" w:ascii="Times New Roman" w:hAnsi="Times New Roman" w:eastAsia="宋体" w:cs="Times New Roman"/>
          <w:color w:val="FF0000"/>
          <w:highlight w:val="none"/>
          <w:lang w:val="en-US" w:eastAsia="zh-CN"/>
        </w:rPr>
        <w:t xml:space="preserve"> </w:t>
      </w:r>
      <w:bookmarkStart w:id="65" w:name="_Toc25485"/>
      <w:bookmarkStart w:id="66" w:name="_Toc31285"/>
      <w:r>
        <w:rPr>
          <w:rFonts w:hint="eastAsia" w:ascii="Times New Roman" w:hAnsi="Times New Roman" w:eastAsia="宋体" w:cs="Times New Roman"/>
          <w:color w:val="000000" w:themeColor="text1"/>
          <w:highlight w:val="none"/>
          <w:lang w:val="en-US" w:eastAsia="zh-CN"/>
          <w14:textFill>
            <w14:solidFill>
              <w14:schemeClr w14:val="tx1"/>
            </w14:solidFill>
          </w14:textFill>
        </w:rPr>
        <w:t>采购需求及清单</w:t>
      </w:r>
      <w:bookmarkEnd w:id="64"/>
      <w:bookmarkEnd w:id="65"/>
      <w:bookmarkEnd w:id="66"/>
    </w:p>
    <w:p w14:paraId="59E52AAF">
      <w:pPr>
        <w:pStyle w:val="21"/>
        <w:numPr>
          <w:ilvl w:val="0"/>
          <w:numId w:val="0"/>
        </w:numPr>
        <w:jc w:val="both"/>
        <w:rPr>
          <w:rFonts w:hint="eastAsia" w:ascii="宋体" w:hAnsi="宋体" w:cs="宋体"/>
          <w:b/>
          <w:color w:val="auto"/>
          <w:sz w:val="21"/>
          <w:szCs w:val="21"/>
          <w:highlight w:val="none"/>
        </w:rPr>
      </w:pPr>
    </w:p>
    <w:p w14:paraId="4FA5350D">
      <w:pPr>
        <w:pStyle w:val="21"/>
        <w:numPr>
          <w:ilvl w:val="0"/>
          <w:numId w:val="0"/>
        </w:numPr>
        <w:jc w:val="both"/>
        <w:rPr>
          <w:rFonts w:hint="eastAsia" w:ascii="宋体" w:hAnsi="宋体" w:cs="宋体"/>
          <w:b/>
          <w:color w:val="auto"/>
          <w:sz w:val="21"/>
          <w:szCs w:val="21"/>
          <w:highlight w:val="none"/>
        </w:rPr>
      </w:pPr>
    </w:p>
    <w:tbl>
      <w:tblPr>
        <w:tblStyle w:val="23"/>
        <w:tblW w:w="545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1"/>
        <w:gridCol w:w="669"/>
        <w:gridCol w:w="1011"/>
        <w:gridCol w:w="603"/>
        <w:gridCol w:w="815"/>
        <w:gridCol w:w="1191"/>
        <w:gridCol w:w="1157"/>
        <w:gridCol w:w="1924"/>
        <w:gridCol w:w="1356"/>
      </w:tblGrid>
      <w:tr w14:paraId="39460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B43C91">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亳州至蒙城高速公路涡阳至蒙城段房建工程铝单板采购项目</w:t>
            </w:r>
          </w:p>
        </w:tc>
      </w:tr>
      <w:tr w14:paraId="68C54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07" w:type="pct"/>
            <w:tcBorders>
              <w:top w:val="single" w:color="000000" w:sz="4" w:space="0"/>
              <w:left w:val="single" w:color="000000" w:sz="4" w:space="0"/>
              <w:bottom w:val="nil"/>
              <w:right w:val="single" w:color="000000" w:sz="4" w:space="0"/>
            </w:tcBorders>
            <w:shd w:val="clear" w:color="auto" w:fill="auto"/>
            <w:vAlign w:val="center"/>
          </w:tcPr>
          <w:p w14:paraId="2F868B84">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序号</w:t>
            </w:r>
          </w:p>
        </w:tc>
        <w:tc>
          <w:tcPr>
            <w:tcW w:w="360" w:type="pct"/>
            <w:tcBorders>
              <w:top w:val="single" w:color="000000" w:sz="4" w:space="0"/>
              <w:left w:val="single" w:color="000000" w:sz="4" w:space="0"/>
              <w:bottom w:val="nil"/>
              <w:right w:val="single" w:color="000000" w:sz="4" w:space="0"/>
            </w:tcBorders>
            <w:shd w:val="clear" w:color="auto" w:fill="auto"/>
            <w:vAlign w:val="center"/>
          </w:tcPr>
          <w:p w14:paraId="6A028E6E">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名称</w:t>
            </w:r>
          </w:p>
        </w:tc>
        <w:tc>
          <w:tcPr>
            <w:tcW w:w="544" w:type="pct"/>
            <w:tcBorders>
              <w:top w:val="single" w:color="000000" w:sz="4" w:space="0"/>
              <w:left w:val="single" w:color="000000" w:sz="4" w:space="0"/>
              <w:bottom w:val="nil"/>
              <w:right w:val="single" w:color="000000" w:sz="4" w:space="0"/>
            </w:tcBorders>
            <w:shd w:val="clear" w:color="auto" w:fill="auto"/>
            <w:vAlign w:val="center"/>
          </w:tcPr>
          <w:p w14:paraId="6D299736">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规格</w:t>
            </w:r>
          </w:p>
          <w:p w14:paraId="2CA3EDCD">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参数</w:t>
            </w:r>
          </w:p>
        </w:tc>
        <w:tc>
          <w:tcPr>
            <w:tcW w:w="324" w:type="pct"/>
            <w:tcBorders>
              <w:top w:val="single" w:color="000000" w:sz="4" w:space="0"/>
              <w:left w:val="single" w:color="000000" w:sz="4" w:space="0"/>
              <w:bottom w:val="nil"/>
              <w:right w:val="single" w:color="000000" w:sz="4" w:space="0"/>
            </w:tcBorders>
            <w:shd w:val="clear" w:color="auto" w:fill="auto"/>
            <w:vAlign w:val="center"/>
          </w:tcPr>
          <w:p w14:paraId="1A637B79">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单位</w:t>
            </w:r>
          </w:p>
        </w:tc>
        <w:tc>
          <w:tcPr>
            <w:tcW w:w="438" w:type="pct"/>
            <w:tcBorders>
              <w:top w:val="single" w:color="000000" w:sz="4" w:space="0"/>
              <w:left w:val="single" w:color="000000" w:sz="4" w:space="0"/>
              <w:bottom w:val="nil"/>
              <w:right w:val="single" w:color="000000" w:sz="4" w:space="0"/>
            </w:tcBorders>
            <w:shd w:val="clear" w:color="auto" w:fill="auto"/>
            <w:vAlign w:val="center"/>
          </w:tcPr>
          <w:p w14:paraId="66CF29CE">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数量</w:t>
            </w:r>
          </w:p>
        </w:tc>
        <w:tc>
          <w:tcPr>
            <w:tcW w:w="640" w:type="pct"/>
            <w:tcBorders>
              <w:top w:val="single" w:color="000000" w:sz="4" w:space="0"/>
              <w:left w:val="single" w:color="000000" w:sz="4" w:space="0"/>
              <w:bottom w:val="nil"/>
              <w:right w:val="single" w:color="000000" w:sz="4" w:space="0"/>
            </w:tcBorders>
            <w:shd w:val="clear" w:color="auto" w:fill="auto"/>
            <w:vAlign w:val="center"/>
          </w:tcPr>
          <w:p w14:paraId="3E5CB735">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综合单价</w:t>
            </w:r>
            <w:r>
              <w:rPr>
                <w:rFonts w:hint="eastAsia" w:ascii="宋体" w:hAnsi="宋体" w:eastAsia="宋体" w:cs="宋体"/>
                <w:b w:val="0"/>
                <w:bCs/>
                <w:color w:val="auto"/>
                <w:sz w:val="24"/>
                <w:szCs w:val="24"/>
                <w:highlight w:val="none"/>
                <w:lang w:val="en-US" w:eastAsia="zh-CN"/>
              </w:rPr>
              <w:br w:type="textWrapping"/>
            </w:r>
            <w:r>
              <w:rPr>
                <w:rFonts w:hint="eastAsia" w:ascii="宋体" w:hAnsi="宋体" w:eastAsia="宋体" w:cs="宋体"/>
                <w:b w:val="0"/>
                <w:bCs/>
                <w:color w:val="auto"/>
                <w:sz w:val="24"/>
                <w:szCs w:val="24"/>
                <w:highlight w:val="none"/>
                <w:lang w:val="en-US" w:eastAsia="zh-CN"/>
              </w:rPr>
              <w:t>（元）</w:t>
            </w:r>
          </w:p>
        </w:tc>
        <w:tc>
          <w:tcPr>
            <w:tcW w:w="622" w:type="pct"/>
            <w:tcBorders>
              <w:top w:val="single" w:color="000000" w:sz="4" w:space="0"/>
              <w:left w:val="single" w:color="000000" w:sz="4" w:space="0"/>
              <w:bottom w:val="nil"/>
              <w:right w:val="single" w:color="000000" w:sz="4" w:space="0"/>
            </w:tcBorders>
            <w:shd w:val="clear" w:color="auto" w:fill="auto"/>
            <w:vAlign w:val="center"/>
          </w:tcPr>
          <w:p w14:paraId="05B478A9">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合价（元）</w:t>
            </w:r>
          </w:p>
        </w:tc>
        <w:tc>
          <w:tcPr>
            <w:tcW w:w="1035" w:type="pct"/>
            <w:tcBorders>
              <w:top w:val="single" w:color="000000" w:sz="4" w:space="0"/>
              <w:left w:val="single" w:color="000000" w:sz="4" w:space="0"/>
              <w:bottom w:val="nil"/>
              <w:right w:val="single" w:color="000000" w:sz="4" w:space="0"/>
            </w:tcBorders>
            <w:shd w:val="clear" w:color="auto" w:fill="auto"/>
            <w:vAlign w:val="center"/>
          </w:tcPr>
          <w:p w14:paraId="5548BA0B">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铝板样式参考</w:t>
            </w:r>
          </w:p>
          <w:p w14:paraId="10C90BAD">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图片</w:t>
            </w:r>
          </w:p>
        </w:tc>
        <w:tc>
          <w:tcPr>
            <w:tcW w:w="726" w:type="pct"/>
            <w:tcBorders>
              <w:top w:val="single" w:color="000000" w:sz="4" w:space="0"/>
              <w:left w:val="single" w:color="000000" w:sz="4" w:space="0"/>
              <w:bottom w:val="nil"/>
              <w:right w:val="single" w:color="000000" w:sz="4" w:space="0"/>
            </w:tcBorders>
            <w:shd w:val="clear" w:color="auto" w:fill="auto"/>
            <w:vAlign w:val="center"/>
          </w:tcPr>
          <w:p w14:paraId="3193EF6A">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使用部位</w:t>
            </w:r>
          </w:p>
        </w:tc>
      </w:tr>
      <w:tr w14:paraId="6B1A0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2"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4343">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93F8">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铝单板</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A8916">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3mm厚氟碳油漆喷涂</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7CCC">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C099">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4100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17CA">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0EC8E">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C8A7">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drawing>
                <wp:anchor distT="0" distB="0" distL="114300" distR="114300" simplePos="0" relativeHeight="251660288" behindDoc="0" locked="0" layoutInCell="1" allowOverlap="1">
                  <wp:simplePos x="0" y="0"/>
                  <wp:positionH relativeFrom="column">
                    <wp:posOffset>36830</wp:posOffset>
                  </wp:positionH>
                  <wp:positionV relativeFrom="paragraph">
                    <wp:posOffset>-100330</wp:posOffset>
                  </wp:positionV>
                  <wp:extent cx="897890" cy="676910"/>
                  <wp:effectExtent l="0" t="0" r="16510" b="8890"/>
                  <wp:wrapNone/>
                  <wp:docPr id="8" name="图片_2"/>
                  <wp:cNvGraphicFramePr/>
                  <a:graphic xmlns:a="http://schemas.openxmlformats.org/drawingml/2006/main">
                    <a:graphicData uri="http://schemas.openxmlformats.org/drawingml/2006/picture">
                      <pic:pic xmlns:pic="http://schemas.openxmlformats.org/drawingml/2006/picture">
                        <pic:nvPicPr>
                          <pic:cNvPr id="8" name="图片_2"/>
                          <pic:cNvPicPr/>
                        </pic:nvPicPr>
                        <pic:blipFill>
                          <a:blip r:embed="rId15"/>
                          <a:stretch>
                            <a:fillRect/>
                          </a:stretch>
                        </pic:blipFill>
                        <pic:spPr>
                          <a:xfrm>
                            <a:off x="0" y="0"/>
                            <a:ext cx="897890" cy="676910"/>
                          </a:xfrm>
                          <a:prstGeom prst="rect">
                            <a:avLst/>
                          </a:prstGeom>
                          <a:noFill/>
                          <a:ln>
                            <a:noFill/>
                          </a:ln>
                        </pic:spPr>
                      </pic:pic>
                    </a:graphicData>
                  </a:graphic>
                </wp:anchor>
              </w:drawing>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B145F">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蒙城北、蒙城东、岳坊收费大棚</w:t>
            </w:r>
          </w:p>
        </w:tc>
      </w:tr>
      <w:tr w14:paraId="4A059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2"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165C">
            <w:pPr>
              <w:pStyle w:val="10"/>
              <w:keepNext w:val="0"/>
              <w:keepLines w:val="0"/>
              <w:suppressLineNumbers w:val="0"/>
              <w:spacing w:before="0" w:beforeAutospacing="0" w:afterAutospacing="0"/>
              <w:ind w:left="0" w:right="0"/>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报价说明</w:t>
            </w:r>
          </w:p>
          <w:p w14:paraId="2F90EF54">
            <w:pPr>
              <w:pStyle w:val="10"/>
              <w:keepNext w:val="0"/>
              <w:keepLines w:val="0"/>
              <w:suppressLineNumbers w:val="0"/>
              <w:spacing w:before="0" w:beforeAutospacing="0" w:afterAutospacing="0"/>
              <w:ind w:left="0" w:right="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1.二次图纸深化设计及现场尺寸测量、排版下料费用含在总报价内。</w:t>
            </w:r>
            <w:r>
              <w:rPr>
                <w:rFonts w:hint="eastAsia" w:ascii="宋体" w:hAnsi="宋体" w:eastAsia="宋体" w:cs="宋体"/>
                <w:b/>
                <w:bCs w:val="0"/>
                <w:color w:val="auto"/>
                <w:sz w:val="24"/>
                <w:szCs w:val="24"/>
                <w:highlight w:val="none"/>
                <w:lang w:val="en-US" w:eastAsia="zh-CN"/>
              </w:rPr>
              <w:br w:type="textWrapping"/>
            </w:r>
            <w:r>
              <w:rPr>
                <w:rFonts w:hint="eastAsia" w:ascii="宋体" w:hAnsi="宋体" w:eastAsia="宋体" w:cs="宋体"/>
                <w:b/>
                <w:bCs w:val="0"/>
                <w:color w:val="auto"/>
                <w:sz w:val="24"/>
                <w:szCs w:val="24"/>
                <w:highlight w:val="none"/>
                <w:lang w:val="en-US" w:eastAsia="zh-CN"/>
              </w:rPr>
              <w:t>2.供应商应充分熟悉图纸及现场情况，后期不能以铝单板造型复杂，如超宽超长、圆弧焊接刨槽、超刀异形单曲、双曲等情况要求增加费用。</w:t>
            </w:r>
          </w:p>
        </w:tc>
      </w:tr>
    </w:tbl>
    <w:p w14:paraId="526787AF">
      <w:pPr>
        <w:pStyle w:val="10"/>
        <w:rPr>
          <w:rFonts w:hint="eastAsia"/>
          <w:color w:val="auto"/>
          <w:sz w:val="21"/>
          <w:szCs w:val="24"/>
          <w:highlight w:val="none"/>
        </w:rPr>
      </w:pPr>
    </w:p>
    <w:p w14:paraId="42DEFAB8">
      <w:pPr>
        <w:snapToGrid w:val="0"/>
        <w:spacing w:line="400" w:lineRule="exact"/>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备注：</w:t>
      </w:r>
      <w:r>
        <w:rPr>
          <w:rFonts w:hint="eastAsia" w:ascii="宋体" w:hAnsi="宋体" w:cs="宋体"/>
          <w:color w:val="auto"/>
          <w:sz w:val="24"/>
          <w:szCs w:val="24"/>
          <w:highlight w:val="none"/>
        </w:rPr>
        <w:t>1.上述费用包括货物的原材料、生产、包装、运输、保险、卸货叉车费（如有）、人工费、卸车费、利润、税费等相关费用。</w:t>
      </w:r>
    </w:p>
    <w:p w14:paraId="0E76C909">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2.最终结算以实际供货数量为准，送货时附带相关检测报告。</w:t>
      </w:r>
    </w:p>
    <w:p w14:paraId="726843D4">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51A7DD4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u w:val="none"/>
          <w:lang w:val="en-US" w:eastAsia="zh-CN"/>
        </w:rPr>
        <w:t>标的物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B07798">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供货进度应满足采购人工程进度分批次实施的安排和要求，中标人应充分理解并全力配合采购人的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材料采购、进场工作，并承担因送货次数增加而引起的运输成本增加等相应风险。</w:t>
      </w:r>
    </w:p>
    <w:p w14:paraId="60782775">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6.中标人对提供的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材料质量问题，将视作违约，中标人须赔偿由此造成返工的全部工程建设费用及其他一切损失，同时由采购人追究中标人的违约责任，情节严重的，依法追究相关责任。</w:t>
      </w:r>
    </w:p>
    <w:p w14:paraId="04BA7EFC">
      <w:pPr>
        <w:spacing w:beforeLines="0" w:afterLines="0"/>
        <w:rPr>
          <w:rFonts w:hint="default"/>
          <w:color w:val="auto"/>
          <w:sz w:val="21"/>
          <w:szCs w:val="24"/>
          <w:highlight w:val="none"/>
        </w:rPr>
      </w:pPr>
    </w:p>
    <w:p w14:paraId="2B294AE4">
      <w:pPr>
        <w:bidi w:val="0"/>
        <w:rPr>
          <w:rFonts w:hint="eastAsia"/>
          <w:color w:val="auto"/>
          <w:highlight w:val="none"/>
          <w:lang w:val="en-US" w:eastAsia="zh-CN"/>
        </w:rPr>
      </w:pPr>
    </w:p>
    <w:p w14:paraId="621B7C68">
      <w:pPr>
        <w:bidi w:val="0"/>
        <w:rPr>
          <w:rFonts w:hint="eastAsia"/>
          <w:color w:val="auto"/>
          <w:highlight w:val="none"/>
          <w:lang w:val="en-US" w:eastAsia="zh-CN"/>
        </w:rPr>
      </w:pPr>
    </w:p>
    <w:p w14:paraId="79600E89">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highlight w:val="none"/>
        </w:rPr>
      </w:pPr>
      <w:bookmarkStart w:id="67" w:name="_Toc23844"/>
      <w:r>
        <w:rPr>
          <w:rFonts w:hint="eastAsia" w:ascii="Times New Roman" w:hAnsi="Times New Roman" w:eastAsia="宋体" w:cs="Times New Roman"/>
          <w:color w:val="auto"/>
          <w:highlight w:val="none"/>
          <w:lang w:val="en-US" w:eastAsia="zh-CN"/>
        </w:rPr>
        <w:t xml:space="preserve">第六章 </w:t>
      </w:r>
      <w:r>
        <w:rPr>
          <w:rFonts w:hint="eastAsia" w:ascii="Times New Roman" w:hAnsi="Times New Roman" w:eastAsia="宋体" w:cs="Times New Roman"/>
          <w:color w:val="auto"/>
          <w:highlight w:val="none"/>
        </w:rPr>
        <w:t>响应文件格式</w:t>
      </w:r>
      <w:bookmarkEnd w:id="67"/>
    </w:p>
    <w:p w14:paraId="09D6E9D9">
      <w:pPr>
        <w:pStyle w:val="4"/>
        <w:rPr>
          <w:rFonts w:hint="eastAsia" w:ascii="方正小标宋简体" w:hAnsi="方正小标宋简体" w:eastAsia="方正小标宋简体" w:cs="方正小标宋简体"/>
          <w:color w:val="auto"/>
          <w:kern w:val="2"/>
          <w:sz w:val="44"/>
          <w:szCs w:val="44"/>
          <w:highlight w:val="none"/>
          <w:u w:val="single"/>
        </w:rPr>
      </w:pPr>
      <w:bookmarkStart w:id="68" w:name="_Toc26419"/>
    </w:p>
    <w:p w14:paraId="6E954DF9">
      <w:pPr>
        <w:rPr>
          <w:rFonts w:hint="eastAsia" w:ascii="方正小标宋简体" w:hAnsi="方正小标宋简体" w:eastAsia="方正小标宋简体" w:cs="方正小标宋简体"/>
          <w:color w:val="auto"/>
          <w:kern w:val="2"/>
          <w:sz w:val="44"/>
          <w:szCs w:val="44"/>
          <w:highlight w:val="none"/>
          <w:u w:val="single"/>
        </w:rPr>
      </w:pPr>
    </w:p>
    <w:p w14:paraId="7078C935">
      <w:pPr>
        <w:pStyle w:val="10"/>
        <w:rPr>
          <w:rFonts w:hint="eastAsia" w:ascii="方正小标宋简体" w:hAnsi="方正小标宋简体" w:eastAsia="方正小标宋简体" w:cs="方正小标宋简体"/>
          <w:color w:val="auto"/>
          <w:kern w:val="2"/>
          <w:sz w:val="44"/>
          <w:szCs w:val="44"/>
          <w:highlight w:val="none"/>
          <w:u w:val="single"/>
        </w:rPr>
      </w:pPr>
    </w:p>
    <w:p w14:paraId="3514E7CF">
      <w:pPr>
        <w:pStyle w:val="15"/>
        <w:rPr>
          <w:rFonts w:hint="eastAsia" w:ascii="方正小标宋简体" w:hAnsi="方正小标宋简体" w:eastAsia="方正小标宋简体" w:cs="方正小标宋简体"/>
          <w:color w:val="auto"/>
          <w:kern w:val="2"/>
          <w:sz w:val="44"/>
          <w:szCs w:val="44"/>
          <w:highlight w:val="none"/>
          <w:u w:val="single"/>
        </w:rPr>
      </w:pPr>
    </w:p>
    <w:p w14:paraId="367D7D36">
      <w:pPr>
        <w:pStyle w:val="16"/>
        <w:rPr>
          <w:rFonts w:hint="eastAsia" w:ascii="方正小标宋简体" w:hAnsi="方正小标宋简体" w:eastAsia="方正小标宋简体" w:cs="方正小标宋简体"/>
          <w:color w:val="auto"/>
          <w:kern w:val="2"/>
          <w:sz w:val="44"/>
          <w:szCs w:val="44"/>
          <w:highlight w:val="none"/>
          <w:u w:val="single"/>
        </w:rPr>
      </w:pPr>
    </w:p>
    <w:p w14:paraId="7DCB3744">
      <w:pPr>
        <w:rPr>
          <w:rFonts w:hint="eastAsia" w:ascii="方正小标宋简体" w:hAnsi="方正小标宋简体" w:eastAsia="方正小标宋简体" w:cs="方正小标宋简体"/>
          <w:color w:val="auto"/>
          <w:kern w:val="2"/>
          <w:sz w:val="44"/>
          <w:szCs w:val="44"/>
          <w:highlight w:val="none"/>
          <w:u w:val="single"/>
        </w:rPr>
      </w:pPr>
    </w:p>
    <w:p w14:paraId="3B18BD7D">
      <w:pPr>
        <w:rPr>
          <w:rFonts w:hint="eastAsia" w:ascii="方正小标宋简体" w:hAnsi="方正小标宋简体" w:eastAsia="方正小标宋简体" w:cs="方正小标宋简体"/>
          <w:color w:val="auto"/>
          <w:kern w:val="2"/>
          <w:sz w:val="44"/>
          <w:szCs w:val="44"/>
          <w:highlight w:val="none"/>
          <w:u w:val="single"/>
        </w:rPr>
      </w:pPr>
    </w:p>
    <w:p w14:paraId="35D4A841">
      <w:pPr>
        <w:rPr>
          <w:rFonts w:hint="eastAsia" w:ascii="方正小标宋简体" w:hAnsi="方正小标宋简体" w:eastAsia="方正小标宋简体" w:cs="方正小标宋简体"/>
          <w:color w:val="auto"/>
          <w:kern w:val="2"/>
          <w:sz w:val="44"/>
          <w:szCs w:val="44"/>
          <w:highlight w:val="none"/>
          <w:u w:val="single"/>
        </w:rPr>
      </w:pPr>
    </w:p>
    <w:p w14:paraId="0C1DE984">
      <w:pPr>
        <w:rPr>
          <w:rFonts w:hint="eastAsia" w:ascii="方正小标宋简体" w:hAnsi="方正小标宋简体" w:eastAsia="方正小标宋简体" w:cs="方正小标宋简体"/>
          <w:color w:val="auto"/>
          <w:kern w:val="2"/>
          <w:sz w:val="44"/>
          <w:szCs w:val="44"/>
          <w:highlight w:val="none"/>
          <w:u w:val="single"/>
        </w:rPr>
      </w:pPr>
    </w:p>
    <w:p w14:paraId="61716E06">
      <w:pPr>
        <w:rPr>
          <w:rFonts w:hint="eastAsia" w:ascii="方正小标宋简体" w:hAnsi="方正小标宋简体" w:eastAsia="方正小标宋简体" w:cs="方正小标宋简体"/>
          <w:color w:val="auto"/>
          <w:kern w:val="2"/>
          <w:sz w:val="44"/>
          <w:szCs w:val="44"/>
          <w:highlight w:val="none"/>
          <w:u w:val="single"/>
        </w:rPr>
      </w:pPr>
    </w:p>
    <w:p w14:paraId="74203487">
      <w:pPr>
        <w:pStyle w:val="10"/>
        <w:rPr>
          <w:rFonts w:hint="eastAsia" w:ascii="方正小标宋简体" w:hAnsi="方正小标宋简体" w:eastAsia="方正小标宋简体" w:cs="方正小标宋简体"/>
          <w:color w:val="auto"/>
          <w:kern w:val="2"/>
          <w:sz w:val="44"/>
          <w:szCs w:val="44"/>
          <w:highlight w:val="none"/>
          <w:u w:val="single"/>
        </w:rPr>
      </w:pPr>
    </w:p>
    <w:p w14:paraId="01B234F1">
      <w:pPr>
        <w:pStyle w:val="15"/>
        <w:rPr>
          <w:rFonts w:hint="eastAsia" w:ascii="方正小标宋简体" w:hAnsi="方正小标宋简体" w:eastAsia="方正小标宋简体" w:cs="方正小标宋简体"/>
          <w:color w:val="auto"/>
          <w:kern w:val="2"/>
          <w:sz w:val="44"/>
          <w:szCs w:val="44"/>
          <w:highlight w:val="none"/>
          <w:u w:val="single"/>
        </w:rPr>
      </w:pPr>
    </w:p>
    <w:p w14:paraId="7646EDF7">
      <w:pPr>
        <w:pStyle w:val="16"/>
        <w:rPr>
          <w:rFonts w:hint="eastAsia" w:ascii="方正小标宋简体" w:hAnsi="方正小标宋简体" w:eastAsia="方正小标宋简体" w:cs="方正小标宋简体"/>
          <w:color w:val="auto"/>
          <w:kern w:val="2"/>
          <w:sz w:val="44"/>
          <w:szCs w:val="44"/>
          <w:highlight w:val="none"/>
          <w:u w:val="single"/>
        </w:rPr>
      </w:pPr>
    </w:p>
    <w:p w14:paraId="7486429C">
      <w:pPr>
        <w:jc w:val="center"/>
        <w:outlineLvl w:val="9"/>
        <w:rPr>
          <w:rFonts w:hint="eastAsia" w:ascii="方正小标宋简体" w:hAnsi="方正小标宋简体" w:eastAsia="方正小标宋简体" w:cs="方正小标宋简体"/>
          <w:color w:val="auto"/>
          <w:sz w:val="44"/>
          <w:szCs w:val="44"/>
          <w:highlight w:val="none"/>
          <w:u w:val="single"/>
          <w:lang w:val="en-US" w:eastAsia="zh-CN"/>
        </w:rPr>
      </w:pPr>
    </w:p>
    <w:p w14:paraId="678919D1">
      <w:pPr>
        <w:jc w:val="center"/>
        <w:outlineLvl w:val="9"/>
        <w:rPr>
          <w:rFonts w:hint="eastAsia" w:ascii="方正小标宋简体" w:hAnsi="方正小标宋简体" w:eastAsia="方正小标宋简体" w:cs="方正小标宋简体"/>
          <w:color w:val="auto"/>
          <w:sz w:val="44"/>
          <w:szCs w:val="44"/>
          <w:highlight w:val="none"/>
          <w:u w:val="single"/>
          <w:lang w:val="en-US" w:eastAsia="zh-CN"/>
        </w:rPr>
      </w:pPr>
    </w:p>
    <w:p w14:paraId="6FD6637F">
      <w:pPr>
        <w:jc w:val="center"/>
        <w:outlineLvl w:val="9"/>
        <w:rPr>
          <w:rFonts w:ascii="Times New Roman" w:hAnsi="Times New Roman" w:eastAsia="黑体" w:cs="Times New Roman"/>
          <w:color w:val="auto"/>
          <w:sz w:val="50"/>
          <w:szCs w:val="50"/>
          <w:highlight w:val="none"/>
        </w:rPr>
      </w:pPr>
      <w:r>
        <w:rPr>
          <w:rFonts w:hint="eastAsia" w:ascii="方正小标宋简体" w:hAnsi="方正小标宋简体" w:eastAsia="方正小标宋简体" w:cs="方正小标宋简体"/>
          <w:color w:val="auto"/>
          <w:sz w:val="44"/>
          <w:szCs w:val="44"/>
          <w:highlight w:val="none"/>
          <w:u w:val="single"/>
          <w:lang w:val="en-US" w:eastAsia="zh-CN"/>
        </w:rPr>
        <w:t xml:space="preserve">                  </w:t>
      </w:r>
      <w:r>
        <w:rPr>
          <w:rFonts w:hint="eastAsia" w:ascii="方正小标宋简体" w:hAnsi="方正小标宋简体" w:eastAsia="方正小标宋简体" w:cs="方正小标宋简体"/>
          <w:color w:val="auto"/>
          <w:sz w:val="44"/>
          <w:szCs w:val="44"/>
          <w:highlight w:val="none"/>
        </w:rPr>
        <w:t>(项目名称)</w:t>
      </w:r>
    </w:p>
    <w:p w14:paraId="1E6F5305">
      <w:pPr>
        <w:jc w:val="center"/>
        <w:outlineLvl w:val="9"/>
        <w:rPr>
          <w:rFonts w:ascii="Times New Roman" w:hAnsi="Times New Roman" w:eastAsia="黑体" w:cs="Times New Roman"/>
          <w:color w:val="auto"/>
          <w:sz w:val="50"/>
          <w:szCs w:val="50"/>
          <w:highlight w:val="none"/>
        </w:rPr>
      </w:pPr>
    </w:p>
    <w:p w14:paraId="17C23FA6">
      <w:pPr>
        <w:jc w:val="center"/>
        <w:outlineLvl w:val="0"/>
        <w:rPr>
          <w:rFonts w:ascii="Times New Roman" w:hAnsi="Times New Roman" w:eastAsia="黑体" w:cs="Times New Roman"/>
          <w:color w:val="auto"/>
          <w:sz w:val="50"/>
          <w:szCs w:val="50"/>
          <w:highlight w:val="none"/>
        </w:rPr>
      </w:pPr>
      <w:bookmarkStart w:id="69" w:name="_Toc30411"/>
      <w:bookmarkStart w:id="70" w:name="_Toc18856"/>
      <w:bookmarkStart w:id="71" w:name="_Toc22486"/>
      <w:bookmarkStart w:id="72" w:name="_Toc11988"/>
      <w:r>
        <w:rPr>
          <w:rFonts w:ascii="Times New Roman" w:hAnsi="Times New Roman" w:eastAsia="黑体" w:cs="Times New Roman"/>
          <w:color w:val="auto"/>
          <w:sz w:val="50"/>
          <w:szCs w:val="50"/>
          <w:highlight w:val="none"/>
        </w:rPr>
        <w:t>响  应  文  件</w:t>
      </w:r>
      <w:bookmarkEnd w:id="69"/>
      <w:bookmarkEnd w:id="70"/>
      <w:bookmarkEnd w:id="71"/>
      <w:bookmarkEnd w:id="72"/>
    </w:p>
    <w:p w14:paraId="7EEE89EB">
      <w:pPr>
        <w:pStyle w:val="22"/>
        <w:jc w:val="left"/>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sz w:val="50"/>
          <w:szCs w:val="50"/>
          <w:highlight w:val="none"/>
          <w:lang w:val="en-US" w:eastAsia="zh-CN"/>
        </w:rPr>
        <w:t xml:space="preserve">     </w:t>
      </w:r>
      <w:r>
        <w:rPr>
          <w:rFonts w:hint="eastAsia" w:ascii="Times New Roman" w:hAnsi="Times New Roman" w:eastAsia="黑体" w:cs="Times New Roman"/>
          <w:color w:val="auto"/>
          <w:kern w:val="2"/>
          <w:sz w:val="28"/>
          <w:szCs w:val="28"/>
          <w:highlight w:val="none"/>
          <w:lang w:val="en-US" w:eastAsia="zh-CN" w:bidi="ar-SA"/>
        </w:rPr>
        <w:t>（商务及技术文件）</w:t>
      </w:r>
    </w:p>
    <w:p w14:paraId="0BB51C71">
      <w:pPr>
        <w:spacing w:line="440" w:lineRule="exact"/>
        <w:rPr>
          <w:rFonts w:ascii="Times New Roman" w:hAnsi="Times New Roman" w:eastAsia="黑体" w:cs="Times New Roman"/>
          <w:color w:val="auto"/>
          <w:sz w:val="32"/>
          <w:szCs w:val="32"/>
          <w:highlight w:val="none"/>
        </w:rPr>
      </w:pPr>
    </w:p>
    <w:p w14:paraId="3F5ED003">
      <w:pPr>
        <w:spacing w:line="440" w:lineRule="exact"/>
        <w:rPr>
          <w:rFonts w:ascii="Times New Roman" w:hAnsi="Times New Roman" w:eastAsia="黑体" w:cs="Times New Roman"/>
          <w:color w:val="auto"/>
          <w:sz w:val="32"/>
          <w:szCs w:val="32"/>
          <w:highlight w:val="none"/>
        </w:rPr>
      </w:pPr>
    </w:p>
    <w:p w14:paraId="07563E1D">
      <w:pPr>
        <w:spacing w:line="440" w:lineRule="exact"/>
        <w:rPr>
          <w:rFonts w:ascii="Times New Roman" w:hAnsi="Times New Roman" w:eastAsia="黑体" w:cs="Times New Roman"/>
          <w:color w:val="auto"/>
          <w:sz w:val="20"/>
          <w:szCs w:val="20"/>
          <w:highlight w:val="none"/>
        </w:rPr>
      </w:pPr>
    </w:p>
    <w:p w14:paraId="63107C88">
      <w:pPr>
        <w:spacing w:line="440" w:lineRule="exact"/>
        <w:rPr>
          <w:rFonts w:ascii="Times New Roman" w:hAnsi="Times New Roman" w:eastAsia="黑体" w:cs="Times New Roman"/>
          <w:color w:val="auto"/>
          <w:sz w:val="20"/>
          <w:szCs w:val="20"/>
          <w:highlight w:val="none"/>
        </w:rPr>
      </w:pPr>
    </w:p>
    <w:p w14:paraId="2C576B10">
      <w:pPr>
        <w:pStyle w:val="22"/>
        <w:rPr>
          <w:rFonts w:ascii="Times New Roman" w:hAnsi="Times New Roman" w:eastAsia="黑体" w:cs="Times New Roman"/>
          <w:color w:val="auto"/>
          <w:sz w:val="20"/>
          <w:szCs w:val="20"/>
          <w:highlight w:val="none"/>
        </w:rPr>
      </w:pPr>
    </w:p>
    <w:p w14:paraId="7183F2A9">
      <w:pPr>
        <w:rPr>
          <w:rFonts w:ascii="Times New Roman" w:hAnsi="Times New Roman" w:eastAsia="黑体" w:cs="Times New Roman"/>
          <w:color w:val="auto"/>
          <w:sz w:val="20"/>
          <w:szCs w:val="20"/>
          <w:highlight w:val="none"/>
        </w:rPr>
      </w:pPr>
    </w:p>
    <w:p w14:paraId="581DA5AD">
      <w:pPr>
        <w:pStyle w:val="22"/>
        <w:rPr>
          <w:rFonts w:ascii="Times New Roman" w:hAnsi="Times New Roman" w:eastAsia="黑体" w:cs="Times New Roman"/>
          <w:color w:val="auto"/>
          <w:sz w:val="20"/>
          <w:szCs w:val="20"/>
          <w:highlight w:val="none"/>
        </w:rPr>
      </w:pPr>
    </w:p>
    <w:p w14:paraId="06F7909F">
      <w:pPr>
        <w:rPr>
          <w:rFonts w:ascii="Times New Roman" w:hAnsi="Times New Roman" w:eastAsia="黑体" w:cs="Times New Roman"/>
          <w:color w:val="auto"/>
          <w:sz w:val="20"/>
          <w:szCs w:val="20"/>
          <w:highlight w:val="none"/>
        </w:rPr>
      </w:pPr>
    </w:p>
    <w:p w14:paraId="6D22971E">
      <w:pPr>
        <w:spacing w:line="440" w:lineRule="exact"/>
        <w:rPr>
          <w:rFonts w:ascii="Times New Roman" w:hAnsi="Times New Roman" w:eastAsia="黑体" w:cs="Times New Roman"/>
          <w:color w:val="auto"/>
          <w:sz w:val="20"/>
          <w:szCs w:val="20"/>
          <w:highlight w:val="none"/>
        </w:rPr>
      </w:pPr>
    </w:p>
    <w:p w14:paraId="5CF58BFE">
      <w:pPr>
        <w:spacing w:line="440" w:lineRule="exact"/>
        <w:rPr>
          <w:rFonts w:ascii="Times New Roman" w:hAnsi="Times New Roman" w:eastAsia="黑体" w:cs="Times New Roman"/>
          <w:color w:val="auto"/>
          <w:sz w:val="20"/>
          <w:szCs w:val="20"/>
          <w:highlight w:val="none"/>
        </w:rPr>
      </w:pPr>
    </w:p>
    <w:p w14:paraId="434E8257">
      <w:pPr>
        <w:spacing w:line="440" w:lineRule="exact"/>
        <w:rPr>
          <w:rFonts w:ascii="Times New Roman" w:hAnsi="Times New Roman" w:eastAsia="黑体" w:cs="Times New Roman"/>
          <w:color w:val="auto"/>
          <w:sz w:val="20"/>
          <w:szCs w:val="20"/>
          <w:highlight w:val="none"/>
        </w:rPr>
      </w:pPr>
    </w:p>
    <w:p w14:paraId="0E459BCF">
      <w:pPr>
        <w:spacing w:line="440" w:lineRule="exact"/>
        <w:rPr>
          <w:rFonts w:ascii="Times New Roman" w:hAnsi="Times New Roman" w:eastAsia="黑体" w:cs="Times New Roman"/>
          <w:color w:val="auto"/>
          <w:sz w:val="20"/>
          <w:szCs w:val="20"/>
          <w:highlight w:val="none"/>
        </w:rPr>
      </w:pPr>
    </w:p>
    <w:p w14:paraId="4D8CEC4F">
      <w:pPr>
        <w:spacing w:line="440" w:lineRule="exact"/>
        <w:jc w:val="center"/>
        <w:rPr>
          <w:rFonts w:ascii="Times New Roman" w:hAnsi="Times New Roman" w:eastAsia="黑体" w:cs="Times New Roman"/>
          <w:color w:val="auto"/>
          <w:sz w:val="28"/>
          <w:szCs w:val="28"/>
          <w:highlight w:val="none"/>
        </w:rPr>
      </w:pPr>
      <w:bookmarkStart w:id="73" w:name="_Toc25232_WPSOffice_Level2"/>
      <w:bookmarkStart w:id="74" w:name="_Toc5520_WPSOffice_Level2"/>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(全称、盖单位</w:t>
      </w:r>
      <w:r>
        <w:rPr>
          <w:rFonts w:hint="eastAsia" w:ascii="Times New Roman" w:hAnsi="Times New Roman" w:eastAsia="黑体" w:cs="Times New Roman"/>
          <w:color w:val="auto"/>
          <w:sz w:val="28"/>
          <w:szCs w:val="28"/>
          <w:highlight w:val="none"/>
          <w:u w:val="single"/>
          <w:lang w:val="en-US" w:eastAsia="zh-CN"/>
        </w:rPr>
        <w:t>公</w:t>
      </w:r>
      <w:r>
        <w:rPr>
          <w:rFonts w:ascii="Times New Roman" w:hAnsi="Times New Roman" w:eastAsia="黑体" w:cs="Times New Roman"/>
          <w:color w:val="auto"/>
          <w:sz w:val="28"/>
          <w:szCs w:val="28"/>
          <w:highlight w:val="none"/>
          <w:u w:val="single"/>
        </w:rPr>
        <w:t>章)</w:t>
      </w:r>
      <w:bookmarkEnd w:id="73"/>
      <w:bookmarkEnd w:id="74"/>
      <w:r>
        <w:rPr>
          <w:rFonts w:ascii="Times New Roman" w:hAnsi="Times New Roman" w:eastAsia="黑体" w:cs="Times New Roman"/>
          <w:color w:val="auto"/>
          <w:sz w:val="28"/>
          <w:szCs w:val="28"/>
          <w:highlight w:val="none"/>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highlight w:val="none"/>
        </w:rPr>
      </w:pPr>
    </w:p>
    <w:p w14:paraId="0FF8B430">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bookmarkStart w:id="75" w:name="_Toc20076_WPSOffice_Level2"/>
      <w:bookmarkStart w:id="76" w:name="_Toc31577_WPSOffice_Level2"/>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bookmarkEnd w:id="75"/>
      <w:bookmarkEnd w:id="76"/>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highlight w:val="none"/>
          <w:lang w:val="en-US" w:eastAsia="zh-CN" w:bidi="ar"/>
        </w:rPr>
      </w:pPr>
      <w:r>
        <w:rPr>
          <w:rFonts w:ascii="Times New Roman" w:hAnsi="Times New Roman" w:eastAsia="黑体" w:cs="Times New Roman"/>
          <w:color w:val="auto"/>
          <w:sz w:val="20"/>
          <w:szCs w:val="20"/>
          <w:highlight w:val="none"/>
        </w:rPr>
        <w:br w:type="page"/>
      </w:r>
    </w:p>
    <w:p w14:paraId="5C2FEE3B">
      <w:pPr>
        <w:pStyle w:val="2"/>
        <w:numPr>
          <w:ilvl w:val="0"/>
          <w:numId w:val="0"/>
        </w:numPr>
        <w:rPr>
          <w:rFonts w:hint="eastAsia" w:ascii="黑体" w:hAnsi="黑体" w:eastAsia="黑体" w:cs="黑体"/>
          <w:b/>
          <w:bCs/>
          <w:color w:val="auto"/>
          <w:sz w:val="28"/>
          <w:szCs w:val="28"/>
          <w:highlight w:val="none"/>
        </w:rPr>
      </w:pPr>
      <w:bookmarkStart w:id="77" w:name="_Toc24821"/>
      <w:bookmarkStart w:id="78" w:name="_Toc28341"/>
      <w:bookmarkStart w:id="79" w:name="_Toc29605"/>
      <w:bookmarkStart w:id="80" w:name="_Toc888"/>
      <w:r>
        <w:rPr>
          <w:rFonts w:hint="eastAsia" w:ascii="黑体" w:hAnsi="黑体" w:eastAsia="黑体" w:cs="黑体"/>
          <w:b/>
          <w:bCs/>
          <w:color w:val="auto"/>
          <w:sz w:val="28"/>
          <w:szCs w:val="28"/>
          <w:highlight w:val="none"/>
        </w:rPr>
        <w:t>一、响应函（不含报价）</w:t>
      </w:r>
      <w:bookmarkEnd w:id="68"/>
      <w:bookmarkEnd w:id="77"/>
      <w:bookmarkEnd w:id="78"/>
      <w:bookmarkEnd w:id="79"/>
      <w:bookmarkEnd w:id="80"/>
    </w:p>
    <w:p w14:paraId="49B3464C">
      <w:pPr>
        <w:pStyle w:val="10"/>
        <w:tabs>
          <w:tab w:val="left" w:pos="972"/>
        </w:tabs>
        <w:spacing w:before="77" w:beforeLines="0" w:afterLines="0"/>
        <w:rPr>
          <w:rFonts w:hint="eastAsia" w:ascii="宋体" w:hAnsi="宋体" w:cs="宋体"/>
          <w:color w:val="auto"/>
          <w:sz w:val="24"/>
          <w:szCs w:val="24"/>
          <w:highlight w:val="none"/>
        </w:rPr>
      </w:pPr>
      <w:r>
        <w:rPr>
          <w:rFonts w:hint="eastAsia" w:ascii="宋体" w:hAnsi="宋体" w:cs="宋体" w:eastAsiaTheme="minorEastAsia"/>
          <w:color w:val="auto"/>
          <w:kern w:val="2"/>
          <w:sz w:val="24"/>
          <w:szCs w:val="24"/>
          <w:highlight w:val="none"/>
          <w:u w:val="single"/>
          <w:lang w:val="en-US" w:eastAsia="zh-CN" w:bidi="ar-SA"/>
        </w:rPr>
        <w:t>安徽</w:t>
      </w:r>
      <w:r>
        <w:rPr>
          <w:rFonts w:hint="eastAsia" w:ascii="宋体" w:hAnsi="宋体" w:cs="宋体"/>
          <w:color w:val="auto"/>
          <w:kern w:val="2"/>
          <w:sz w:val="24"/>
          <w:szCs w:val="24"/>
          <w:highlight w:val="none"/>
          <w:u w:val="single"/>
          <w:lang w:val="en-US" w:eastAsia="zh-CN" w:bidi="ar-SA"/>
        </w:rPr>
        <w:t>省经工物资有限公司</w:t>
      </w:r>
      <w:r>
        <w:rPr>
          <w:rFonts w:hint="eastAsia" w:ascii="宋体" w:hAnsi="宋体" w:cs="宋体"/>
          <w:color w:val="auto"/>
          <w:sz w:val="24"/>
          <w:szCs w:val="24"/>
          <w:highlight w:val="none"/>
        </w:rPr>
        <w:t>（采购人名称）：</w:t>
      </w:r>
    </w:p>
    <w:p w14:paraId="7D3E80B2">
      <w:pPr>
        <w:topLinePunct/>
        <w:spacing w:beforeLines="0" w:afterLines="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我方已仔细研究了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（项目名称）</w:t>
      </w:r>
      <w:r>
        <w:rPr>
          <w:rFonts w:hint="eastAsia" w:ascii="宋体" w:hAnsi="宋体" w:cs="宋体"/>
          <w:color w:val="auto"/>
          <w:sz w:val="24"/>
          <w:szCs w:val="24"/>
          <w:highlight w:val="none"/>
        </w:rPr>
        <w:t>响应文件的全部内容，愿意以</w:t>
      </w:r>
      <w:r>
        <w:rPr>
          <w:rFonts w:hint="eastAsia" w:ascii="宋体" w:hAnsi="宋体" w:cs="宋体"/>
          <w:color w:val="auto"/>
          <w:sz w:val="24"/>
          <w:szCs w:val="24"/>
          <w:highlight w:val="none"/>
          <w:u w:val="single"/>
        </w:rPr>
        <w:t>第二信封报价文件响应函中的响应总报价</w:t>
      </w:r>
      <w:r>
        <w:rPr>
          <w:rFonts w:hint="eastAsia" w:ascii="宋体" w:hAnsi="宋体" w:cs="宋体"/>
          <w:color w:val="auto"/>
          <w:sz w:val="24"/>
          <w:szCs w:val="24"/>
          <w:highlight w:val="none"/>
        </w:rPr>
        <w:t>提供响应文件要求的货物、技术服务和质保售后服务等，并按合同约定履行义务。</w:t>
      </w:r>
    </w:p>
    <w:p w14:paraId="7E861916">
      <w:pPr>
        <w:pStyle w:val="40"/>
        <w:tabs>
          <w:tab w:val="left" w:pos="1130"/>
        </w:tabs>
        <w:spacing w:beforeLines="0" w:afterLines="0" w:line="480" w:lineRule="exact"/>
        <w:ind w:lef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我方承诺在</w:t>
      </w:r>
      <w:r>
        <w:rPr>
          <w:rFonts w:hint="eastAsia" w:ascii="宋体" w:hAnsi="宋体" w:eastAsia="宋体" w:cs="宋体"/>
          <w:color w:val="auto"/>
          <w:sz w:val="24"/>
          <w:szCs w:val="24"/>
          <w:highlight w:val="none"/>
          <w:lang w:val="en-US"/>
        </w:rPr>
        <w:t>采购文件</w:t>
      </w:r>
      <w:r>
        <w:rPr>
          <w:rFonts w:hint="eastAsia" w:ascii="宋体" w:hAnsi="宋体" w:eastAsia="宋体" w:cs="宋体"/>
          <w:color w:val="auto"/>
          <w:sz w:val="24"/>
          <w:szCs w:val="24"/>
          <w:highlight w:val="none"/>
        </w:rPr>
        <w:t>规定的响应有效期内不撤销响应文件。</w:t>
      </w:r>
    </w:p>
    <w:p w14:paraId="4A5D41F9">
      <w:pPr>
        <w:pStyle w:val="40"/>
        <w:tabs>
          <w:tab w:val="left" w:pos="1130"/>
        </w:tabs>
        <w:spacing w:beforeLines="0" w:afterLines="0" w:line="480" w:lineRule="exact"/>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2.材料</w:t>
      </w:r>
      <w:r>
        <w:rPr>
          <w:rFonts w:hint="eastAsia" w:ascii="宋体" w:hAnsi="宋体" w:eastAsia="宋体" w:cs="宋体"/>
          <w:color w:val="auto"/>
          <w:sz w:val="24"/>
          <w:szCs w:val="24"/>
          <w:highlight w:val="none"/>
        </w:rPr>
        <w:t>质量：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交货</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p>
    <w:p w14:paraId="5DED744C">
      <w:pPr>
        <w:pStyle w:val="40"/>
        <w:tabs>
          <w:tab w:val="left" w:pos="1130"/>
        </w:tabs>
        <w:spacing w:beforeLines="0" w:afterLines="0" w:line="480" w:lineRule="exact"/>
        <w:ind w:lef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.我方将与本响应函一起提交响应保证金，且承诺响应保证金转出账户真实有效。</w:t>
      </w:r>
    </w:p>
    <w:p w14:paraId="42E57F11">
      <w:pPr>
        <w:pStyle w:val="40"/>
        <w:tabs>
          <w:tab w:val="left" w:pos="973"/>
        </w:tabs>
        <w:spacing w:beforeLines="0" w:afterLines="0" w:line="480" w:lineRule="exact"/>
        <w:ind w:left="560" w:firstLine="0"/>
        <w:rPr>
          <w:rFonts w:hint="eastAsia"/>
          <w:color w:val="auto"/>
          <w:sz w:val="24"/>
          <w:szCs w:val="24"/>
          <w:highlight w:val="none"/>
        </w:rPr>
      </w:pPr>
      <w:r>
        <w:rPr>
          <w:rFonts w:hint="eastAsia"/>
          <w:color w:val="auto"/>
          <w:sz w:val="24"/>
          <w:szCs w:val="24"/>
          <w:highlight w:val="none"/>
          <w:lang w:val="en-US"/>
        </w:rPr>
        <w:t>4</w:t>
      </w:r>
      <w:r>
        <w:rPr>
          <w:rFonts w:hint="eastAsia"/>
          <w:color w:val="auto"/>
          <w:sz w:val="24"/>
          <w:szCs w:val="24"/>
          <w:highlight w:val="none"/>
        </w:rPr>
        <w:t>.如我方</w:t>
      </w:r>
      <w:r>
        <w:rPr>
          <w:rFonts w:hint="eastAsia"/>
          <w:color w:val="auto"/>
          <w:sz w:val="24"/>
          <w:szCs w:val="24"/>
          <w:highlight w:val="none"/>
          <w:lang w:val="en-US"/>
        </w:rPr>
        <w:t>成交</w:t>
      </w:r>
      <w:r>
        <w:rPr>
          <w:rFonts w:hint="eastAsia"/>
          <w:color w:val="auto"/>
          <w:sz w:val="24"/>
          <w:szCs w:val="24"/>
          <w:highlight w:val="none"/>
        </w:rPr>
        <w:t>，我方承诺：</w:t>
      </w:r>
    </w:p>
    <w:p w14:paraId="1B113C16">
      <w:pPr>
        <w:pStyle w:val="40"/>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1</w:t>
      </w:r>
      <w:r>
        <w:rPr>
          <w:rFonts w:hint="eastAsia"/>
          <w:color w:val="auto"/>
          <w:sz w:val="24"/>
          <w:szCs w:val="24"/>
          <w:highlight w:val="none"/>
        </w:rPr>
        <w:t>）在收到</w:t>
      </w:r>
      <w:r>
        <w:rPr>
          <w:rFonts w:hint="eastAsia"/>
          <w:color w:val="auto"/>
          <w:sz w:val="24"/>
          <w:szCs w:val="24"/>
          <w:highlight w:val="none"/>
          <w:lang w:val="en-US"/>
        </w:rPr>
        <w:t>成交</w:t>
      </w:r>
      <w:r>
        <w:rPr>
          <w:rFonts w:hint="eastAsia"/>
          <w:color w:val="auto"/>
          <w:sz w:val="24"/>
          <w:szCs w:val="24"/>
          <w:highlight w:val="none"/>
        </w:rPr>
        <w:t>通知书后，在</w:t>
      </w:r>
      <w:r>
        <w:rPr>
          <w:rFonts w:hint="eastAsia"/>
          <w:color w:val="auto"/>
          <w:sz w:val="24"/>
          <w:szCs w:val="24"/>
          <w:highlight w:val="none"/>
          <w:lang w:val="en-US"/>
        </w:rPr>
        <w:t>成交</w:t>
      </w:r>
      <w:r>
        <w:rPr>
          <w:rFonts w:hint="eastAsia"/>
          <w:color w:val="auto"/>
          <w:sz w:val="24"/>
          <w:szCs w:val="24"/>
          <w:highlight w:val="none"/>
        </w:rPr>
        <w:t>通知书规定的期限内与你方签订合同；</w:t>
      </w:r>
    </w:p>
    <w:p w14:paraId="5D6A18FB">
      <w:pPr>
        <w:pStyle w:val="40"/>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2</w:t>
      </w:r>
      <w:r>
        <w:rPr>
          <w:rFonts w:hint="eastAsia"/>
          <w:color w:val="auto"/>
          <w:sz w:val="24"/>
          <w:szCs w:val="24"/>
          <w:highlight w:val="none"/>
        </w:rPr>
        <w:t>）在签订合同时不向你方提出附加条件；</w:t>
      </w:r>
    </w:p>
    <w:p w14:paraId="3E593700">
      <w:pPr>
        <w:pStyle w:val="40"/>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3</w:t>
      </w:r>
      <w:r>
        <w:rPr>
          <w:rFonts w:hint="eastAsia"/>
          <w:color w:val="auto"/>
          <w:sz w:val="24"/>
          <w:szCs w:val="24"/>
          <w:highlight w:val="none"/>
        </w:rPr>
        <w:t>）按照</w:t>
      </w:r>
      <w:r>
        <w:rPr>
          <w:rFonts w:hint="eastAsia"/>
          <w:color w:val="auto"/>
          <w:sz w:val="24"/>
          <w:szCs w:val="24"/>
          <w:highlight w:val="none"/>
          <w:lang w:val="en-US"/>
        </w:rPr>
        <w:t>采购</w:t>
      </w:r>
      <w:r>
        <w:rPr>
          <w:rFonts w:hint="eastAsia"/>
          <w:color w:val="auto"/>
          <w:sz w:val="24"/>
          <w:szCs w:val="24"/>
          <w:highlight w:val="none"/>
        </w:rPr>
        <w:t>文件要求提交履约保证金；</w:t>
      </w:r>
    </w:p>
    <w:p w14:paraId="6FDC8268">
      <w:pPr>
        <w:pStyle w:val="40"/>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4</w:t>
      </w:r>
      <w:r>
        <w:rPr>
          <w:rFonts w:hint="eastAsia"/>
          <w:color w:val="auto"/>
          <w:sz w:val="24"/>
          <w:szCs w:val="24"/>
          <w:highlight w:val="none"/>
        </w:rPr>
        <w:t>）在合同约定的期限内完成合同规定的全部义务；</w:t>
      </w:r>
    </w:p>
    <w:p w14:paraId="0F3A91EB">
      <w:pPr>
        <w:pStyle w:val="40"/>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5</w:t>
      </w:r>
      <w:r>
        <w:rPr>
          <w:rFonts w:hint="eastAsia"/>
          <w:color w:val="auto"/>
          <w:sz w:val="24"/>
          <w:szCs w:val="24"/>
          <w:highlight w:val="none"/>
        </w:rPr>
        <w:t>）在双方进行合同谈判之前，我方将按照响应文件中填报人员及</w:t>
      </w:r>
      <w:r>
        <w:rPr>
          <w:rFonts w:hint="eastAsia"/>
          <w:color w:val="auto"/>
          <w:sz w:val="24"/>
          <w:szCs w:val="24"/>
          <w:highlight w:val="none"/>
          <w:lang w:val="en-US"/>
        </w:rPr>
        <w:t>采购</w:t>
      </w:r>
      <w:r>
        <w:rPr>
          <w:rFonts w:hint="eastAsia"/>
          <w:color w:val="auto"/>
          <w:sz w:val="24"/>
          <w:szCs w:val="24"/>
          <w:highlight w:val="none"/>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highlight w:val="none"/>
          <w:lang w:val="en-US"/>
        </w:rPr>
        <w:t>采购</w:t>
      </w:r>
      <w:r>
        <w:rPr>
          <w:rFonts w:hint="eastAsia"/>
          <w:color w:val="auto"/>
          <w:sz w:val="24"/>
          <w:szCs w:val="24"/>
          <w:highlight w:val="none"/>
        </w:rPr>
        <w:t>文件另有约定，我方派驻本包段的项目</w:t>
      </w:r>
      <w:r>
        <w:rPr>
          <w:rFonts w:hint="eastAsia"/>
          <w:color w:val="auto"/>
          <w:sz w:val="24"/>
          <w:szCs w:val="24"/>
          <w:highlight w:val="none"/>
          <w:lang w:val="en-US"/>
        </w:rPr>
        <w:t>负责人</w:t>
      </w:r>
      <w:r>
        <w:rPr>
          <w:rFonts w:hint="eastAsia"/>
          <w:color w:val="auto"/>
          <w:sz w:val="24"/>
          <w:szCs w:val="24"/>
          <w:highlight w:val="none"/>
        </w:rPr>
        <w:t>及项目管理机构主要人员均为我单位在职人员（不含外聘人员、返聘人员、临时聘用人员）。如我方拟派驻的人员和设备不满足合同附件要求，你方有权取消我方成交资格；</w:t>
      </w:r>
    </w:p>
    <w:p w14:paraId="67CCE1D2">
      <w:pPr>
        <w:pStyle w:val="40"/>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lang w:val="en-US"/>
        </w:rPr>
        <w:t>5.</w:t>
      </w:r>
      <w:r>
        <w:rPr>
          <w:rFonts w:hint="eastAsia"/>
          <w:color w:val="auto"/>
          <w:sz w:val="24"/>
          <w:szCs w:val="24"/>
          <w:highlight w:val="none"/>
        </w:rPr>
        <w:t>我方在此声明，所递交的投标文件及有关资料内容完整、真实和准确，符合资格审查条件（信誉最低要求），且不存在第三章“评审办法”中评审办法前附表规定的任何一种情形。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highlight w:val="none"/>
        </w:rPr>
      </w:pPr>
      <w:r>
        <w:rPr>
          <w:rFonts w:hint="eastAsia" w:ascii="宋体" w:hAnsi="宋体" w:cs="宋体"/>
          <w:color w:val="auto"/>
          <w:w w:val="99"/>
          <w:sz w:val="24"/>
          <w:szCs w:val="24"/>
          <w:highlight w:val="none"/>
        </w:rPr>
        <w:t xml:space="preserve">7. </w:t>
      </w:r>
      <w:r>
        <w:rPr>
          <w:rFonts w:hint="eastAsia" w:ascii="宋体" w:hAnsi="宋体" w:cs="宋体"/>
          <w:color w:val="auto"/>
          <w:w w:val="99"/>
          <w:sz w:val="24"/>
          <w:szCs w:val="24"/>
          <w:highlight w:val="none"/>
          <w:u w:val="single"/>
        </w:rPr>
        <w:t xml:space="preserve">      </w:t>
      </w:r>
      <w:r>
        <w:rPr>
          <w:rFonts w:hint="eastAsia" w:ascii="宋体" w:hAnsi="宋体" w:cs="宋体"/>
          <w:color w:val="auto"/>
          <w:sz w:val="24"/>
          <w:szCs w:val="24"/>
          <w:highlight w:val="none"/>
        </w:rPr>
        <w:t>（其他补充说明）。</w:t>
      </w:r>
    </w:p>
    <w:p w14:paraId="014D3567">
      <w:pPr>
        <w:pStyle w:val="10"/>
        <w:tabs>
          <w:tab w:val="left" w:pos="6379"/>
        </w:tabs>
        <w:spacing w:beforeLines="0" w:afterLines="0" w:line="480" w:lineRule="exact"/>
        <w:ind w:firstLine="480" w:firstLineChars="200"/>
        <w:rPr>
          <w:rFonts w:hint="eastAsia" w:ascii="宋体" w:hAnsi="宋体" w:cs="宋体"/>
          <w:color w:val="auto"/>
          <w:sz w:val="24"/>
          <w:szCs w:val="24"/>
          <w:highlight w:val="none"/>
        </w:rPr>
      </w:pPr>
    </w:p>
    <w:p w14:paraId="4771CF22">
      <w:pPr>
        <w:pStyle w:val="15"/>
        <w:spacing w:beforeLines="0" w:afterLines="0"/>
        <w:rPr>
          <w:rFonts w:hint="eastAsia"/>
          <w:color w:val="auto"/>
          <w:sz w:val="18"/>
          <w:szCs w:val="24"/>
          <w:highlight w:val="none"/>
        </w:rPr>
      </w:pPr>
    </w:p>
    <w:p w14:paraId="4368A36F">
      <w:pPr>
        <w:pStyle w:val="16"/>
        <w:spacing w:beforeLines="0" w:afterLines="0"/>
        <w:rPr>
          <w:rFonts w:hint="eastAsia" w:eastAsia="宋体"/>
          <w:color w:val="auto"/>
          <w:sz w:val="21"/>
          <w:szCs w:val="21"/>
          <w:highlight w:val="none"/>
        </w:rPr>
      </w:pPr>
    </w:p>
    <w:p w14:paraId="24B7FA17">
      <w:pPr>
        <w:rPr>
          <w:rFonts w:hint="eastAsia"/>
          <w:color w:val="auto"/>
          <w:highlight w:val="none"/>
        </w:rPr>
      </w:pPr>
    </w:p>
    <w:p w14:paraId="76B08196">
      <w:pPr>
        <w:pStyle w:val="10"/>
        <w:tabs>
          <w:tab w:val="left" w:pos="6379"/>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  应  商 ：</w:t>
      </w:r>
      <w:bookmarkStart w:id="81" w:name="_Hlk122530524"/>
      <w:r>
        <w:rPr>
          <w:rFonts w:hint="eastAsia" w:ascii="宋体" w:hAnsi="宋体" w:cs="宋体"/>
          <w:color w:val="auto"/>
          <w:sz w:val="24"/>
          <w:szCs w:val="24"/>
          <w:highlight w:val="none"/>
          <w:u w:val="single"/>
        </w:rPr>
        <w:t xml:space="preserve">                         </w:t>
      </w:r>
      <w:bookmarkEnd w:id="81"/>
      <w:r>
        <w:rPr>
          <w:rFonts w:hint="eastAsia" w:ascii="宋体" w:hAnsi="宋体" w:cs="宋体"/>
          <w:color w:val="auto"/>
          <w:sz w:val="24"/>
          <w:szCs w:val="24"/>
          <w:highlight w:val="none"/>
        </w:rPr>
        <w:t>（盖单位</w:t>
      </w:r>
      <w:r>
        <w:rPr>
          <w:rFonts w:hint="eastAsia" w:ascii="宋体" w:hAnsi="宋体" w:cs="宋体"/>
          <w:color w:val="auto"/>
          <w:sz w:val="24"/>
          <w:szCs w:val="24"/>
          <w:highlight w:val="none"/>
          <w:lang w:val="en-US" w:eastAsia="zh-CN"/>
        </w:rPr>
        <w:t>公</w:t>
      </w:r>
      <w:r>
        <w:rPr>
          <w:rFonts w:hint="eastAsia" w:ascii="宋体" w:hAnsi="宋体" w:cs="宋体"/>
          <w:color w:val="auto"/>
          <w:sz w:val="24"/>
          <w:szCs w:val="24"/>
          <w:highlight w:val="none"/>
        </w:rPr>
        <w:t>章）</w:t>
      </w:r>
    </w:p>
    <w:p w14:paraId="7CB2BE99">
      <w:pPr>
        <w:pStyle w:val="10"/>
        <w:tabs>
          <w:tab w:val="left" w:pos="6379"/>
        </w:tabs>
        <w:spacing w:beforeLines="0" w:afterLines="0"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（签字或盖法人章）</w:t>
      </w:r>
    </w:p>
    <w:p w14:paraId="49877707">
      <w:pPr>
        <w:pStyle w:val="10"/>
        <w:tabs>
          <w:tab w:val="left" w:leader="underscore" w:pos="5076"/>
        </w:tabs>
        <w:spacing w:before="3" w:beforeLines="0" w:afterLines="0" w:line="520" w:lineRule="exact"/>
        <w:ind w:right="208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 期 ：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年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3D078AD">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9135F39">
      <w:pPr>
        <w:pStyle w:val="15"/>
        <w:widowControl/>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rPr>
        <w:t xml:space="preserve"> </w:t>
      </w:r>
    </w:p>
    <w:p w14:paraId="6C554DC4">
      <w:pPr>
        <w:pStyle w:val="19"/>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highlight w:val="none"/>
        </w:rPr>
      </w:pPr>
      <w:r>
        <w:rPr>
          <w:rFonts w:hint="default" w:ascii="Times New Roman" w:hAnsi="Times New Roman" w:eastAsia="黑体" w:cs="Times New Roman"/>
          <w:i/>
          <w:iCs/>
          <w:color w:val="auto"/>
          <w:kern w:val="2"/>
          <w:sz w:val="28"/>
          <w:szCs w:val="28"/>
          <w:highlight w:val="none"/>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1E3B24D">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65087D7E">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p>
    <w:p w14:paraId="631118F8">
      <w:pPr>
        <w:widowControl/>
        <w:spacing w:beforeLines="0" w:afterLines="0" w:line="500" w:lineRule="exact"/>
        <w:jc w:val="center"/>
        <w:rPr>
          <w:rFonts w:hint="eastAsia" w:ascii="黑体" w:hAnsi="黑体" w:eastAsia="黑体" w:cs="黑体"/>
          <w:sz w:val="28"/>
          <w:szCs w:val="28"/>
        </w:rPr>
      </w:pPr>
      <w:r>
        <w:rPr>
          <w:rFonts w:hint="eastAsia" w:ascii="黑体" w:hAnsi="黑体" w:eastAsia="黑体" w:cs="黑体"/>
          <w:sz w:val="28"/>
          <w:szCs w:val="28"/>
        </w:rPr>
        <w:t>确认封样产品承诺书</w:t>
      </w:r>
    </w:p>
    <w:p w14:paraId="372C374E">
      <w:pPr>
        <w:widowControl/>
        <w:spacing w:beforeLines="0" w:afterLines="0" w:line="500" w:lineRule="exact"/>
        <w:jc w:val="center"/>
        <w:rPr>
          <w:rFonts w:hint="eastAsia" w:ascii="方正小标宋简体" w:hAnsi="方正小标宋简体" w:eastAsia="方正小标宋简体" w:cs="方正小标宋简体"/>
          <w:sz w:val="44"/>
          <w:szCs w:val="44"/>
        </w:rPr>
      </w:pPr>
    </w:p>
    <w:p w14:paraId="04D533A9">
      <w:pPr>
        <w:spacing w:beforeLines="0" w:afterLines="0"/>
        <w:rPr>
          <w:rFonts w:hint="eastAsia" w:ascii="宋体" w:hAnsi="宋体" w:cs="宋体"/>
          <w:sz w:val="24"/>
          <w:szCs w:val="24"/>
        </w:rPr>
      </w:pPr>
      <w:r>
        <w:rPr>
          <w:rFonts w:hint="eastAsia" w:ascii="宋体" w:hAnsi="宋体" w:cs="宋体"/>
          <w:sz w:val="24"/>
          <w:szCs w:val="24"/>
        </w:rPr>
        <w:t>安徽省经工物资有限公司：</w:t>
      </w:r>
    </w:p>
    <w:p w14:paraId="0CE1CCE9">
      <w:pPr>
        <w:spacing w:beforeLines="0" w:afterLines="0"/>
        <w:ind w:firstLine="480" w:firstLineChars="200"/>
        <w:rPr>
          <w:rFonts w:hint="eastAsia" w:ascii="宋体" w:hAnsi="宋体" w:cs="宋体"/>
          <w:sz w:val="24"/>
          <w:szCs w:val="24"/>
        </w:rPr>
      </w:pPr>
      <w:r>
        <w:rPr>
          <w:rFonts w:hint="eastAsia" w:ascii="宋体" w:hAnsi="宋体" w:cs="宋体"/>
          <w:sz w:val="24"/>
          <w:szCs w:val="24"/>
        </w:rPr>
        <w:t>1.我方确认并充分知悉了</w:t>
      </w:r>
      <w:r>
        <w:rPr>
          <w:rFonts w:hint="eastAsia" w:ascii="宋体" w:hAnsi="宋体" w:cs="宋体"/>
          <w:sz w:val="24"/>
          <w:szCs w:val="24"/>
          <w:u w:val="single"/>
        </w:rPr>
        <w:t xml:space="preserve">         </w:t>
      </w:r>
      <w:r>
        <w:rPr>
          <w:rFonts w:hint="eastAsia" w:ascii="宋体" w:hAnsi="宋体" w:cs="宋体"/>
          <w:sz w:val="24"/>
          <w:szCs w:val="24"/>
        </w:rPr>
        <w:t>(项目名称)采购人提供的</w:t>
      </w:r>
      <w:r>
        <w:rPr>
          <w:rFonts w:hint="eastAsia" w:ascii="宋体" w:hAnsi="宋体" w:cs="宋体"/>
          <w:sz w:val="24"/>
          <w:szCs w:val="24"/>
          <w:u w:val="single"/>
        </w:rPr>
        <w:t xml:space="preserve">     </w:t>
      </w:r>
      <w:r>
        <w:rPr>
          <w:rFonts w:hint="eastAsia" w:ascii="宋体" w:hAnsi="宋体" w:cs="宋体"/>
          <w:sz w:val="24"/>
          <w:szCs w:val="24"/>
        </w:rPr>
        <w:t>样品规格、材质、尺寸、颜色、工艺等要求，（包括但不限于以上内容），并按样品要求报价。</w:t>
      </w:r>
    </w:p>
    <w:p w14:paraId="51E22858">
      <w:pPr>
        <w:spacing w:beforeLines="0" w:afterLines="0"/>
        <w:ind w:firstLine="480" w:firstLineChars="200"/>
        <w:rPr>
          <w:rFonts w:hint="eastAsia" w:ascii="宋体" w:hAnsi="宋体" w:cs="宋体"/>
          <w:sz w:val="24"/>
          <w:szCs w:val="24"/>
        </w:rPr>
      </w:pPr>
      <w:r>
        <w:rPr>
          <w:rFonts w:hint="eastAsia" w:ascii="宋体" w:hAnsi="宋体" w:cs="宋体"/>
          <w:sz w:val="24"/>
          <w:szCs w:val="24"/>
        </w:rPr>
        <w:t>2.如我方成交，我方将按采购人提供的样品要求进行送样封样，并承诺后续生产的所有产品符合样品的质量标准。若送样封样不合格的，采购人有权取消我方成交候选人资格。</w:t>
      </w:r>
    </w:p>
    <w:p w14:paraId="7492D06E">
      <w:pPr>
        <w:spacing w:beforeLines="0" w:afterLines="0"/>
        <w:ind w:firstLine="480" w:firstLineChars="200"/>
        <w:rPr>
          <w:rFonts w:hint="eastAsia" w:ascii="宋体" w:hAnsi="宋体" w:cs="宋体"/>
          <w:sz w:val="24"/>
          <w:szCs w:val="24"/>
        </w:rPr>
      </w:pPr>
      <w:r>
        <w:rPr>
          <w:rFonts w:hint="eastAsia" w:ascii="宋体" w:hAnsi="宋体" w:cs="宋体"/>
          <w:sz w:val="24"/>
          <w:szCs w:val="24"/>
        </w:rPr>
        <w:t>3.若因我方原因导致供应产品与封样不符，我方免费返工、更换或退货，并承担由此引发的采购人全部损失及赔偿款、罚款和向其他第三方承担的所有赔偿款项等。</w:t>
      </w:r>
    </w:p>
    <w:p w14:paraId="15237AD3">
      <w:pPr>
        <w:spacing w:beforeLines="0" w:afterLines="0" w:line="520" w:lineRule="exact"/>
        <w:ind w:firstLine="480" w:firstLineChars="200"/>
        <w:rPr>
          <w:rFonts w:hint="eastAsia" w:ascii="宋体" w:hAnsi="宋体" w:cs="宋体"/>
          <w:sz w:val="24"/>
          <w:szCs w:val="24"/>
        </w:rPr>
      </w:pPr>
    </w:p>
    <w:p w14:paraId="59981B40">
      <w:pPr>
        <w:spacing w:beforeLines="0" w:afterLines="0" w:line="520" w:lineRule="exact"/>
        <w:ind w:firstLine="480" w:firstLineChars="200"/>
        <w:rPr>
          <w:rFonts w:hint="eastAsia" w:ascii="宋体" w:hAnsi="宋体" w:cs="宋体"/>
          <w:sz w:val="24"/>
          <w:szCs w:val="24"/>
        </w:rPr>
      </w:pPr>
    </w:p>
    <w:p w14:paraId="2B9DCD58">
      <w:pPr>
        <w:spacing w:beforeLines="0" w:afterLines="0" w:line="520" w:lineRule="exact"/>
        <w:ind w:firstLine="480" w:firstLineChars="200"/>
        <w:rPr>
          <w:rFonts w:hint="eastAsia" w:ascii="宋体" w:hAnsi="宋体" w:cs="宋体"/>
          <w:sz w:val="24"/>
          <w:szCs w:val="24"/>
        </w:rPr>
      </w:pPr>
    </w:p>
    <w:p w14:paraId="30DD4457">
      <w:pPr>
        <w:spacing w:beforeLines="0" w:afterLines="0" w:line="520" w:lineRule="exact"/>
        <w:ind w:firstLine="480" w:firstLineChars="200"/>
        <w:rPr>
          <w:rFonts w:hint="eastAsia" w:ascii="宋体" w:hAnsi="宋体" w:cs="宋体"/>
          <w:sz w:val="24"/>
          <w:szCs w:val="24"/>
        </w:rPr>
      </w:pPr>
    </w:p>
    <w:p w14:paraId="51C8B3BD">
      <w:pPr>
        <w:spacing w:beforeLines="0" w:afterLines="0" w:line="520" w:lineRule="exact"/>
        <w:ind w:firstLine="4080" w:firstLineChars="1700"/>
        <w:rPr>
          <w:rFonts w:hint="eastAsia"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(盖单位章)</w:t>
      </w:r>
    </w:p>
    <w:p w14:paraId="7252023A">
      <w:pPr>
        <w:spacing w:beforeLines="0" w:afterLines="0" w:line="520" w:lineRule="exact"/>
        <w:ind w:left="2873" w:leftChars="1368"/>
        <w:jc w:val="right"/>
        <w:rPr>
          <w:rFonts w:hint="eastAsia" w:ascii="宋体" w:hAnsi="宋体" w:cs="宋体"/>
          <w:sz w:val="24"/>
          <w:szCs w:val="24"/>
        </w:rPr>
      </w:pPr>
      <w:r>
        <w:rPr>
          <w:rFonts w:hint="eastAsia" w:ascii="宋体" w:hAnsi="宋体" w:cs="宋体"/>
          <w:sz w:val="24"/>
          <w:szCs w:val="24"/>
        </w:rPr>
        <w:t>法定代表人或委托代理人：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(签名)</w:t>
      </w:r>
    </w:p>
    <w:p w14:paraId="5C940A56">
      <w:pPr>
        <w:spacing w:beforeLines="0" w:afterLines="0" w:line="520" w:lineRule="exact"/>
        <w:ind w:left="2873" w:leftChars="1368" w:firstLine="1680" w:firstLineChars="700"/>
        <w:rPr>
          <w:rFonts w:hint="eastAsia" w:ascii="宋体" w:hAnsi="宋体" w:cs="宋体"/>
          <w:sz w:val="24"/>
          <w:szCs w:val="24"/>
        </w:rPr>
      </w:pPr>
      <w:r>
        <w:rPr>
          <w:rFonts w:hint="eastAsia" w:ascii="宋体" w:hAnsi="宋体" w:cs="宋体"/>
          <w:sz w:val="24"/>
          <w:szCs w:val="24"/>
        </w:rPr>
        <w:t>地    址：</w:t>
      </w:r>
      <w:r>
        <w:rPr>
          <w:rFonts w:hint="eastAsia" w:ascii="宋体" w:hAnsi="宋体" w:cs="宋体"/>
          <w:sz w:val="24"/>
          <w:szCs w:val="24"/>
          <w:u w:val="single"/>
        </w:rPr>
        <w:t xml:space="preserve">                     </w:t>
      </w:r>
      <w:r>
        <w:rPr>
          <w:rFonts w:hint="eastAsia" w:ascii="宋体" w:hAnsi="宋体" w:cs="宋体"/>
          <w:sz w:val="24"/>
          <w:szCs w:val="24"/>
        </w:rPr>
        <w:t xml:space="preserve">                                                  </w:t>
      </w:r>
    </w:p>
    <w:p w14:paraId="5797A359">
      <w:pPr>
        <w:pStyle w:val="22"/>
        <w:tabs>
          <w:tab w:val="left" w:pos="1078"/>
          <w:tab w:val="left" w:pos="1176"/>
          <w:tab w:val="left" w:pos="1638"/>
          <w:tab w:val="left" w:pos="3920"/>
          <w:tab w:val="left" w:pos="5670"/>
        </w:tabs>
        <w:spacing w:beforeLines="0" w:afterLines="0"/>
        <w:jc w:val="righ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  </w:t>
      </w:r>
    </w:p>
    <w:p w14:paraId="0212AC62">
      <w:pPr>
        <w:spacing w:beforeLines="0" w:afterLines="0"/>
        <w:rPr>
          <w:rFonts w:hint="eastAsia" w:ascii="宋体" w:hAnsi="宋体" w:cs="宋体"/>
          <w:sz w:val="24"/>
          <w:szCs w:val="24"/>
        </w:rPr>
      </w:pPr>
    </w:p>
    <w:p w14:paraId="588C1FFC">
      <w:pPr>
        <w:spacing w:beforeLines="0" w:afterLines="0"/>
        <w:rPr>
          <w:rFonts w:hint="eastAsia" w:ascii="Times New Roman" w:hAnsi="Times New Roman" w:eastAsia="Times New Roman"/>
          <w:color w:val="auto"/>
          <w:sz w:val="28"/>
          <w:szCs w:val="28"/>
        </w:rPr>
      </w:pPr>
    </w:p>
    <w:p w14:paraId="0A38EC7B">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p>
    <w:p w14:paraId="3E9B1DA1">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p>
    <w:p w14:paraId="1902EDB0">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p>
    <w:p w14:paraId="70CFB910">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p>
    <w:p w14:paraId="1126C0FE">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p>
    <w:p w14:paraId="0C53FF84">
      <w:pPr>
        <w:pStyle w:val="2"/>
        <w:numPr>
          <w:ilvl w:val="0"/>
          <w:numId w:val="0"/>
        </w:numPr>
        <w:rPr>
          <w:rFonts w:hint="default" w:ascii="黑体" w:hAnsi="黑体" w:eastAsia="黑体" w:cs="黑体"/>
          <w:b w:val="0"/>
          <w:bCs w:val="0"/>
          <w:color w:val="auto"/>
          <w:sz w:val="28"/>
          <w:szCs w:val="28"/>
          <w:highlight w:val="none"/>
        </w:rPr>
      </w:pPr>
      <w:bookmarkStart w:id="82" w:name="_Toc23378"/>
      <w:bookmarkStart w:id="83" w:name="_Toc21764"/>
      <w:bookmarkStart w:id="84" w:name="_Toc32259"/>
      <w:bookmarkStart w:id="85" w:name="_Toc10313"/>
      <w:r>
        <w:rPr>
          <w:rFonts w:hint="eastAsia" w:ascii="黑体" w:hAnsi="宋体" w:eastAsia="黑体" w:cs="黑体"/>
          <w:b w:val="0"/>
          <w:bCs w:val="0"/>
          <w:color w:val="auto"/>
          <w:kern w:val="2"/>
          <w:sz w:val="28"/>
          <w:szCs w:val="28"/>
          <w:highlight w:val="none"/>
          <w:lang w:val="en-US" w:eastAsia="zh-CN" w:bidi="ar"/>
        </w:rPr>
        <w:t>二、法定代表人身份证明及授权委托书</w:t>
      </w:r>
      <w:bookmarkEnd w:id="82"/>
      <w:bookmarkEnd w:id="83"/>
      <w:bookmarkEnd w:id="84"/>
      <w:bookmarkEnd w:id="85"/>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2-1 </w:t>
      </w:r>
      <w:r>
        <w:rPr>
          <w:rFonts w:hint="eastAsia" w:ascii="黑体" w:hAnsi="宋体" w:eastAsia="黑体" w:cs="黑体"/>
          <w:bCs/>
          <w:color w:val="auto"/>
          <w:kern w:val="2"/>
          <w:sz w:val="28"/>
          <w:szCs w:val="28"/>
          <w:highlight w:val="none"/>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bCs/>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default" w:ascii="Times New Roman" w:hAnsi="Times New Roman" w:eastAsia="宋体" w:cs="Times New Roman"/>
          <w:color w:val="auto"/>
          <w:kern w:val="2"/>
          <w:sz w:val="24"/>
          <w:szCs w:val="24"/>
          <w:highlight w:val="none"/>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highlight w:val="none"/>
        </w:rPr>
      </w:pPr>
      <w:r>
        <w:rPr>
          <w:rFonts w:hint="default" w:ascii="Times New Roman" w:hAnsi="Times New Roman" w:eastAsia="黑体" w:cs="Times New Roman"/>
          <w:bCs/>
          <w:color w:val="auto"/>
          <w:kern w:val="2"/>
          <w:sz w:val="21"/>
          <w:szCs w:val="21"/>
          <w:highlight w:val="none"/>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4"/>
          <w:szCs w:val="24"/>
          <w:highlight w:val="none"/>
          <w:lang w:val="en-US" w:eastAsia="zh-CN" w:bidi="ar"/>
        </w:rPr>
        <w:br w:type="page"/>
      </w:r>
      <w:r>
        <w:rPr>
          <w:rFonts w:hint="default" w:ascii="Times New Roman" w:hAnsi="Times New Roman" w:eastAsia="黑体" w:cs="Times New Roman"/>
          <w:bCs/>
          <w:color w:val="auto"/>
          <w:kern w:val="2"/>
          <w:sz w:val="28"/>
          <w:szCs w:val="28"/>
          <w:highlight w:val="none"/>
          <w:lang w:val="en-US" w:eastAsia="zh-CN" w:bidi="ar"/>
        </w:rPr>
        <w:t xml:space="preserve">2-2 </w:t>
      </w:r>
      <w:r>
        <w:rPr>
          <w:rFonts w:hint="eastAsia" w:ascii="黑体" w:hAnsi="宋体" w:eastAsia="黑体" w:cs="黑体"/>
          <w:color w:val="auto"/>
          <w:kern w:val="2"/>
          <w:sz w:val="28"/>
          <w:szCs w:val="28"/>
          <w:highlight w:val="none"/>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为我方代理人。代理人根据授权，以我方名义签署、澄清、说明、补正、递交、撤回、修改</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项目名称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（包段）</w:t>
      </w:r>
      <w:r>
        <w:rPr>
          <w:rFonts w:hint="eastAsia" w:ascii="宋体" w:hAnsi="宋体" w:eastAsia="宋体" w:cs="宋体"/>
          <w:color w:val="auto"/>
          <w:kern w:val="2"/>
          <w:sz w:val="24"/>
          <w:szCs w:val="24"/>
          <w:highlight w:val="none"/>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color w:val="auto"/>
          <w:kern w:val="2"/>
          <w:sz w:val="24"/>
          <w:szCs w:val="24"/>
          <w:highlight w:val="none"/>
          <w:u w:val="single"/>
          <w:lang w:val="en-US" w:eastAsia="zh-CN" w:bidi="ar"/>
        </w:rPr>
        <w:t>自授权委托之日起至签订合同之日止</w:t>
      </w:r>
      <w:r>
        <w:rPr>
          <w:rFonts w:hint="eastAsia" w:ascii="宋体" w:hAnsi="宋体" w:eastAsia="宋体" w:cs="宋体"/>
          <w:color w:val="auto"/>
          <w:kern w:val="2"/>
          <w:sz w:val="24"/>
          <w:szCs w:val="24"/>
          <w:highlight w:val="none"/>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w:t>
      </w:r>
      <w:r>
        <w:rPr>
          <w:rFonts w:hint="eastAsia" w:ascii="宋体" w:hAnsi="宋体" w:eastAsia="宋体" w:cs="宋体"/>
          <w:b/>
          <w:bCs/>
          <w:color w:val="auto"/>
          <w:kern w:val="2"/>
          <w:sz w:val="24"/>
          <w:szCs w:val="24"/>
          <w:highlight w:val="none"/>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签字或法人章</w:t>
      </w:r>
      <w:r>
        <w:rPr>
          <w:rFonts w:hint="default" w:ascii="Times New Roman" w:hAnsi="Times New Roman" w:eastAsia="宋体" w:cs="Times New Roman"/>
          <w:color w:val="auto"/>
          <w:kern w:val="2"/>
          <w:sz w:val="24"/>
          <w:szCs w:val="24"/>
          <w:highlight w:val="none"/>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w:t>
      </w:r>
      <w:r>
        <w:rPr>
          <w:rFonts w:hint="default" w:ascii="Times New Roman" w:hAnsi="Times New Roman" w:eastAsia="宋体" w:cs="Times New Roman"/>
          <w:color w:val="auto"/>
          <w:kern w:val="2"/>
          <w:sz w:val="24"/>
          <w:szCs w:val="24"/>
          <w:highlight w:val="none"/>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color w:val="auto"/>
          <w:kern w:val="2"/>
          <w:sz w:val="24"/>
          <w:szCs w:val="24"/>
          <w:highlight w:val="none"/>
          <w:lang w:val="en-US" w:eastAsia="zh-CN" w:bidi="ar"/>
        </w:rPr>
        <w:br w:type="page"/>
      </w:r>
    </w:p>
    <w:p w14:paraId="64234B60">
      <w:pPr>
        <w:rPr>
          <w:rFonts w:hint="default" w:ascii="Times New Roman" w:hAnsi="Times New Roman" w:eastAsia="黑体" w:cs="Times New Roman"/>
          <w:color w:val="auto"/>
          <w:kern w:val="2"/>
          <w:sz w:val="24"/>
          <w:szCs w:val="24"/>
          <w:highlight w:val="none"/>
        </w:rPr>
        <w:sectPr>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86" w:name="_Toc19890"/>
      <w:bookmarkStart w:id="87" w:name="_Toc282"/>
      <w:bookmarkStart w:id="88" w:name="_Toc24785"/>
      <w:bookmarkStart w:id="89" w:name="_Toc30850"/>
      <w:bookmarkStart w:id="90" w:name="_Toc14980"/>
      <w:r>
        <w:rPr>
          <w:rFonts w:hint="eastAsia" w:ascii="黑体" w:hAnsi="宋体" w:eastAsia="黑体" w:cs="黑体"/>
          <w:color w:val="auto"/>
          <w:kern w:val="2"/>
          <w:sz w:val="28"/>
          <w:szCs w:val="28"/>
          <w:highlight w:val="none"/>
          <w:lang w:val="en-US" w:eastAsia="zh-CN" w:bidi="ar"/>
        </w:rPr>
        <w:t>三、供应商基本情况</w:t>
      </w:r>
      <w:bookmarkEnd w:id="86"/>
      <w:bookmarkEnd w:id="87"/>
      <w:bookmarkEnd w:id="88"/>
      <w:bookmarkEnd w:id="89"/>
      <w:bookmarkEnd w:id="90"/>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highlight w:val="none"/>
        </w:rPr>
      </w:pPr>
      <w:r>
        <w:rPr>
          <w:rFonts w:hint="default" w:ascii="Times New Roman" w:hAnsi="Times New Roman" w:eastAsia="宋体" w:cs="Times New Roman"/>
          <w:color w:val="auto"/>
          <w:kern w:val="2"/>
          <w:sz w:val="23"/>
          <w:szCs w:val="23"/>
          <w:highlight w:val="none"/>
          <w:lang w:val="en-US" w:eastAsia="zh-CN" w:bidi="ar"/>
        </w:rPr>
        <w:t xml:space="preserve"> </w:t>
      </w:r>
    </w:p>
    <w:tbl>
      <w:tblPr>
        <w:tblStyle w:val="23"/>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Times New Roman" w:hAnsi="Times New Roman" w:eastAsia="宋体" w:cs="Times New Roman"/>
                <w:color w:val="auto"/>
                <w:kern w:val="2"/>
                <w:sz w:val="21"/>
                <w:szCs w:val="21"/>
                <w:highlight w:val="none"/>
                <w:lang w:val="en-US" w:eastAsia="zh-CN" w:bidi="ar"/>
              </w:rPr>
              <w:t xml:space="preserve"> </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highlight w:val="none"/>
        </w:rPr>
      </w:pPr>
      <w:r>
        <w:rPr>
          <w:rFonts w:hint="eastAsia" w:ascii="黑体" w:hAnsi="宋体" w:eastAsia="黑体" w:cs="黑体"/>
          <w:color w:val="auto"/>
          <w:kern w:val="2"/>
          <w:sz w:val="21"/>
          <w:szCs w:val="21"/>
          <w:highlight w:val="none"/>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1"/>
          <w:szCs w:val="21"/>
          <w:highlight w:val="none"/>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br w:type="page"/>
      </w:r>
    </w:p>
    <w:p w14:paraId="6B768871">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highlight w:val="none"/>
          <w:lang w:val="en-US" w:eastAsia="zh-CN" w:bidi="ar"/>
        </w:rPr>
      </w:pPr>
      <w:bookmarkStart w:id="91" w:name="_Toc7707"/>
      <w:bookmarkStart w:id="92" w:name="_Toc9989"/>
      <w:bookmarkStart w:id="93" w:name="_Toc28901"/>
      <w:bookmarkStart w:id="94" w:name="_Toc17718"/>
      <w:bookmarkStart w:id="95" w:name="_Toc8113"/>
      <w:r>
        <w:rPr>
          <w:rFonts w:hint="eastAsia" w:ascii="黑体" w:hAnsi="宋体" w:eastAsia="黑体" w:cs="黑体"/>
          <w:color w:val="auto"/>
          <w:kern w:val="2"/>
          <w:sz w:val="28"/>
          <w:szCs w:val="28"/>
          <w:highlight w:val="none"/>
          <w:lang w:val="en-US" w:eastAsia="zh-CN" w:bidi="ar"/>
        </w:rPr>
        <w:t>四、近年类似业绩情况</w:t>
      </w:r>
      <w:bookmarkEnd w:id="91"/>
      <w:bookmarkEnd w:id="92"/>
      <w:bookmarkEnd w:id="93"/>
      <w:bookmarkEnd w:id="94"/>
      <w:bookmarkEnd w:id="95"/>
    </w:p>
    <w:tbl>
      <w:tblPr>
        <w:tblStyle w:val="23"/>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w:t>
            </w:r>
            <w:r>
              <w:rPr>
                <w:rFonts w:hint="default" w:ascii="Times New Roman" w:hAnsi="Times New Roman" w:cs="Times New Roman"/>
                <w:color w:val="auto"/>
                <w:szCs w:val="21"/>
                <w:highlight w:val="none"/>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w:t>
            </w:r>
            <w:r>
              <w:rPr>
                <w:rFonts w:hint="default" w:ascii="Times New Roman" w:hAnsi="Times New Roman" w:cs="Times New Roman"/>
                <w:color w:val="auto"/>
                <w:szCs w:val="21"/>
                <w:highlight w:val="none"/>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lang w:val="en-US" w:eastAsia="zh-CN"/>
              </w:rPr>
              <w:t>供货</w:t>
            </w:r>
            <w:r>
              <w:rPr>
                <w:rFonts w:hint="eastAsia" w:ascii="Times New Roman" w:hAnsi="Times New Roman" w:cs="Times New Roman"/>
                <w:color w:val="auto"/>
                <w:szCs w:val="21"/>
                <w:highlight w:val="none"/>
              </w:rPr>
              <w:t>内容</w:t>
            </w:r>
            <w:r>
              <w:rPr>
                <w:rFonts w:hint="default" w:ascii="Times New Roman" w:hAnsi="Times New Roman" w:cs="Times New Roman"/>
                <w:color w:val="auto"/>
                <w:szCs w:val="21"/>
                <w:highlight w:val="none"/>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0"/>
          <w:szCs w:val="20"/>
          <w:highlight w:val="none"/>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1</w:t>
      </w:r>
      <w:r>
        <w:rPr>
          <w:rFonts w:hint="eastAsia" w:ascii="黑体" w:hAnsi="宋体" w:eastAsia="黑体" w:cs="黑体"/>
          <w:color w:val="auto"/>
          <w:kern w:val="2"/>
          <w:sz w:val="21"/>
          <w:szCs w:val="21"/>
          <w:highlight w:val="none"/>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2</w:t>
      </w:r>
      <w:r>
        <w:rPr>
          <w:rFonts w:hint="eastAsia" w:ascii="黑体" w:hAnsi="宋体" w:eastAsia="黑体" w:cs="黑体"/>
          <w:color w:val="auto"/>
          <w:kern w:val="2"/>
          <w:sz w:val="21"/>
          <w:szCs w:val="21"/>
          <w:highlight w:val="none"/>
          <w:lang w:val="en-US" w:eastAsia="zh-CN" w:bidi="ar"/>
        </w:rPr>
        <w:t>、业绩证明材料要求：</w:t>
      </w:r>
      <w:r>
        <w:rPr>
          <w:rFonts w:hint="default" w:ascii="Times New Roman" w:hAnsi="Times New Roman" w:eastAsia="黑体" w:cs="Times New Roman"/>
          <w:color w:val="auto"/>
          <w:kern w:val="2"/>
          <w:sz w:val="21"/>
          <w:szCs w:val="21"/>
          <w:highlight w:val="none"/>
          <w:lang w:val="en-US" w:eastAsia="zh-CN" w:bidi="ar"/>
        </w:rPr>
        <w:t>_</w:t>
      </w:r>
      <w:r>
        <w:rPr>
          <w:rFonts w:hint="eastAsia" w:ascii="黑体" w:hAnsi="宋体" w:eastAsia="黑体" w:cs="黑体"/>
          <w:color w:val="auto"/>
          <w:kern w:val="2"/>
          <w:sz w:val="21"/>
          <w:szCs w:val="21"/>
          <w:highlight w:val="none"/>
          <w:u w:val="single"/>
          <w:lang w:val="en-US" w:eastAsia="zh-CN" w:bidi="ar"/>
        </w:rPr>
        <w:t>满足前附表要求</w:t>
      </w:r>
      <w:r>
        <w:rPr>
          <w:rFonts w:hint="default" w:ascii="Times New Roman" w:hAnsi="Times New Roman" w:eastAsia="黑体" w:cs="Times New Roman"/>
          <w:color w:val="auto"/>
          <w:kern w:val="2"/>
          <w:sz w:val="21"/>
          <w:szCs w:val="21"/>
          <w:highlight w:val="none"/>
          <w:lang w:val="en-US" w:eastAsia="zh-CN" w:bidi="ar"/>
        </w:rPr>
        <w:t>__</w:t>
      </w:r>
      <w:r>
        <w:rPr>
          <w:rFonts w:hint="eastAsia" w:ascii="黑体" w:hAnsi="宋体" w:eastAsia="黑体" w:cs="黑体"/>
          <w:color w:val="auto"/>
          <w:kern w:val="2"/>
          <w:sz w:val="21"/>
          <w:szCs w:val="21"/>
          <w:highlight w:val="none"/>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3</w:t>
      </w:r>
      <w:r>
        <w:rPr>
          <w:rFonts w:hint="eastAsia" w:ascii="黑体" w:hAnsi="宋体" w:eastAsia="黑体" w:cs="黑体"/>
          <w:color w:val="auto"/>
          <w:kern w:val="2"/>
          <w:sz w:val="21"/>
          <w:szCs w:val="21"/>
          <w:highlight w:val="none"/>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4</w:t>
      </w:r>
      <w:r>
        <w:rPr>
          <w:rFonts w:hint="eastAsia" w:ascii="黑体" w:hAnsi="宋体" w:eastAsia="黑体" w:cs="黑体"/>
          <w:color w:val="auto"/>
          <w:kern w:val="2"/>
          <w:sz w:val="21"/>
          <w:szCs w:val="21"/>
          <w:highlight w:val="none"/>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highlight w:val="none"/>
          <w:lang w:val="en-US" w:eastAsia="zh-CN" w:bidi="ar"/>
        </w:rPr>
        <w:t xml:space="preserve"> </w:t>
      </w:r>
      <w:r>
        <w:rPr>
          <w:rFonts w:hint="eastAsia" w:ascii="黑体" w:hAnsi="宋体" w:eastAsia="黑体" w:cs="黑体"/>
          <w:color w:val="auto"/>
          <w:kern w:val="2"/>
          <w:sz w:val="21"/>
          <w:szCs w:val="21"/>
          <w:highlight w:val="none"/>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9"/>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highlight w:val="none"/>
        </w:rPr>
      </w:pPr>
      <w:r>
        <w:rPr>
          <w:rFonts w:hint="eastAsia" w:ascii="Calibri" w:hAnsi="Calibri" w:eastAsia="黑体" w:cs="Times New Roman"/>
          <w:color w:val="auto"/>
          <w:kern w:val="2"/>
          <w:sz w:val="21"/>
          <w:szCs w:val="21"/>
          <w:highlight w:val="none"/>
          <w:lang w:val="en-US" w:eastAsia="zh-CN" w:bidi="ar"/>
        </w:rPr>
        <w:t xml:space="preserve"> </w:t>
      </w:r>
    </w:p>
    <w:p w14:paraId="4B6BF3F0">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8"/>
          <w:szCs w:val="28"/>
          <w:highlight w:val="none"/>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96" w:name="_Toc24837"/>
      <w:bookmarkStart w:id="97" w:name="_Toc27566"/>
      <w:bookmarkStart w:id="98" w:name="_Toc19010"/>
      <w:bookmarkStart w:id="99" w:name="_Toc23165"/>
      <w:bookmarkStart w:id="100" w:name="_Toc29607"/>
      <w:r>
        <w:rPr>
          <w:rFonts w:hint="eastAsia" w:ascii="黑体" w:hAnsi="宋体" w:eastAsia="黑体" w:cs="黑体"/>
          <w:color w:val="auto"/>
          <w:kern w:val="2"/>
          <w:sz w:val="28"/>
          <w:szCs w:val="28"/>
          <w:highlight w:val="none"/>
          <w:lang w:val="en-US" w:eastAsia="zh-CN" w:bidi="ar"/>
        </w:rPr>
        <w:t>五、信誉情况</w:t>
      </w:r>
      <w:bookmarkEnd w:id="96"/>
      <w:bookmarkEnd w:id="97"/>
      <w:bookmarkEnd w:id="98"/>
      <w:bookmarkEnd w:id="99"/>
      <w:bookmarkEnd w:id="100"/>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highlight w:val="none"/>
        </w:rPr>
      </w:pPr>
      <w:r>
        <w:rPr>
          <w:rFonts w:hint="default" w:ascii="Times New Roman" w:hAnsi="Times New Roman" w:eastAsia="宋体" w:cs="Times New Roman"/>
          <w:bCs/>
          <w:color w:val="auto"/>
          <w:kern w:val="2"/>
          <w:sz w:val="23"/>
          <w:szCs w:val="23"/>
          <w:highlight w:val="none"/>
          <w:lang w:val="en-US" w:eastAsia="zh-CN" w:bidi="ar"/>
        </w:rPr>
        <w:t xml:space="preserve"> </w:t>
      </w:r>
    </w:p>
    <w:tbl>
      <w:tblPr>
        <w:tblStyle w:val="23"/>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项</w:t>
            </w:r>
            <w:r>
              <w:rPr>
                <w:rFonts w:hint="default" w:ascii="Times New Roman" w:hAnsi="Times New Roman" w:eastAsia="宋体" w:cs="Times New Roman"/>
                <w:bCs/>
                <w:color w:val="auto"/>
                <w:kern w:val="2"/>
                <w:sz w:val="21"/>
                <w:szCs w:val="21"/>
                <w:highlight w:val="none"/>
                <w:lang w:val="en-US" w:eastAsia="zh-CN" w:bidi="ar"/>
              </w:rPr>
              <w:t xml:space="preserve"> </w:t>
            </w:r>
            <w:r>
              <w:rPr>
                <w:rFonts w:hint="eastAsia" w:ascii="宋体" w:hAnsi="宋体" w:eastAsia="宋体" w:cs="宋体"/>
                <w:bCs/>
                <w:color w:val="auto"/>
                <w:kern w:val="2"/>
                <w:sz w:val="21"/>
                <w:szCs w:val="21"/>
                <w:highlight w:val="none"/>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是否在国家企业信用信息公示系统（</w:t>
            </w:r>
            <w:r>
              <w:rPr>
                <w:rFonts w:hint="default" w:ascii="Times New Roman" w:hAnsi="Times New Roman" w:eastAsia="宋体" w:cs="Times New Roman"/>
                <w:color w:val="auto"/>
                <w:kern w:val="2"/>
                <w:sz w:val="24"/>
                <w:szCs w:val="24"/>
                <w:highlight w:val="none"/>
                <w:lang w:val="en-US" w:eastAsia="zh-CN" w:bidi="ar"/>
              </w:rPr>
              <w:t>http://www.gsxt.gov.cn</w:t>
            </w:r>
            <w:r>
              <w:rPr>
                <w:rFonts w:hint="eastAsia" w:ascii="宋体" w:hAnsi="宋体" w:eastAsia="宋体" w:cs="宋体"/>
                <w:color w:val="auto"/>
                <w:kern w:val="2"/>
                <w:sz w:val="24"/>
                <w:szCs w:val="24"/>
                <w:highlight w:val="none"/>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信用中国</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网站（</w:t>
            </w:r>
            <w:r>
              <w:rPr>
                <w:rFonts w:hint="default" w:ascii="Times New Roman" w:hAnsi="Times New Roman" w:eastAsia="宋体" w:cs="Times New Roman"/>
                <w:color w:val="auto"/>
                <w:kern w:val="2"/>
                <w:sz w:val="24"/>
                <w:szCs w:val="24"/>
                <w:highlight w:val="none"/>
                <w:lang w:val="en-US" w:eastAsia="zh-CN" w:bidi="ar"/>
              </w:rPr>
              <w:t>http://www.creditchina.gov.cn</w:t>
            </w:r>
            <w:r>
              <w:rPr>
                <w:rFonts w:hint="eastAsia" w:ascii="宋体" w:hAnsi="宋体" w:eastAsia="宋体" w:cs="宋体"/>
                <w:color w:val="auto"/>
                <w:kern w:val="2"/>
                <w:sz w:val="24"/>
                <w:szCs w:val="24"/>
                <w:highlight w:val="none"/>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是否在近三年内（自响应文件递交截止之日向前追溯</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注：本表需附证明材料。</w:t>
      </w:r>
    </w:p>
    <w:p w14:paraId="5F6E923E">
      <w:pPr>
        <w:pStyle w:val="19"/>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75B93371">
      <w:pPr>
        <w:pStyle w:val="19"/>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highlight w:val="none"/>
          <w:u w:val="singl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45E69B0">
      <w:pPr>
        <w:pStyle w:val="19"/>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highlight w:val="none"/>
        </w:rPr>
      </w:pPr>
      <w:r>
        <w:rPr>
          <w:rFonts w:hint="default" w:ascii="Calibri" w:hAnsi="Calibri" w:eastAsia="宋体" w:cs="Times New Roman"/>
          <w:color w:val="auto"/>
          <w:kern w:val="2"/>
          <w:sz w:val="21"/>
          <w:szCs w:val="21"/>
          <w:highlight w:val="none"/>
          <w:lang w:val="en-US" w:eastAsia="zh-CN" w:bidi="ar"/>
        </w:rPr>
        <w:t xml:space="preserve"> </w:t>
      </w:r>
    </w:p>
    <w:p w14:paraId="31EE91A8">
      <w:pPr>
        <w:pStyle w:val="19"/>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黑体" w:cs="Times New Roman"/>
          <w:color w:val="auto"/>
          <w:kern w:val="2"/>
          <w:sz w:val="27"/>
          <w:szCs w:val="27"/>
          <w:highlight w:val="none"/>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highlight w:val="none"/>
          <w:lang w:val="en-US"/>
        </w:rPr>
      </w:pPr>
      <w:bookmarkStart w:id="101" w:name="_Toc18353"/>
      <w:bookmarkStart w:id="102" w:name="_Toc1119"/>
      <w:bookmarkStart w:id="103" w:name="_Toc22954"/>
      <w:bookmarkStart w:id="104" w:name="_Toc1935"/>
      <w:bookmarkStart w:id="105" w:name="_Toc1569"/>
      <w:r>
        <w:rPr>
          <w:rFonts w:hint="eastAsia" w:ascii="黑体" w:hAnsi="宋体" w:eastAsia="黑体" w:cs="黑体"/>
          <w:color w:val="auto"/>
          <w:kern w:val="2"/>
          <w:sz w:val="28"/>
          <w:szCs w:val="28"/>
          <w:highlight w:val="none"/>
          <w:lang w:val="en-US" w:eastAsia="zh-CN" w:bidi="ar"/>
        </w:rPr>
        <w:t>六、企业实力</w:t>
      </w:r>
      <w:bookmarkEnd w:id="101"/>
      <w:bookmarkEnd w:id="102"/>
      <w:bookmarkEnd w:id="103"/>
      <w:bookmarkEnd w:id="104"/>
    </w:p>
    <w:p w14:paraId="23B09A51">
      <w:pPr>
        <w:pStyle w:val="20"/>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bCs w:val="0"/>
          <w:color w:val="auto"/>
          <w:kern w:val="0"/>
          <w:sz w:val="21"/>
          <w:szCs w:val="21"/>
          <w:highlight w:val="none"/>
          <w:lang w:val="en-US" w:eastAsia="zh-CN" w:bidi="ar"/>
        </w:rPr>
        <w:t>1</w:t>
      </w:r>
      <w:r>
        <w:rPr>
          <w:rFonts w:hint="eastAsia" w:asciiTheme="minorEastAsia" w:hAnsiTheme="minorEastAsia" w:eastAsiaTheme="minorEastAsia" w:cstheme="minorEastAsia"/>
          <w:b/>
          <w:bCs w:val="0"/>
          <w:color w:val="auto"/>
          <w:kern w:val="0"/>
          <w:sz w:val="21"/>
          <w:szCs w:val="21"/>
          <w:highlight w:val="none"/>
          <w:lang w:bidi="ar"/>
        </w:rPr>
        <w:t>.厂区规模情况</w:t>
      </w:r>
      <w:r>
        <w:rPr>
          <w:rFonts w:hint="eastAsia" w:asciiTheme="minorEastAsia" w:hAnsiTheme="minorEastAsia" w:eastAsiaTheme="minorEastAsia" w:cstheme="minorEastAsia"/>
          <w:b/>
          <w:bCs w:val="0"/>
          <w:color w:val="auto"/>
          <w:kern w:val="0"/>
          <w:sz w:val="21"/>
          <w:szCs w:val="21"/>
          <w:highlight w:val="none"/>
          <w:lang w:val="en-US" w:eastAsia="zh-CN" w:bidi="ar"/>
        </w:rPr>
        <w:t>：</w:t>
      </w:r>
    </w:p>
    <w:p w14:paraId="53E1E620">
      <w:pPr>
        <w:pStyle w:val="2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80" w:lineRule="auto"/>
        <w:ind w:left="0" w:right="0" w:firstLine="0"/>
        <w:jc w:val="left"/>
        <w:textAlignment w:val="auto"/>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须提供投标产品生产加工厂的相关资料，包括但不限于工厂具体定位（百度地图定位截图）、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w:t>
      </w:r>
    </w:p>
    <w:p w14:paraId="168C85EE">
      <w:pPr>
        <w:pStyle w:val="20"/>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color w:val="auto"/>
          <w:kern w:val="0"/>
          <w:sz w:val="21"/>
          <w:szCs w:val="21"/>
          <w:highlight w:val="none"/>
          <w:lang w:val="en-US" w:eastAsia="zh-CN" w:bidi="ar"/>
        </w:rPr>
        <w:t>2</w:t>
      </w:r>
      <w:r>
        <w:rPr>
          <w:rFonts w:hint="eastAsia" w:asciiTheme="minorEastAsia" w:hAnsiTheme="minorEastAsia" w:eastAsiaTheme="minorEastAsia" w:cstheme="minorEastAsia"/>
          <w:b/>
          <w:color w:val="auto"/>
          <w:kern w:val="0"/>
          <w:sz w:val="21"/>
          <w:szCs w:val="21"/>
          <w:highlight w:val="none"/>
          <w:lang w:bidi="ar"/>
        </w:rPr>
        <w:t>.机械</w:t>
      </w:r>
      <w:r>
        <w:rPr>
          <w:rFonts w:hint="eastAsia" w:asciiTheme="minorEastAsia" w:hAnsiTheme="minorEastAsia" w:eastAsiaTheme="minorEastAsia" w:cstheme="minorEastAsia"/>
          <w:b/>
          <w:bCs w:val="0"/>
          <w:color w:val="auto"/>
          <w:kern w:val="0"/>
          <w:sz w:val="21"/>
          <w:szCs w:val="21"/>
          <w:highlight w:val="none"/>
          <w:lang w:bidi="ar"/>
        </w:rPr>
        <w:t>设备情况</w:t>
      </w:r>
      <w:r>
        <w:rPr>
          <w:rFonts w:hint="eastAsia" w:asciiTheme="minorEastAsia" w:hAnsiTheme="minorEastAsia" w:eastAsiaTheme="minorEastAsia" w:cstheme="minorEastAsia"/>
          <w:b/>
          <w:bCs w:val="0"/>
          <w:color w:val="auto"/>
          <w:kern w:val="0"/>
          <w:sz w:val="21"/>
          <w:szCs w:val="21"/>
          <w:highlight w:val="none"/>
          <w:lang w:eastAsia="zh-CN" w:bidi="ar"/>
        </w:rPr>
        <w:t>：</w:t>
      </w:r>
    </w:p>
    <w:p w14:paraId="2437230A">
      <w:pPr>
        <w:pStyle w:val="20"/>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cstheme="minorEastAsia"/>
          <w:b/>
          <w:bCs w:val="0"/>
          <w:color w:val="auto"/>
          <w:kern w:val="0"/>
          <w:sz w:val="21"/>
          <w:szCs w:val="21"/>
          <w:highlight w:val="none"/>
          <w:lang w:val="en-US" w:eastAsia="zh-CN" w:bidi="ar"/>
        </w:rPr>
        <w:t>3</w:t>
      </w:r>
      <w:r>
        <w:rPr>
          <w:rFonts w:hint="eastAsia" w:asciiTheme="minorEastAsia" w:hAnsiTheme="minorEastAsia" w:eastAsiaTheme="minorEastAsia" w:cstheme="minorEastAsia"/>
          <w:b/>
          <w:bCs w:val="0"/>
          <w:color w:val="auto"/>
          <w:kern w:val="0"/>
          <w:sz w:val="21"/>
          <w:szCs w:val="21"/>
          <w:highlight w:val="none"/>
          <w:lang w:bidi="ar"/>
        </w:rPr>
        <w:t>.人员情况</w:t>
      </w:r>
      <w:r>
        <w:rPr>
          <w:rFonts w:hint="eastAsia" w:asciiTheme="minorEastAsia" w:hAnsiTheme="minorEastAsia" w:cstheme="minorEastAsia"/>
          <w:b/>
          <w:bCs w:val="0"/>
          <w:color w:val="auto"/>
          <w:kern w:val="0"/>
          <w:sz w:val="21"/>
          <w:szCs w:val="21"/>
          <w:highlight w:val="none"/>
          <w:lang w:val="en-US" w:eastAsia="zh-CN" w:bidi="ar"/>
        </w:rPr>
        <w:t>：</w:t>
      </w:r>
    </w:p>
    <w:p w14:paraId="77704387">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highlight w:val="none"/>
          <w:lang w:val="en-US" w:eastAsia="zh-CN"/>
        </w:rPr>
      </w:pP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28D66702">
      <w:pPr>
        <w:pStyle w:val="10"/>
        <w:rPr>
          <w:rFonts w:hint="eastAsia" w:ascii="黑体" w:hAnsi="宋体" w:eastAsia="黑体" w:cs="黑体"/>
          <w:color w:val="auto"/>
          <w:kern w:val="2"/>
          <w:sz w:val="28"/>
          <w:szCs w:val="28"/>
          <w:highlight w:val="none"/>
          <w:lang w:val="en-US" w:eastAsia="zh-CN" w:bidi="ar"/>
        </w:rPr>
      </w:pPr>
    </w:p>
    <w:p w14:paraId="6FF13152">
      <w:pPr>
        <w:pStyle w:val="15"/>
        <w:rPr>
          <w:rFonts w:hint="eastAsia"/>
          <w:color w:val="auto"/>
          <w:highlight w:val="none"/>
          <w:lang w:val="en-US" w:eastAsia="zh-CN"/>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B199B6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E8ED9C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lang w:val="en-US"/>
        </w:rPr>
      </w:pPr>
      <w:bookmarkStart w:id="106" w:name="_Toc139"/>
      <w:bookmarkStart w:id="107" w:name="_Toc19445"/>
      <w:bookmarkStart w:id="108" w:name="_Toc14019"/>
      <w:bookmarkStart w:id="109" w:name="_Toc19938"/>
      <w:r>
        <w:rPr>
          <w:rFonts w:hint="eastAsia" w:ascii="黑体" w:hAnsi="宋体" w:eastAsia="黑体" w:cs="黑体"/>
          <w:color w:val="auto"/>
          <w:kern w:val="2"/>
          <w:sz w:val="28"/>
          <w:szCs w:val="28"/>
          <w:highlight w:val="none"/>
          <w:lang w:val="en-US" w:eastAsia="zh-CN" w:bidi="ar"/>
        </w:rPr>
        <w:t>七、</w:t>
      </w:r>
      <w:bookmarkEnd w:id="105"/>
      <w:r>
        <w:rPr>
          <w:rFonts w:hint="eastAsia" w:ascii="黑体" w:hAnsi="宋体" w:eastAsia="黑体" w:cs="黑体"/>
          <w:color w:val="auto"/>
          <w:kern w:val="2"/>
          <w:sz w:val="28"/>
          <w:szCs w:val="28"/>
          <w:highlight w:val="none"/>
          <w:lang w:val="en-US" w:eastAsia="zh-CN" w:bidi="ar"/>
        </w:rPr>
        <w:t>生产体系认证</w:t>
      </w:r>
      <w:bookmarkEnd w:id="106"/>
      <w:bookmarkEnd w:id="107"/>
      <w:bookmarkEnd w:id="108"/>
      <w:bookmarkEnd w:id="109"/>
    </w:p>
    <w:p w14:paraId="61C9C3C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F16A055">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 xml:space="preserve"> </w:t>
      </w:r>
    </w:p>
    <w:p w14:paraId="51985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A6ACF41">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A4995E0">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1C3967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1AEE525">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2988E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7B8666F">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19A5516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1256764">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06E25C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F461003">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037303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B03ADCA">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6AF27A85">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lang w:val="en-US" w:eastAsia="zh-CN" w:bidi="ar"/>
        </w:rPr>
      </w:pPr>
    </w:p>
    <w:p w14:paraId="4C42973B">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lang w:val="en-US" w:eastAsia="zh-CN" w:bidi="ar"/>
        </w:rPr>
      </w:pPr>
    </w:p>
    <w:p w14:paraId="6CBC4CFE">
      <w:pPr>
        <w:spacing w:beforeLines="0" w:afterLines="0" w:line="440" w:lineRule="exact"/>
        <w:jc w:val="center"/>
        <w:outlineLvl w:val="0"/>
        <w:rPr>
          <w:rFonts w:hint="eastAsia" w:ascii="Times New Roman" w:hAnsi="Times New Roman" w:eastAsia="黑体"/>
          <w:color w:val="auto"/>
          <w:sz w:val="28"/>
          <w:szCs w:val="28"/>
          <w:highlight w:val="none"/>
          <w:lang w:val="en-US" w:eastAsia="zh-CN"/>
        </w:rPr>
      </w:pPr>
      <w:bookmarkStart w:id="110" w:name="_Toc31378"/>
      <w:bookmarkStart w:id="111" w:name="_Toc7941"/>
    </w:p>
    <w:p w14:paraId="625C0E6D">
      <w:pPr>
        <w:spacing w:beforeLines="0" w:afterLines="0" w:line="440" w:lineRule="exact"/>
        <w:jc w:val="center"/>
        <w:outlineLvl w:val="0"/>
        <w:rPr>
          <w:rFonts w:hint="default" w:ascii="Times New Roman" w:hAnsi="Times New Roman" w:eastAsia="黑体"/>
          <w:color w:val="auto"/>
          <w:sz w:val="28"/>
          <w:szCs w:val="28"/>
          <w:highlight w:val="none"/>
          <w:lang w:val="en-US" w:eastAsia="zh-CN"/>
        </w:rPr>
      </w:pPr>
      <w:bookmarkStart w:id="112" w:name="_Toc7712"/>
      <w:bookmarkStart w:id="113" w:name="_Toc100"/>
      <w:bookmarkStart w:id="114" w:name="_Toc26658"/>
      <w:r>
        <w:rPr>
          <w:rFonts w:hint="eastAsia" w:ascii="Times New Roman" w:hAnsi="Times New Roman" w:eastAsia="黑体"/>
          <w:color w:val="auto"/>
          <w:sz w:val="28"/>
          <w:szCs w:val="28"/>
          <w:highlight w:val="none"/>
          <w:lang w:val="en-US" w:eastAsia="zh-CN"/>
        </w:rPr>
        <w:t>八</w:t>
      </w:r>
      <w:r>
        <w:rPr>
          <w:rFonts w:hint="eastAsia" w:ascii="Times New Roman" w:hAnsi="Times New Roman" w:eastAsia="黑体"/>
          <w:color w:val="auto"/>
          <w:sz w:val="28"/>
          <w:szCs w:val="28"/>
          <w:highlight w:val="none"/>
        </w:rPr>
        <w:t>、</w:t>
      </w:r>
      <w:bookmarkEnd w:id="110"/>
      <w:r>
        <w:rPr>
          <w:rFonts w:hint="eastAsia" w:ascii="Times New Roman" w:hAnsi="Times New Roman" w:eastAsia="黑体"/>
          <w:color w:val="auto"/>
          <w:sz w:val="28"/>
          <w:szCs w:val="28"/>
          <w:highlight w:val="none"/>
          <w:lang w:val="en-US" w:eastAsia="zh-CN"/>
        </w:rPr>
        <w:t>供货方案</w:t>
      </w:r>
      <w:bookmarkEnd w:id="112"/>
      <w:bookmarkEnd w:id="113"/>
      <w:bookmarkEnd w:id="114"/>
    </w:p>
    <w:p w14:paraId="1E84018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15" w:name="_Toc2077"/>
      <w:bookmarkStart w:id="116" w:name="_Toc145"/>
      <w:bookmarkStart w:id="117" w:name="_Toc6951"/>
      <w:bookmarkStart w:id="118" w:name="_Toc4263"/>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供货方案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15"/>
      <w:bookmarkEnd w:id="116"/>
      <w:bookmarkEnd w:id="117"/>
      <w:bookmarkEnd w:id="118"/>
    </w:p>
    <w:p w14:paraId="7819A5B5">
      <w:pPr>
        <w:spacing w:beforeLines="0" w:afterLines="0" w:line="440" w:lineRule="exact"/>
        <w:jc w:val="center"/>
        <w:outlineLvl w:val="0"/>
        <w:rPr>
          <w:rFonts w:hint="eastAsia" w:ascii="Times New Roman" w:hAnsi="Times New Roman" w:eastAsia="黑体"/>
          <w:color w:val="auto"/>
          <w:sz w:val="28"/>
          <w:szCs w:val="28"/>
          <w:highlight w:val="none"/>
        </w:rPr>
      </w:pPr>
    </w:p>
    <w:p w14:paraId="6DC9943D">
      <w:pPr>
        <w:pStyle w:val="10"/>
        <w:rPr>
          <w:rFonts w:hint="eastAsia"/>
          <w:color w:val="auto"/>
          <w:highlight w:val="none"/>
        </w:rPr>
      </w:pPr>
    </w:p>
    <w:p w14:paraId="6BD11B5F">
      <w:pPr>
        <w:spacing w:beforeLines="0" w:afterLines="0" w:line="440" w:lineRule="exact"/>
        <w:jc w:val="center"/>
        <w:outlineLvl w:val="0"/>
        <w:rPr>
          <w:rFonts w:hint="eastAsia" w:ascii="Times New Roman" w:hAnsi="Times New Roman" w:eastAsia="黑体"/>
          <w:color w:val="auto"/>
          <w:sz w:val="28"/>
          <w:szCs w:val="28"/>
          <w:highlight w:val="none"/>
        </w:rPr>
      </w:pPr>
    </w:p>
    <w:bookmarkEnd w:id="111"/>
    <w:p w14:paraId="735BEFF5">
      <w:pPr>
        <w:spacing w:beforeLines="0" w:afterLines="0" w:line="440" w:lineRule="exact"/>
        <w:rPr>
          <w:rFonts w:hint="eastAsia" w:ascii="Times New Roman" w:hAnsi="Times New Roman" w:eastAsia="Times New Roman"/>
          <w:color w:val="auto"/>
          <w:sz w:val="20"/>
          <w:szCs w:val="20"/>
          <w:highlight w:val="none"/>
        </w:rPr>
      </w:pPr>
    </w:p>
    <w:p w14:paraId="039EC7DC">
      <w:pPr>
        <w:pStyle w:val="19"/>
        <w:keepNext w:val="0"/>
        <w:keepLines w:val="0"/>
        <w:widowControl w:val="0"/>
        <w:suppressLineNumbers w:val="0"/>
        <w:spacing w:before="0" w:beforeAutospacing="1" w:after="120" w:afterAutospacing="0"/>
        <w:ind w:right="0"/>
        <w:jc w:val="both"/>
        <w:rPr>
          <w:rFonts w:hint="default" w:ascii="Times New Roman" w:hAnsi="Times New Roman" w:eastAsia="黑体" w:cs="Times New Roman"/>
          <w:color w:val="auto"/>
          <w:kern w:val="2"/>
          <w:sz w:val="28"/>
          <w:szCs w:val="28"/>
          <w:highlight w:val="none"/>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BA98B0">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C0A85EE">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DDCA947">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B611D33">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6BF9F73">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FFC79D8">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bookmarkStart w:id="119" w:name="_Toc30485"/>
    </w:p>
    <w:p w14:paraId="0641787D">
      <w:pPr>
        <w:pStyle w:val="4"/>
        <w:rPr>
          <w:rFonts w:hint="default"/>
          <w:lang w:val="en-US" w:eastAsia="zh-CN"/>
        </w:rPr>
      </w:pPr>
    </w:p>
    <w:p w14:paraId="3E9100EA">
      <w:pPr>
        <w:rPr>
          <w:rFonts w:hint="default"/>
          <w:lang w:val="en-US" w:eastAsia="zh-CN"/>
        </w:rPr>
      </w:pPr>
    </w:p>
    <w:p w14:paraId="2A8FCB73">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p>
    <w:p w14:paraId="603EA04B">
      <w:pPr>
        <w:spacing w:beforeLines="0" w:afterLines="0" w:line="440" w:lineRule="exact"/>
        <w:jc w:val="center"/>
        <w:outlineLvl w:val="0"/>
        <w:rPr>
          <w:rFonts w:hint="eastAsia" w:ascii="Times New Roman" w:hAnsi="Times New Roman" w:eastAsia="黑体"/>
          <w:color w:val="auto"/>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bookmarkStart w:id="120" w:name="_Toc8048"/>
      <w:bookmarkStart w:id="121" w:name="_Toc11323"/>
      <w:bookmarkStart w:id="122" w:name="_Toc17427"/>
      <w:bookmarkStart w:id="123" w:name="_Toc24334"/>
      <w:r>
        <w:rPr>
          <w:rFonts w:hint="eastAsia" w:ascii="Times New Roman" w:hAnsi="Times New Roman" w:eastAsia="黑体" w:cs="Times New Roman"/>
          <w:color w:val="auto"/>
          <w:kern w:val="2"/>
          <w:sz w:val="28"/>
          <w:szCs w:val="28"/>
          <w:highlight w:val="none"/>
          <w:lang w:val="en-US" w:eastAsia="zh-CN" w:bidi="ar"/>
        </w:rPr>
        <w:t>九</w:t>
      </w:r>
      <w:r>
        <w:rPr>
          <w:rFonts w:hint="eastAsia" w:ascii="Times New Roman" w:hAnsi="Times New Roman" w:eastAsia="黑体"/>
          <w:color w:val="auto"/>
          <w:sz w:val="28"/>
          <w:szCs w:val="28"/>
          <w:highlight w:val="none"/>
        </w:rPr>
        <w:t>、</w:t>
      </w:r>
      <w:bookmarkEnd w:id="120"/>
      <w:r>
        <w:rPr>
          <w:rFonts w:hint="eastAsia" w:ascii="Times New Roman" w:hAnsi="Times New Roman" w:eastAsia="黑体"/>
          <w:color w:val="auto"/>
          <w:sz w:val="28"/>
          <w:szCs w:val="28"/>
          <w:highlight w:val="none"/>
          <w:lang w:val="en-US" w:eastAsia="zh-CN"/>
        </w:rPr>
        <w:t>售后服务方案</w:t>
      </w:r>
      <w:bookmarkEnd w:id="121"/>
      <w:bookmarkEnd w:id="122"/>
      <w:bookmarkEnd w:id="123"/>
    </w:p>
    <w:p w14:paraId="4FCD267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24" w:name="_Toc7169"/>
      <w:bookmarkStart w:id="125" w:name="_Toc26933"/>
      <w:bookmarkStart w:id="126" w:name="_Toc1002"/>
      <w:bookmarkStart w:id="127" w:name="_Toc9931"/>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售后服务方案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24"/>
      <w:bookmarkEnd w:id="125"/>
      <w:bookmarkEnd w:id="126"/>
      <w:bookmarkEnd w:id="127"/>
    </w:p>
    <w:p w14:paraId="10E2C7A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25346B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202A8B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1994CF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5E115A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8C9A0C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2BE65C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9C8BDC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511C08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A94FEF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740606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E86E65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1D4DB5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735671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6624A8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FE90D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8A9E9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99099D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DD845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F0F211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2DD6DE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55BA99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357505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42D10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3CF17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38F5CB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EF0DC0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85996AE">
      <w:pPr>
        <w:pStyle w:val="4"/>
        <w:rPr>
          <w:rFonts w:hint="default" w:ascii="Times New Roman" w:hAnsi="Times New Roman"/>
          <w:color w:val="auto"/>
          <w:sz w:val="24"/>
          <w:szCs w:val="24"/>
          <w:highlight w:val="none"/>
          <w:lang w:bidi="ar"/>
        </w:rPr>
      </w:pPr>
    </w:p>
    <w:p w14:paraId="300232FC">
      <w:pPr>
        <w:rPr>
          <w:rFonts w:hint="default" w:ascii="Times New Roman" w:hAnsi="Times New Roman"/>
          <w:color w:val="auto"/>
          <w:sz w:val="24"/>
          <w:szCs w:val="24"/>
          <w:highlight w:val="none"/>
          <w:lang w:bidi="ar"/>
        </w:rPr>
      </w:pPr>
    </w:p>
    <w:p w14:paraId="2D67C55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bookmarkStart w:id="128" w:name="_Toc14186"/>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29" w:name="_Toc27986"/>
      <w:bookmarkStart w:id="130" w:name="_Toc1942"/>
      <w:bookmarkStart w:id="131" w:name="_Toc6485"/>
      <w:r>
        <w:rPr>
          <w:rFonts w:hint="eastAsia" w:ascii="黑体" w:hAnsi="宋体" w:eastAsia="黑体" w:cs="黑体"/>
          <w:color w:val="auto"/>
          <w:kern w:val="2"/>
          <w:sz w:val="28"/>
          <w:szCs w:val="28"/>
          <w:highlight w:val="none"/>
          <w:lang w:val="en-US" w:eastAsia="zh-CN" w:bidi="ar"/>
        </w:rPr>
        <w:t>十、承诺书</w:t>
      </w:r>
      <w:bookmarkEnd w:id="119"/>
      <w:bookmarkEnd w:id="128"/>
      <w:bookmarkEnd w:id="129"/>
      <w:bookmarkEnd w:id="130"/>
      <w:bookmarkEnd w:id="131"/>
    </w:p>
    <w:p w14:paraId="0D42E53B">
      <w:pPr>
        <w:pStyle w:val="19"/>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highlight w:val="none"/>
        </w:rPr>
      </w:pPr>
      <w:r>
        <w:rPr>
          <w:rFonts w:hint="eastAsia" w:ascii="方正小标宋简体" w:hAnsi="方正小标宋简体" w:eastAsia="方正小标宋简体" w:cs="方正小标宋简体"/>
          <w:color w:val="auto"/>
          <w:kern w:val="2"/>
          <w:sz w:val="36"/>
          <w:szCs w:val="36"/>
          <w:highlight w:val="none"/>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致：</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1. </w:t>
      </w:r>
      <w:r>
        <w:rPr>
          <w:rFonts w:hint="eastAsia" w:ascii="宋体" w:hAnsi="宋体" w:eastAsia="宋体" w:cs="宋体"/>
          <w:color w:val="auto"/>
          <w:kern w:val="2"/>
          <w:sz w:val="24"/>
          <w:szCs w:val="24"/>
          <w:highlight w:val="none"/>
          <w:lang w:val="en-US" w:eastAsia="zh-CN" w:bidi="ar"/>
        </w:rPr>
        <w:t>我方已仔细研究了</w:t>
      </w:r>
      <w:r>
        <w:rPr>
          <w:rFonts w:hint="eastAsia"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none"/>
          <w:lang w:val="en-US" w:eastAsia="zh-CN" w:bidi="ar"/>
        </w:rPr>
        <w:t>（项目名称）</w:t>
      </w:r>
      <w:r>
        <w:rPr>
          <w:rFonts w:hint="eastAsia" w:ascii="宋体" w:hAnsi="宋体" w:eastAsia="宋体" w:cs="宋体"/>
          <w:color w:val="auto"/>
          <w:kern w:val="2"/>
          <w:sz w:val="24"/>
          <w:szCs w:val="24"/>
          <w:highlight w:val="none"/>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highlight w:val="none"/>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2. </w:t>
      </w:r>
      <w:r>
        <w:rPr>
          <w:rFonts w:hint="eastAsia" w:ascii="宋体" w:hAnsi="宋体" w:eastAsia="宋体" w:cs="宋体"/>
          <w:color w:val="auto"/>
          <w:kern w:val="2"/>
          <w:sz w:val="24"/>
          <w:szCs w:val="24"/>
          <w:highlight w:val="none"/>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highlight w:val="none"/>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3. </w:t>
      </w:r>
      <w:r>
        <w:rPr>
          <w:rFonts w:hint="eastAsia" w:ascii="宋体" w:hAnsi="宋体" w:eastAsia="宋体" w:cs="宋体"/>
          <w:color w:val="auto"/>
          <w:kern w:val="2"/>
          <w:sz w:val="24"/>
          <w:szCs w:val="24"/>
          <w:highlight w:val="none"/>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highlight w:val="none"/>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4. </w:t>
      </w:r>
      <w:r>
        <w:rPr>
          <w:rFonts w:hint="eastAsia" w:ascii="宋体" w:hAnsi="宋体" w:eastAsia="宋体" w:cs="宋体"/>
          <w:color w:val="auto"/>
          <w:kern w:val="2"/>
          <w:sz w:val="24"/>
          <w:szCs w:val="24"/>
          <w:highlight w:val="none"/>
          <w:lang w:val="en-US" w:eastAsia="zh-CN" w:bidi="ar"/>
        </w:rPr>
        <w:t>如我方成交，我方承诺：</w:t>
      </w:r>
      <w:r>
        <w:rPr>
          <w:rFonts w:hint="eastAsia" w:ascii="Times New Roman" w:hAnsi="Times New Roman" w:eastAsia="宋体" w:cs="Times New Roman"/>
          <w:color w:val="auto"/>
          <w:kern w:val="2"/>
          <w:sz w:val="24"/>
          <w:szCs w:val="24"/>
          <w:highlight w:val="none"/>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highlight w:val="none"/>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）在签订合同时不向你方提出附加条件；</w:t>
      </w:r>
      <w:r>
        <w:rPr>
          <w:rFonts w:hint="eastAsia" w:ascii="Times New Roman" w:hAnsi="Times New Roman" w:eastAsia="宋体" w:cs="Times New Roman"/>
          <w:color w:val="auto"/>
          <w:kern w:val="2"/>
          <w:sz w:val="24"/>
          <w:szCs w:val="24"/>
          <w:highlight w:val="none"/>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）按照采购文件要求提交履约保证金；</w:t>
      </w:r>
      <w:r>
        <w:rPr>
          <w:rFonts w:hint="eastAsia" w:ascii="Times New Roman" w:hAnsi="Times New Roman" w:eastAsia="宋体" w:cs="Times New Roman"/>
          <w:color w:val="auto"/>
          <w:kern w:val="2"/>
          <w:sz w:val="24"/>
          <w:szCs w:val="24"/>
          <w:highlight w:val="none"/>
          <w:lang w:val="en-US" w:eastAsia="zh-CN" w:bidi="ar"/>
        </w:rPr>
        <w:t xml:space="preserve"> </w:t>
      </w:r>
    </w:p>
    <w:p w14:paraId="68B1C37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）在合同约定的期限内完成合同规定的全部义务；</w:t>
      </w:r>
    </w:p>
    <w:p w14:paraId="6AE90DF3">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（5）按照响应文件第六章企业实力中提到的具体加工厂生产产品，合同执行期间无条件接受你方检查，如未经你方同意擅自在其他地方生产的，你方有权取消合同。</w:t>
      </w:r>
      <w:r>
        <w:rPr>
          <w:rFonts w:hint="eastAsia" w:ascii="Times New Roman" w:hAnsi="Times New Roman" w:eastAsia="宋体" w:cs="Times New Roman"/>
          <w:b/>
          <w:bCs/>
          <w:color w:val="auto"/>
          <w:kern w:val="2"/>
          <w:sz w:val="24"/>
          <w:szCs w:val="24"/>
          <w:highlight w:val="none"/>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w:t>
      </w:r>
      <w:r>
        <w:rPr>
          <w:rFonts w:hint="eastAsia" w:ascii="Times New Roman" w:hAnsi="Times New Roman" w:eastAsia="宋体" w:cs="Times New Roman"/>
          <w:b/>
          <w:bCs/>
          <w:color w:val="auto"/>
          <w:kern w:val="2"/>
          <w:sz w:val="24"/>
          <w:szCs w:val="24"/>
          <w:highlight w:val="none"/>
          <w:lang w:val="en-US" w:eastAsia="zh-CN" w:bidi="ar"/>
        </w:rPr>
        <w:t>6</w:t>
      </w:r>
      <w:r>
        <w:rPr>
          <w:rFonts w:hint="eastAsia" w:ascii="宋体" w:hAnsi="宋体" w:eastAsia="宋体" w:cs="宋体"/>
          <w:b/>
          <w:bCs/>
          <w:color w:val="auto"/>
          <w:kern w:val="2"/>
          <w:sz w:val="24"/>
          <w:szCs w:val="24"/>
          <w:highlight w:val="none"/>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b/>
          <w:bCs/>
          <w:color w:val="auto"/>
          <w:kern w:val="2"/>
          <w:sz w:val="24"/>
          <w:szCs w:val="24"/>
          <w:highlight w:val="none"/>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5. </w:t>
      </w:r>
      <w:r>
        <w:rPr>
          <w:rFonts w:hint="eastAsia" w:ascii="宋体" w:hAnsi="宋体" w:eastAsia="宋体" w:cs="宋体"/>
          <w:color w:val="auto"/>
          <w:kern w:val="2"/>
          <w:sz w:val="24"/>
          <w:szCs w:val="24"/>
          <w:highlight w:val="none"/>
          <w:lang w:val="en-US" w:eastAsia="zh-CN" w:bidi="ar"/>
        </w:rPr>
        <w:t>我方在此声明，所递交的响应文件及有关资料内容完整、真实和准确，符合资格审查条件（最低要求），且符合第二章</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供应商须知</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规定的情形。</w:t>
      </w:r>
    </w:p>
    <w:p w14:paraId="31808340">
      <w:pPr>
        <w:pStyle w:val="19"/>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highlight w:val="none"/>
        </w:rPr>
      </w:pPr>
      <w:r>
        <w:rPr>
          <w:rFonts w:hint="eastAsia" w:ascii="Times New Roman" w:hAnsi="Times New Roman" w:eastAsia="黑体" w:cs="Times New Roman"/>
          <w:color w:val="auto"/>
          <w:kern w:val="2"/>
          <w:sz w:val="28"/>
          <w:szCs w:val="28"/>
          <w:highlight w:val="none"/>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响应人：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（签字或盖章）</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8B65FD6">
      <w:pPr>
        <w:rPr>
          <w:rFonts w:hint="default" w:ascii="Times New Roman" w:hAnsi="Times New Roman" w:eastAsia="宋体" w:cs="Times New Roman"/>
          <w:color w:val="auto"/>
          <w:kern w:val="2"/>
          <w:sz w:val="24"/>
          <w:szCs w:val="24"/>
          <w:highlight w:val="none"/>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32" w:name="_Toc10121"/>
      <w:bookmarkStart w:id="133" w:name="_Toc2975"/>
      <w:bookmarkStart w:id="134" w:name="_Toc19887"/>
      <w:bookmarkStart w:id="135" w:name="_Toc7767"/>
      <w:bookmarkStart w:id="136" w:name="_Toc24379"/>
      <w:r>
        <w:rPr>
          <w:rFonts w:hint="eastAsia" w:ascii="黑体" w:hAnsi="宋体" w:eastAsia="黑体" w:cs="黑体"/>
          <w:color w:val="auto"/>
          <w:kern w:val="2"/>
          <w:sz w:val="28"/>
          <w:szCs w:val="28"/>
          <w:highlight w:val="none"/>
          <w:lang w:val="en-US" w:eastAsia="zh-CN" w:bidi="ar"/>
        </w:rPr>
        <w:t>十一、其他材料</w:t>
      </w:r>
      <w:bookmarkEnd w:id="132"/>
      <w:bookmarkEnd w:id="133"/>
      <w:bookmarkEnd w:id="134"/>
      <w:bookmarkEnd w:id="135"/>
      <w:bookmarkEnd w:id="136"/>
    </w:p>
    <w:p w14:paraId="1698877D">
      <w:pPr>
        <w:pStyle w:val="19"/>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840CDE8">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 xml:space="preserve"> </w:t>
      </w:r>
    </w:p>
    <w:p w14:paraId="11BA46A9">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F3E5A4F">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F3C4B9D">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C00571">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6AB5A74">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08848D8">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1F2B79">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18167D51">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323BEE1F">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95EB64">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2B7118A">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A151D9D">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46344CE">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F8D97E">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36F5FD9">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C7AB908">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CEB3D8">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7E99FC">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2588BAC3">
      <w:pPr>
        <w:rPr>
          <w:rFonts w:ascii="Times New Roman" w:hAnsi="Times New Roman" w:cs="Times New Roman"/>
          <w:color w:val="auto"/>
          <w:sz w:val="24"/>
          <w:szCs w:val="28"/>
          <w:highlight w:val="none"/>
        </w:rPr>
      </w:pPr>
    </w:p>
    <w:p w14:paraId="2AAFFD7E">
      <w:pPr>
        <w:spacing w:line="400" w:lineRule="atLeast"/>
        <w:jc w:val="left"/>
        <w:rPr>
          <w:rFonts w:ascii="Times New Roman" w:hAnsi="Times New Roman" w:cs="Times New Roman"/>
          <w:color w:val="auto"/>
          <w:sz w:val="24"/>
          <w:szCs w:val="28"/>
          <w:highlight w:val="none"/>
        </w:rPr>
      </w:pPr>
    </w:p>
    <w:p w14:paraId="26618A24">
      <w:pPr>
        <w:spacing w:line="440" w:lineRule="exact"/>
        <w:jc w:val="center"/>
        <w:rPr>
          <w:rFonts w:hint="eastAsia" w:ascii="方正小标宋简体" w:hAnsi="方正小标宋简体" w:eastAsia="方正小标宋简体" w:cs="方正小标宋简体"/>
          <w:color w:val="auto"/>
          <w:sz w:val="44"/>
          <w:szCs w:val="44"/>
          <w:highlight w:val="none"/>
          <w:u w:val="single"/>
          <w:lang w:val="en-US" w:eastAsia="zh-CN"/>
        </w:rPr>
      </w:pPr>
    </w:p>
    <w:p w14:paraId="5DFD74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Times New Roman" w:hAnsi="Times New Roman" w:eastAsia="黑体" w:cs="Times New Roman"/>
          <w:color w:val="auto"/>
          <w:kern w:val="2"/>
          <w:sz w:val="50"/>
          <w:szCs w:val="50"/>
          <w:highlight w:val="none"/>
        </w:rPr>
      </w:pPr>
      <w:r>
        <w:rPr>
          <w:rFonts w:hint="eastAsia" w:ascii="方正小标宋简体" w:hAnsi="方正小标宋简体" w:eastAsia="方正小标宋简体" w:cs="方正小标宋简体"/>
          <w:color w:val="auto"/>
          <w:kern w:val="2"/>
          <w:sz w:val="44"/>
          <w:szCs w:val="44"/>
          <w:highlight w:val="none"/>
          <w:u w:val="single"/>
          <w:lang w:val="en-US" w:eastAsia="zh-CN" w:bidi="ar"/>
        </w:rPr>
        <w:t xml:space="preserve">               </w:t>
      </w:r>
      <w:r>
        <w:rPr>
          <w:rFonts w:hint="eastAsia" w:ascii="方正小标宋简体" w:hAnsi="方正小标宋简体" w:eastAsia="方正小标宋简体" w:cs="方正小标宋简体"/>
          <w:color w:val="auto"/>
          <w:kern w:val="2"/>
          <w:sz w:val="44"/>
          <w:szCs w:val="44"/>
          <w:highlight w:val="none"/>
          <w:lang w:val="en-US" w:eastAsia="zh-CN" w:bidi="ar"/>
        </w:rPr>
        <w:t>(项目名称)</w:t>
      </w:r>
    </w:p>
    <w:p w14:paraId="1C48DF2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Times New Roman" w:hAnsi="Times New Roman" w:eastAsia="黑体" w:cs="Times New Roman"/>
          <w:color w:val="auto"/>
          <w:sz w:val="50"/>
          <w:szCs w:val="50"/>
          <w:highlight w:val="none"/>
        </w:rPr>
      </w:pPr>
    </w:p>
    <w:p w14:paraId="14CF78B8">
      <w:pPr>
        <w:jc w:val="both"/>
        <w:outlineLvl w:val="9"/>
        <w:rPr>
          <w:rFonts w:ascii="Times New Roman" w:hAnsi="Times New Roman" w:eastAsia="黑体" w:cs="Times New Roman"/>
          <w:color w:val="auto"/>
          <w:sz w:val="50"/>
          <w:szCs w:val="50"/>
          <w:highlight w:val="none"/>
        </w:rPr>
      </w:pPr>
    </w:p>
    <w:p w14:paraId="6C57ACC7">
      <w:pPr>
        <w:jc w:val="both"/>
        <w:outlineLvl w:val="9"/>
        <w:rPr>
          <w:rFonts w:ascii="Times New Roman" w:hAnsi="Times New Roman" w:eastAsia="黑体" w:cs="Times New Roman"/>
          <w:color w:val="auto"/>
          <w:sz w:val="50"/>
          <w:szCs w:val="50"/>
          <w:highlight w:val="none"/>
        </w:rPr>
      </w:pPr>
    </w:p>
    <w:p w14:paraId="23A6FE9B">
      <w:pPr>
        <w:jc w:val="both"/>
        <w:outlineLvl w:val="9"/>
        <w:rPr>
          <w:rFonts w:ascii="Times New Roman" w:hAnsi="Times New Roman" w:eastAsia="黑体" w:cs="Times New Roman"/>
          <w:color w:val="auto"/>
          <w:sz w:val="50"/>
          <w:szCs w:val="50"/>
          <w:highlight w:val="none"/>
        </w:rPr>
      </w:pPr>
    </w:p>
    <w:p w14:paraId="41F2A134">
      <w:pPr>
        <w:jc w:val="center"/>
        <w:outlineLvl w:val="0"/>
        <w:rPr>
          <w:rFonts w:ascii="Times New Roman" w:hAnsi="Times New Roman" w:eastAsia="黑体" w:cs="Times New Roman"/>
          <w:color w:val="auto"/>
          <w:sz w:val="50"/>
          <w:szCs w:val="50"/>
          <w:highlight w:val="none"/>
        </w:rPr>
      </w:pPr>
      <w:bookmarkStart w:id="137" w:name="_Toc32416"/>
      <w:bookmarkStart w:id="138" w:name="_Toc9215"/>
      <w:bookmarkStart w:id="139" w:name="_Toc2786"/>
      <w:bookmarkStart w:id="140" w:name="_Toc4837"/>
      <w:bookmarkStart w:id="141" w:name="_Toc26591"/>
      <w:r>
        <w:rPr>
          <w:rFonts w:ascii="Times New Roman" w:hAnsi="Times New Roman" w:eastAsia="黑体" w:cs="Times New Roman"/>
          <w:color w:val="auto"/>
          <w:sz w:val="50"/>
          <w:szCs w:val="50"/>
          <w:highlight w:val="none"/>
        </w:rPr>
        <w:t>响  应  文  件</w:t>
      </w:r>
      <w:bookmarkEnd w:id="137"/>
      <w:bookmarkEnd w:id="138"/>
      <w:bookmarkEnd w:id="139"/>
      <w:bookmarkEnd w:id="140"/>
      <w:bookmarkEnd w:id="141"/>
    </w:p>
    <w:p w14:paraId="7382D764">
      <w:pPr>
        <w:pStyle w:val="22"/>
        <w:ind w:left="0" w:leftChars="0" w:firstLine="0" w:firstLineChars="0"/>
        <w:jc w:val="center"/>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kern w:val="2"/>
          <w:sz w:val="28"/>
          <w:szCs w:val="28"/>
          <w:highlight w:val="none"/>
          <w:lang w:val="en-US" w:eastAsia="zh-CN" w:bidi="ar-SA"/>
        </w:rPr>
        <w:t>（报价文件）</w:t>
      </w:r>
    </w:p>
    <w:p w14:paraId="42FAF460">
      <w:pPr>
        <w:spacing w:line="440" w:lineRule="exact"/>
        <w:rPr>
          <w:rFonts w:ascii="Times New Roman" w:hAnsi="Times New Roman" w:eastAsia="黑体" w:cs="Times New Roman"/>
          <w:color w:val="auto"/>
          <w:sz w:val="32"/>
          <w:szCs w:val="32"/>
          <w:highlight w:val="none"/>
        </w:rPr>
      </w:pPr>
    </w:p>
    <w:p w14:paraId="32DAD549">
      <w:pPr>
        <w:spacing w:line="440" w:lineRule="exact"/>
        <w:rPr>
          <w:rFonts w:ascii="Times New Roman" w:hAnsi="Times New Roman" w:eastAsia="黑体" w:cs="Times New Roman"/>
          <w:color w:val="auto"/>
          <w:sz w:val="32"/>
          <w:szCs w:val="32"/>
          <w:highlight w:val="none"/>
        </w:rPr>
      </w:pPr>
    </w:p>
    <w:p w14:paraId="31CF9F8F">
      <w:pPr>
        <w:spacing w:line="440" w:lineRule="exact"/>
        <w:rPr>
          <w:rFonts w:ascii="Times New Roman" w:hAnsi="Times New Roman" w:eastAsia="黑体" w:cs="Times New Roman"/>
          <w:color w:val="auto"/>
          <w:sz w:val="20"/>
          <w:szCs w:val="20"/>
          <w:highlight w:val="none"/>
        </w:rPr>
      </w:pPr>
    </w:p>
    <w:p w14:paraId="219A8A2B">
      <w:pPr>
        <w:spacing w:line="440" w:lineRule="exact"/>
        <w:rPr>
          <w:rFonts w:ascii="Times New Roman" w:hAnsi="Times New Roman" w:eastAsia="黑体" w:cs="Times New Roman"/>
          <w:color w:val="auto"/>
          <w:sz w:val="20"/>
          <w:szCs w:val="20"/>
          <w:highlight w:val="none"/>
        </w:rPr>
      </w:pPr>
    </w:p>
    <w:p w14:paraId="161D3AFE">
      <w:pPr>
        <w:spacing w:line="440" w:lineRule="exact"/>
        <w:rPr>
          <w:rFonts w:ascii="Times New Roman" w:hAnsi="Times New Roman" w:eastAsia="黑体" w:cs="Times New Roman"/>
          <w:color w:val="auto"/>
          <w:sz w:val="20"/>
          <w:szCs w:val="20"/>
          <w:highlight w:val="none"/>
        </w:rPr>
      </w:pPr>
    </w:p>
    <w:p w14:paraId="67D4AE3B">
      <w:pPr>
        <w:spacing w:line="440" w:lineRule="exact"/>
        <w:rPr>
          <w:rFonts w:ascii="Times New Roman" w:hAnsi="Times New Roman" w:eastAsia="黑体" w:cs="Times New Roman"/>
          <w:color w:val="auto"/>
          <w:sz w:val="20"/>
          <w:szCs w:val="20"/>
          <w:highlight w:val="none"/>
        </w:rPr>
      </w:pPr>
    </w:p>
    <w:p w14:paraId="74A0F41C">
      <w:pPr>
        <w:spacing w:line="440" w:lineRule="exact"/>
        <w:rPr>
          <w:rFonts w:ascii="Times New Roman" w:hAnsi="Times New Roman" w:eastAsia="黑体" w:cs="Times New Roman"/>
          <w:color w:val="auto"/>
          <w:sz w:val="20"/>
          <w:szCs w:val="20"/>
          <w:highlight w:val="none"/>
        </w:rPr>
      </w:pPr>
    </w:p>
    <w:p w14:paraId="34EFD36E">
      <w:pPr>
        <w:pStyle w:val="22"/>
        <w:rPr>
          <w:rFonts w:ascii="Times New Roman" w:hAnsi="Times New Roman" w:eastAsia="黑体" w:cs="Times New Roman"/>
          <w:color w:val="auto"/>
          <w:sz w:val="20"/>
          <w:szCs w:val="20"/>
          <w:highlight w:val="none"/>
        </w:rPr>
      </w:pPr>
    </w:p>
    <w:p w14:paraId="0963F458">
      <w:pPr>
        <w:rPr>
          <w:rFonts w:ascii="Times New Roman" w:hAnsi="Times New Roman" w:eastAsia="黑体" w:cs="Times New Roman"/>
          <w:color w:val="auto"/>
          <w:sz w:val="20"/>
          <w:szCs w:val="20"/>
          <w:highlight w:val="none"/>
        </w:rPr>
      </w:pPr>
    </w:p>
    <w:p w14:paraId="53B739CA">
      <w:pPr>
        <w:pStyle w:val="22"/>
        <w:rPr>
          <w:rFonts w:ascii="Times New Roman" w:hAnsi="Times New Roman" w:eastAsia="黑体" w:cs="Times New Roman"/>
          <w:color w:val="auto"/>
          <w:sz w:val="20"/>
          <w:szCs w:val="20"/>
          <w:highlight w:val="none"/>
        </w:rPr>
      </w:pPr>
    </w:p>
    <w:p w14:paraId="3719D7B2">
      <w:pPr>
        <w:rPr>
          <w:rFonts w:ascii="Times New Roman" w:hAnsi="Times New Roman" w:eastAsia="黑体" w:cs="Times New Roman"/>
          <w:color w:val="auto"/>
          <w:sz w:val="20"/>
          <w:szCs w:val="20"/>
          <w:highlight w:val="none"/>
        </w:rPr>
      </w:pPr>
    </w:p>
    <w:p w14:paraId="2CF8BE4D">
      <w:pPr>
        <w:spacing w:line="440" w:lineRule="exact"/>
        <w:rPr>
          <w:rFonts w:ascii="Times New Roman" w:hAnsi="Times New Roman" w:eastAsia="黑体" w:cs="Times New Roman"/>
          <w:color w:val="auto"/>
          <w:sz w:val="20"/>
          <w:szCs w:val="20"/>
          <w:highlight w:val="none"/>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u w:val="single"/>
        </w:rPr>
      </w:pPr>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u w:val="none"/>
        </w:rPr>
        <w:t>(全称、盖单位</w:t>
      </w:r>
      <w:r>
        <w:rPr>
          <w:rFonts w:hint="eastAsia" w:ascii="Times New Roman" w:hAnsi="Times New Roman" w:eastAsia="黑体" w:cs="Times New Roman"/>
          <w:color w:val="auto"/>
          <w:sz w:val="28"/>
          <w:szCs w:val="28"/>
          <w:highlight w:val="none"/>
          <w:u w:val="none"/>
          <w:lang w:val="en-US" w:eastAsia="zh-CN"/>
        </w:rPr>
        <w:t>公</w:t>
      </w:r>
      <w:r>
        <w:rPr>
          <w:rFonts w:ascii="Times New Roman" w:hAnsi="Times New Roman" w:eastAsia="黑体" w:cs="Times New Roman"/>
          <w:color w:val="auto"/>
          <w:sz w:val="28"/>
          <w:szCs w:val="28"/>
          <w:highlight w:val="none"/>
          <w:u w:val="none"/>
        </w:rPr>
        <w:t xml:space="preserve">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p>
    <w:p w14:paraId="42E13069">
      <w:pPr>
        <w:adjustRightInd w:val="0"/>
        <w:snapToGrid w:val="0"/>
        <w:rPr>
          <w:rFonts w:ascii="Times New Roman" w:hAnsi="Times New Roman" w:eastAsia="黑体" w:cs="Times New Roman"/>
          <w:color w:val="auto"/>
          <w:sz w:val="20"/>
          <w:szCs w:val="20"/>
          <w:highlight w:val="none"/>
        </w:rPr>
      </w:pPr>
    </w:p>
    <w:p w14:paraId="6EF7835A">
      <w:pPr>
        <w:adjustRightInd w:val="0"/>
        <w:snapToGrid w:val="0"/>
        <w:jc w:val="center"/>
        <w:outlineLvl w:val="1"/>
        <w:rPr>
          <w:rFonts w:hint="eastAsia" w:ascii="黑体" w:hAnsi="黑体" w:eastAsia="黑体" w:cs="黑体"/>
          <w:b w:val="0"/>
          <w:bCs/>
          <w:color w:val="auto"/>
          <w:sz w:val="28"/>
          <w:szCs w:val="28"/>
          <w:highlight w:val="none"/>
          <w:lang w:eastAsia="zh-CN"/>
        </w:rPr>
      </w:pPr>
      <w:bookmarkStart w:id="142" w:name="_Toc29399_WPSOffice_Level1"/>
      <w:bookmarkStart w:id="143" w:name="_Toc8703"/>
      <w:bookmarkStart w:id="144" w:name="_Toc11805_WPSOffice_Level1"/>
      <w:bookmarkStart w:id="145" w:name="_Toc15092"/>
      <w:bookmarkStart w:id="146" w:name="_Toc1687_WPSOffice_Level1"/>
      <w:bookmarkStart w:id="147" w:name="_Toc24269_WPSOffice_Level1"/>
      <w:bookmarkStart w:id="148" w:name="_Toc2765_WPSOffice_Level1"/>
      <w:bookmarkStart w:id="149" w:name="_Toc1924"/>
      <w:bookmarkStart w:id="150" w:name="_Toc29968"/>
      <w:bookmarkStart w:id="151" w:name="_Toc30031_WPSOffice_Level1"/>
      <w:bookmarkStart w:id="152" w:name="_Toc18312_WPSOffice_Level1"/>
      <w:bookmarkStart w:id="153" w:name="_Toc23583"/>
      <w:r>
        <w:rPr>
          <w:rFonts w:hint="eastAsia" w:ascii="黑体" w:hAnsi="黑体" w:eastAsia="黑体" w:cs="黑体"/>
          <w:b w:val="0"/>
          <w:bCs/>
          <w:color w:val="auto"/>
          <w:sz w:val="28"/>
          <w:szCs w:val="28"/>
          <w:highlight w:val="none"/>
        </w:rPr>
        <w:t>一、</w:t>
      </w:r>
      <w:bookmarkEnd w:id="142"/>
      <w:bookmarkEnd w:id="143"/>
      <w:bookmarkEnd w:id="144"/>
      <w:bookmarkEnd w:id="145"/>
      <w:bookmarkEnd w:id="146"/>
      <w:bookmarkEnd w:id="147"/>
      <w:bookmarkEnd w:id="148"/>
      <w:bookmarkEnd w:id="149"/>
      <w:bookmarkEnd w:id="150"/>
      <w:bookmarkEnd w:id="151"/>
      <w:bookmarkEnd w:id="152"/>
      <w:bookmarkEnd w:id="153"/>
      <w:r>
        <w:rPr>
          <w:rFonts w:hint="eastAsia" w:ascii="黑体" w:hAnsi="黑体" w:eastAsia="黑体" w:cs="黑体"/>
          <w:b w:val="0"/>
          <w:bCs/>
          <w:color w:val="auto"/>
          <w:sz w:val="28"/>
          <w:szCs w:val="28"/>
          <w:highlight w:val="none"/>
          <w:lang w:eastAsia="zh-CN"/>
        </w:rPr>
        <w:t>响应函</w:t>
      </w:r>
    </w:p>
    <w:p w14:paraId="2D9C7FD0">
      <w:pPr>
        <w:spacing w:line="440" w:lineRule="exact"/>
        <w:rPr>
          <w:rFonts w:ascii="Times New Roman" w:hAnsi="Times New Roman" w:cs="Times New Roman"/>
          <w:color w:val="auto"/>
          <w:sz w:val="24"/>
          <w:highlight w:val="none"/>
        </w:rPr>
      </w:pP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r>
        <w:rPr>
          <w:rFonts w:ascii="Times New Roman" w:hAnsi="Times New Roman" w:cs="Times New Roman"/>
          <w:color w:val="auto"/>
          <w:sz w:val="24"/>
          <w:highlight w:val="none"/>
        </w:rPr>
        <w:t>(采购人名称)：</w:t>
      </w:r>
    </w:p>
    <w:p w14:paraId="1D13F3E4">
      <w:pPr>
        <w:pStyle w:val="10"/>
        <w:rPr>
          <w:color w:val="auto"/>
          <w:highlight w:val="none"/>
        </w:rPr>
      </w:pPr>
    </w:p>
    <w:p w14:paraId="0E5946D8">
      <w:pPr>
        <w:keepNext w:val="0"/>
        <w:keepLines w:val="0"/>
        <w:widowControl/>
        <w:suppressLineNumbers w:val="0"/>
        <w:ind w:firstLine="480" w:firstLineChars="200"/>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1．我方已仔细研究了</w:t>
      </w:r>
      <w:r>
        <w:rPr>
          <w:rFonts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 xml:space="preserve">   </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(项目名称)</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的全部内容（包括工程量清单和施工图纸及</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中所述的各种因素），愿意以</w:t>
      </w:r>
      <w:r>
        <w:rPr>
          <w:rFonts w:hint="eastAsia" w:ascii="Times New Roman" w:hAnsi="Times New Roman" w:cs="Times New Roman"/>
          <w:color w:val="auto"/>
          <w:sz w:val="24"/>
          <w:highlight w:val="none"/>
          <w:lang w:val="en-US" w:eastAsia="zh-CN"/>
        </w:rPr>
        <w:t>人民币（大写）</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）的</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总报价</w:t>
      </w:r>
      <w:r>
        <w:rPr>
          <w:rFonts w:hint="eastAsia" w:ascii="Times New Roman" w:hAnsi="Times New Roman" w:cs="Times New Roman"/>
          <w:color w:val="auto"/>
          <w:sz w:val="24"/>
          <w:highlight w:val="none"/>
          <w:lang w:eastAsia="zh-CN"/>
        </w:rPr>
        <w:t>提供采购</w:t>
      </w:r>
      <w:r>
        <w:rPr>
          <w:rFonts w:hint="eastAsia" w:ascii="Times New Roman" w:hAnsi="Times New Roman" w:cs="Times New Roman"/>
          <w:color w:val="auto"/>
          <w:sz w:val="24"/>
          <w:highlight w:val="none"/>
          <w:lang w:val="en-US" w:eastAsia="zh-CN"/>
        </w:rPr>
        <w:t>文件标明的货物</w:t>
      </w:r>
      <w:r>
        <w:rPr>
          <w:rFonts w:ascii="Times New Roman" w:hAnsi="Times New Roman" w:cs="Times New Roman"/>
          <w:color w:val="auto"/>
          <w:sz w:val="24"/>
          <w:highlight w:val="none"/>
        </w:rPr>
        <w:t>要求</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技术服务和质保期服务</w:t>
      </w:r>
      <w:r>
        <w:rPr>
          <w:rFonts w:hint="eastAsia" w:ascii="Times New Roman" w:hAnsi="Times New Roman" w:cs="Times New Roman"/>
          <w:color w:val="auto"/>
          <w:sz w:val="24"/>
          <w:highlight w:val="none"/>
        </w:rPr>
        <w:t>措施</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并</w:t>
      </w:r>
      <w:r>
        <w:rPr>
          <w:rFonts w:ascii="Times New Roman" w:hAnsi="Times New Roman" w:cs="Times New Roman"/>
          <w:color w:val="auto"/>
          <w:sz w:val="24"/>
          <w:highlight w:val="none"/>
        </w:rPr>
        <w:t>按合同约定履行义务。</w:t>
      </w:r>
    </w:p>
    <w:p w14:paraId="488C006B">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2．我方承诺在响应有效期内不修改、撤销响应文件。</w:t>
      </w:r>
    </w:p>
    <w:p w14:paraId="70DCFE48">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3.</w:t>
      </w:r>
      <w:r>
        <w:rPr>
          <w:rFonts w:ascii="Times New Roman" w:hAnsi="Times New Roman" w:cs="Times New Roman"/>
          <w:color w:val="auto"/>
          <w:sz w:val="24"/>
          <w:highlight w:val="none"/>
        </w:rPr>
        <w:t>．如我方成交：</w:t>
      </w:r>
    </w:p>
    <w:p w14:paraId="30729633">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(2)我方承诺按照</w:t>
      </w:r>
      <w:r>
        <w:rPr>
          <w:rFonts w:hint="eastAsia" w:ascii="Times New Roman" w:hAnsi="Times New Roman" w:cs="Times New Roman"/>
          <w:color w:val="auto"/>
          <w:sz w:val="24"/>
          <w:highlight w:val="none"/>
          <w:lang w:eastAsia="zh-CN"/>
        </w:rPr>
        <w:t>采购</w:t>
      </w:r>
      <w:r>
        <w:rPr>
          <w:rFonts w:ascii="Times New Roman" w:hAnsi="Times New Roman" w:cs="Times New Roman"/>
          <w:color w:val="auto"/>
          <w:sz w:val="24"/>
          <w:highlight w:val="none"/>
        </w:rPr>
        <w:t>文件规定向你方递交履约担保。</w:t>
      </w:r>
    </w:p>
    <w:p w14:paraId="233214A1">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．在合同协议书正式签署生效之前，本</w:t>
      </w:r>
      <w:r>
        <w:rPr>
          <w:rFonts w:hint="eastAsia" w:ascii="Times New Roman" w:hAnsi="Times New Roman" w:cs="Times New Roman"/>
          <w:color w:val="auto"/>
          <w:sz w:val="24"/>
          <w:highlight w:val="none"/>
          <w:lang w:eastAsia="zh-CN"/>
        </w:rPr>
        <w:t>响应函</w:t>
      </w:r>
      <w:r>
        <w:rPr>
          <w:rFonts w:ascii="Times New Roman" w:hAnsi="Times New Roman" w:cs="Times New Roman"/>
          <w:color w:val="auto"/>
          <w:sz w:val="24"/>
          <w:highlight w:val="none"/>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6</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我方已按</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文件要求详细审核并确认全部</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文件及有关附件，充分理解</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7</w:t>
      </w:r>
      <w:r>
        <w:rPr>
          <w:rFonts w:hint="eastAsia" w:ascii="Times New Roman" w:hAnsi="Times New Roman" w:cs="Times New Roman"/>
          <w:color w:val="auto"/>
          <w:sz w:val="24"/>
          <w:highlight w:val="none"/>
        </w:rPr>
        <w:t>.____/____（其他补充说明）。</w:t>
      </w:r>
    </w:p>
    <w:p w14:paraId="2AA67BE1">
      <w:pPr>
        <w:pStyle w:val="10"/>
        <w:rPr>
          <w:rFonts w:hint="eastAsia" w:ascii="Times New Roman" w:hAnsi="Times New Roman" w:cs="Times New Roman"/>
          <w:color w:val="auto"/>
          <w:sz w:val="24"/>
          <w:highlight w:val="none"/>
        </w:rPr>
      </w:pPr>
    </w:p>
    <w:p w14:paraId="2564B337">
      <w:pPr>
        <w:pStyle w:val="35"/>
        <w:rPr>
          <w:rFonts w:hint="eastAsia"/>
          <w:color w:val="auto"/>
          <w:highlight w:val="none"/>
        </w:rPr>
      </w:pPr>
    </w:p>
    <w:p w14:paraId="22CEF1E1">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w:t>
      </w:r>
      <w:r>
        <w:rPr>
          <w:rFonts w:hint="eastAsia" w:ascii="Times New Roman" w:hAnsi="Times New Roman" w:cs="Times New Roman"/>
          <w:color w:val="auto"/>
          <w:sz w:val="24"/>
          <w:highlight w:val="none"/>
          <w:lang w:val="en-US" w:eastAsia="zh-CN"/>
        </w:rPr>
        <w:t>公</w:t>
      </w:r>
      <w:r>
        <w:rPr>
          <w:rFonts w:ascii="Times New Roman" w:hAnsi="Times New Roman" w:cs="Times New Roman"/>
          <w:color w:val="auto"/>
          <w:sz w:val="24"/>
          <w:highlight w:val="none"/>
        </w:rPr>
        <w:t>章)</w:t>
      </w:r>
    </w:p>
    <w:p w14:paraId="50E71AAE">
      <w:pPr>
        <w:spacing w:line="400" w:lineRule="exact"/>
        <w:ind w:firstLine="3360" w:firstLineChars="1400"/>
        <w:rPr>
          <w:rFonts w:hint="eastAsia" w:ascii="Times New Roman" w:hAnsi="Times New Roman" w:cs="Times New Roman" w:eastAsiaTheme="minorEastAsia"/>
          <w:color w:val="auto"/>
          <w:sz w:val="24"/>
          <w:highlight w:val="none"/>
          <w:lang w:eastAsia="zh-CN"/>
        </w:rPr>
      </w:pPr>
      <w:r>
        <w:rPr>
          <w:rFonts w:ascii="Times New Roman" w:hAnsi="Times New Roman" w:cs="Times New Roman"/>
          <w:color w:val="auto"/>
          <w:sz w:val="24"/>
          <w:highlight w:val="none"/>
        </w:rPr>
        <w:t>法定代表人</w:t>
      </w:r>
      <w:r>
        <w:rPr>
          <w:rFonts w:hint="eastAsia" w:ascii="Times New Roman" w:hAnsi="Times New Roman" w:cs="Times New Roman"/>
          <w:color w:val="auto"/>
          <w:sz w:val="24"/>
          <w:highlight w:val="none"/>
          <w:lang w:eastAsia="zh-CN"/>
        </w:rPr>
        <w:t>或</w:t>
      </w:r>
      <w:r>
        <w:rPr>
          <w:rFonts w:hint="eastAsia" w:ascii="Times New Roman" w:hAnsi="Times New Roman" w:cs="Times New Roman"/>
          <w:color w:val="auto"/>
          <w:sz w:val="24"/>
          <w:highlight w:val="none"/>
        </w:rPr>
        <w:t>委托代理人</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u w:val="single"/>
          <w:lang w:val="en-US" w:eastAsia="zh-CN"/>
        </w:rPr>
        <w:t xml:space="preserve">          </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签</w:t>
      </w:r>
      <w:r>
        <w:rPr>
          <w:rFonts w:hint="eastAsia" w:ascii="Times New Roman" w:hAnsi="Times New Roman" w:cs="Times New Roman"/>
          <w:color w:val="auto"/>
          <w:sz w:val="24"/>
          <w:highlight w:val="none"/>
          <w:lang w:val="en-US" w:eastAsia="zh-CN"/>
        </w:rPr>
        <w:t>字</w:t>
      </w:r>
      <w:r>
        <w:rPr>
          <w:rFonts w:ascii="Times New Roman" w:hAnsi="Times New Roman" w:cs="Times New Roman"/>
          <w:color w:val="auto"/>
          <w:sz w:val="24"/>
          <w:highlight w:val="none"/>
        </w:rPr>
        <w:t>)</w:t>
      </w:r>
    </w:p>
    <w:p w14:paraId="6D7D89D2">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地址：</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14:paraId="4B7CD6B4">
      <w:pPr>
        <w:spacing w:line="400" w:lineRule="exact"/>
        <w:ind w:firstLine="3420" w:firstLineChars="1425"/>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电子邮箱</w:t>
      </w:r>
      <w:r>
        <w:rPr>
          <w:rFonts w:ascii="Times New Roman" w:hAnsi="Times New Roman" w:cs="Times New Roman"/>
          <w:color w:val="auto"/>
          <w:sz w:val="24"/>
          <w:highlight w:val="none"/>
        </w:rPr>
        <w:t>：</w:t>
      </w:r>
      <w:r>
        <w:rPr>
          <w:rFonts w:ascii="Times New Roman" w:hAnsi="Times New Roman" w:cs="Times New Roman"/>
          <w:color w:val="auto"/>
          <w:sz w:val="24"/>
          <w:highlight w:val="none"/>
          <w:u w:val="single"/>
        </w:rPr>
        <w:t xml:space="preserve">                                  </w:t>
      </w:r>
    </w:p>
    <w:p w14:paraId="45C12650">
      <w:pPr>
        <w:spacing w:line="400" w:lineRule="exact"/>
        <w:ind w:firstLine="4740" w:firstLineChars="1975"/>
        <w:rPr>
          <w:rFonts w:ascii="Times New Roman" w:hAnsi="Times New Roman" w:cs="Times New Roman"/>
          <w:color w:val="auto"/>
          <w:sz w:val="24"/>
          <w:highlight w:val="non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14:paraId="3E1F27ED">
      <w:pPr>
        <w:spacing w:line="400" w:lineRule="exact"/>
        <w:ind w:firstLine="4740" w:firstLineChars="1975"/>
        <w:rPr>
          <w:rFonts w:ascii="Times New Roman" w:hAnsi="Times New Roman" w:cs="Times New Roman"/>
          <w:color w:val="auto"/>
          <w:sz w:val="24"/>
          <w:highlight w:val="none"/>
        </w:rPr>
      </w:pPr>
    </w:p>
    <w:p w14:paraId="0EED3B31">
      <w:pPr>
        <w:pStyle w:val="22"/>
        <w:rPr>
          <w:rFonts w:ascii="Times New Roman" w:hAnsi="Times New Roman" w:cs="Times New Roman"/>
          <w:color w:val="auto"/>
          <w:sz w:val="24"/>
          <w:highlight w:val="none"/>
        </w:rPr>
      </w:pPr>
    </w:p>
    <w:p w14:paraId="530B1E63">
      <w:pPr>
        <w:rPr>
          <w:rFonts w:ascii="Times New Roman" w:hAnsi="Times New Roman" w:cs="Times New Roman"/>
          <w:color w:val="auto"/>
          <w:sz w:val="24"/>
          <w:highlight w:val="none"/>
        </w:rPr>
      </w:pPr>
    </w:p>
    <w:p w14:paraId="4DE51CCD">
      <w:pPr>
        <w:pStyle w:val="10"/>
        <w:rPr>
          <w:color w:val="auto"/>
          <w:highlight w:val="none"/>
        </w:rPr>
      </w:pPr>
    </w:p>
    <w:p w14:paraId="32C8775A">
      <w:pPr>
        <w:pStyle w:val="15"/>
        <w:rPr>
          <w:color w:val="auto"/>
          <w:highlight w:val="none"/>
        </w:rPr>
      </w:pPr>
    </w:p>
    <w:p w14:paraId="45BA8728">
      <w:pPr>
        <w:pStyle w:val="16"/>
        <w:rPr>
          <w:color w:val="auto"/>
          <w:highlight w:val="none"/>
        </w:rPr>
      </w:pPr>
    </w:p>
    <w:p w14:paraId="40B8B372">
      <w:pPr>
        <w:rPr>
          <w:color w:val="auto"/>
          <w:highlight w:val="none"/>
        </w:rPr>
      </w:pPr>
    </w:p>
    <w:p w14:paraId="3659ED9B">
      <w:pPr>
        <w:pStyle w:val="22"/>
        <w:rPr>
          <w:rFonts w:ascii="Times New Roman" w:hAnsi="Times New Roman" w:cs="Times New Roman"/>
          <w:color w:val="auto"/>
          <w:sz w:val="24"/>
          <w:highlight w:val="none"/>
        </w:rPr>
      </w:pPr>
    </w:p>
    <w:p w14:paraId="3159FF87"/>
    <w:p w14:paraId="0B9FD6BB">
      <w:pPr>
        <w:adjustRightInd w:val="0"/>
        <w:snapToGrid w:val="0"/>
        <w:jc w:val="center"/>
        <w:outlineLvl w:val="1"/>
        <w:rPr>
          <w:rFonts w:hint="eastAsia" w:ascii="黑体" w:hAnsi="黑体" w:eastAsia="黑体" w:cs="黑体"/>
          <w:b w:val="0"/>
          <w:bCs/>
          <w:color w:val="auto"/>
          <w:sz w:val="28"/>
          <w:szCs w:val="28"/>
          <w:highlight w:val="none"/>
        </w:rPr>
      </w:pPr>
      <w:bookmarkStart w:id="154" w:name="_Toc162490440"/>
      <w:bookmarkStart w:id="155" w:name="_Toc153421230"/>
      <w:bookmarkStart w:id="156" w:name="_Toc272486050"/>
      <w:r>
        <w:rPr>
          <w:rFonts w:hint="eastAsia" w:ascii="黑体" w:hAnsi="黑体" w:eastAsia="黑体" w:cs="黑体"/>
          <w:b w:val="0"/>
          <w:bCs/>
          <w:color w:val="auto"/>
          <w:sz w:val="28"/>
          <w:szCs w:val="28"/>
          <w:highlight w:val="none"/>
        </w:rPr>
        <w:t>二、</w:t>
      </w:r>
      <w:bookmarkEnd w:id="154"/>
      <w:bookmarkEnd w:id="155"/>
      <w:bookmarkEnd w:id="156"/>
      <w:r>
        <w:rPr>
          <w:rFonts w:hint="eastAsia" w:ascii="黑体" w:hAnsi="黑体" w:eastAsia="黑体" w:cs="黑体"/>
          <w:b w:val="0"/>
          <w:bCs/>
          <w:color w:val="auto"/>
          <w:sz w:val="28"/>
          <w:szCs w:val="28"/>
          <w:highlight w:val="none"/>
        </w:rPr>
        <w:t>已标价的报价清单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5425BB1D">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38DB0F0C">
      <w:pPr>
        <w:bidi w:val="0"/>
        <w:rPr>
          <w:rFonts w:hint="eastAsia"/>
          <w:color w:val="auto"/>
          <w:highlight w:val="none"/>
          <w:lang w:val="en-US" w:eastAsia="zh-CN"/>
        </w:rPr>
      </w:pPr>
    </w:p>
    <w:p w14:paraId="31AB784D">
      <w:pPr>
        <w:bidi w:val="0"/>
        <w:rPr>
          <w:rFonts w:hint="eastAsia"/>
          <w:color w:val="auto"/>
          <w:highlight w:val="none"/>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w:t>
      </w:r>
      <w:r>
        <w:rPr>
          <w:rFonts w:hint="eastAsia" w:ascii="宋体" w:hAnsi="宋体"/>
          <w:color w:val="auto"/>
          <w:szCs w:val="21"/>
          <w:highlight w:val="none"/>
          <w:u w:val="none"/>
          <w:lang w:val="en-US" w:eastAsia="zh-CN"/>
        </w:rPr>
        <w:t>、</w:t>
      </w:r>
      <w:r>
        <w:rPr>
          <w:rFonts w:hint="eastAsia" w:ascii="宋体" w:hAnsi="宋体"/>
          <w:color w:val="auto"/>
          <w:szCs w:val="21"/>
          <w:highlight w:val="none"/>
          <w:u w:val="none"/>
        </w:rPr>
        <w:t>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70026314">
      <w:pPr>
        <w:bidi w:val="0"/>
        <w:rPr>
          <w:rFonts w:hint="eastAsia"/>
          <w:color w:val="auto"/>
          <w:highlight w:val="none"/>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4"/>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491"/>
        <w:gridCol w:w="2492"/>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22"/>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3491" w:type="dxa"/>
            <w:vAlign w:val="center"/>
          </w:tcPr>
          <w:p w14:paraId="70787F35">
            <w:pPr>
              <w:pStyle w:val="22"/>
              <w:keepNext w:val="0"/>
              <w:keepLines w:val="0"/>
              <w:suppressLineNumbers w:val="0"/>
              <w:spacing w:before="0" w:beforeAutospacing="0" w:afterAutospacing="0"/>
              <w:ind w:left="0" w:leftChars="0" w:right="0" w:firstLine="0" w:firstLineChars="0"/>
              <w:jc w:val="center"/>
              <w:rPr>
                <w:rFonts w:hint="default"/>
                <w:color w:val="auto"/>
                <w:highlight w:val="none"/>
                <w:lang w:val="en-US" w:eastAsia="zh-CN"/>
              </w:rPr>
            </w:pPr>
            <w:r>
              <w:rPr>
                <w:rFonts w:hint="eastAsia"/>
                <w:color w:val="auto"/>
                <w:highlight w:val="none"/>
                <w:lang w:val="en-US" w:eastAsia="zh-CN"/>
              </w:rPr>
              <w:t>亳蒙铝单板采购项目</w:t>
            </w:r>
          </w:p>
        </w:tc>
        <w:tc>
          <w:tcPr>
            <w:tcW w:w="2492" w:type="dxa"/>
            <w:vAlign w:val="center"/>
          </w:tcPr>
          <w:p w14:paraId="5D63EC84">
            <w:pPr>
              <w:pStyle w:val="22"/>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2119" w:type="dxa"/>
            <w:vAlign w:val="center"/>
          </w:tcPr>
          <w:p w14:paraId="2E7D9F42">
            <w:pPr>
              <w:pStyle w:val="22"/>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22"/>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3491" w:type="dxa"/>
            <w:vAlign w:val="center"/>
          </w:tcPr>
          <w:p w14:paraId="5649D393">
            <w:pPr>
              <w:pStyle w:val="22"/>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highlight w:val="none"/>
                <w:lang w:val="en-US" w:eastAsia="zh-CN"/>
              </w:rPr>
              <w:t>合计</w:t>
            </w:r>
          </w:p>
        </w:tc>
        <w:tc>
          <w:tcPr>
            <w:tcW w:w="2492" w:type="dxa"/>
            <w:vAlign w:val="center"/>
          </w:tcPr>
          <w:p w14:paraId="7202620A">
            <w:pPr>
              <w:pStyle w:val="22"/>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2119" w:type="dxa"/>
            <w:vAlign w:val="center"/>
          </w:tcPr>
          <w:p w14:paraId="6A4B90EC">
            <w:pPr>
              <w:pStyle w:val="22"/>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272" w:type="dxa"/>
            <w:gridSpan w:val="2"/>
            <w:vAlign w:val="center"/>
          </w:tcPr>
          <w:p w14:paraId="7BEBA5EB">
            <w:pPr>
              <w:pStyle w:val="22"/>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4611" w:type="dxa"/>
            <w:gridSpan w:val="2"/>
            <w:vAlign w:val="center"/>
          </w:tcPr>
          <w:p w14:paraId="02585497">
            <w:pPr>
              <w:pStyle w:val="22"/>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bl>
    <w:p w14:paraId="24F56A55">
      <w:pPr>
        <w:pStyle w:val="22"/>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w:t>
      </w:r>
      <w:r>
        <w:rPr>
          <w:rFonts w:hint="eastAsia" w:ascii="宋体" w:hAnsi="宋体"/>
          <w:color w:val="auto"/>
          <w:szCs w:val="21"/>
          <w:highlight w:val="none"/>
          <w:u w:val="none"/>
          <w:lang w:val="en-US" w:eastAsia="zh-CN"/>
        </w:rPr>
        <w:t>单位公章</w:t>
      </w:r>
      <w:r>
        <w:rPr>
          <w:rFonts w:hint="eastAsia" w:ascii="宋体" w:hAnsi="宋体"/>
          <w:color w:val="auto"/>
          <w:szCs w:val="21"/>
          <w:highlight w:val="none"/>
          <w:u w:val="none"/>
        </w:rPr>
        <w:t>）</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法定代表人或</w:t>
      </w:r>
      <w:r>
        <w:rPr>
          <w:rFonts w:hint="eastAsia" w:ascii="宋体" w:hAnsi="宋体"/>
          <w:color w:val="auto"/>
          <w:szCs w:val="21"/>
          <w:highlight w:val="none"/>
          <w:u w:val="none"/>
          <w:lang w:val="en-US" w:eastAsia="zh-CN"/>
        </w:rPr>
        <w:t>委托</w:t>
      </w:r>
      <w:r>
        <w:rPr>
          <w:rFonts w:hint="eastAsia" w:ascii="宋体" w:hAnsi="宋体"/>
          <w:color w:val="auto"/>
          <w:szCs w:val="21"/>
          <w:highlight w:val="none"/>
          <w:u w:val="none"/>
        </w:rPr>
        <w:t>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22"/>
        <w:rPr>
          <w:color w:val="auto"/>
          <w:highlight w:val="none"/>
        </w:rPr>
      </w:pPr>
    </w:p>
    <w:p w14:paraId="1963A718">
      <w:pPr>
        <w:pStyle w:val="22"/>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21"/>
        <w:rPr>
          <w:rFonts w:hint="eastAsia"/>
          <w:color w:val="auto"/>
          <w:highlight w:val="none"/>
          <w:lang w:val="en-US" w:eastAsia="zh-CN"/>
        </w:rPr>
      </w:pPr>
    </w:p>
    <w:p w14:paraId="581676FD">
      <w:pPr>
        <w:pStyle w:val="21"/>
        <w:rPr>
          <w:rFonts w:hint="eastAsia"/>
          <w:color w:val="auto"/>
          <w:highlight w:val="none"/>
          <w:lang w:val="en-US" w:eastAsia="zh-CN"/>
        </w:rPr>
      </w:pPr>
    </w:p>
    <w:p w14:paraId="71D1A16A">
      <w:pPr>
        <w:pStyle w:val="21"/>
        <w:rPr>
          <w:rFonts w:hint="eastAsia"/>
          <w:color w:val="auto"/>
          <w:highlight w:val="none"/>
          <w:lang w:val="en-US" w:eastAsia="zh-CN"/>
        </w:rPr>
      </w:pPr>
    </w:p>
    <w:p w14:paraId="5990841E">
      <w:pPr>
        <w:snapToGrid w:val="0"/>
        <w:spacing w:line="400" w:lineRule="exact"/>
        <w:jc w:val="left"/>
        <w:rPr>
          <w:rFonts w:hint="eastAsia" w:ascii="宋体" w:hAnsi="宋体" w:cs="宋体"/>
          <w:b/>
          <w:color w:val="auto"/>
          <w:sz w:val="24"/>
          <w:highlight w:val="none"/>
          <w:lang w:val="en-US" w:eastAsia="zh-CN"/>
        </w:rPr>
      </w:pPr>
    </w:p>
    <w:p w14:paraId="24C40044">
      <w:pPr>
        <w:snapToGrid w:val="0"/>
        <w:spacing w:line="400" w:lineRule="exact"/>
        <w:jc w:val="left"/>
        <w:rPr>
          <w:rFonts w:hint="eastAsia" w:ascii="宋体" w:hAnsi="宋体" w:cs="宋体"/>
          <w:b/>
          <w:color w:val="auto"/>
          <w:sz w:val="24"/>
          <w:highlight w:val="none"/>
          <w:lang w:val="en-US" w:eastAsia="zh-CN"/>
        </w:rPr>
      </w:pPr>
    </w:p>
    <w:tbl>
      <w:tblPr>
        <w:tblStyle w:val="23"/>
        <w:tblW w:w="545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1"/>
        <w:gridCol w:w="669"/>
        <w:gridCol w:w="1011"/>
        <w:gridCol w:w="603"/>
        <w:gridCol w:w="815"/>
        <w:gridCol w:w="1207"/>
        <w:gridCol w:w="1141"/>
        <w:gridCol w:w="1924"/>
        <w:gridCol w:w="1350"/>
      </w:tblGrid>
      <w:tr w14:paraId="04FAB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D5F38A">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亳州至蒙城高速公路涡阳至蒙城段房建工程铝单板采购项目</w:t>
            </w:r>
          </w:p>
        </w:tc>
      </w:tr>
      <w:tr w14:paraId="3D6C5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07" w:type="pct"/>
            <w:tcBorders>
              <w:top w:val="single" w:color="000000" w:sz="4" w:space="0"/>
              <w:left w:val="single" w:color="000000" w:sz="4" w:space="0"/>
              <w:bottom w:val="nil"/>
              <w:right w:val="single" w:color="000000" w:sz="4" w:space="0"/>
            </w:tcBorders>
            <w:shd w:val="clear" w:color="auto" w:fill="auto"/>
            <w:vAlign w:val="center"/>
          </w:tcPr>
          <w:p w14:paraId="1F44F073">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序号</w:t>
            </w:r>
          </w:p>
        </w:tc>
        <w:tc>
          <w:tcPr>
            <w:tcW w:w="360" w:type="pct"/>
            <w:tcBorders>
              <w:top w:val="single" w:color="000000" w:sz="4" w:space="0"/>
              <w:left w:val="single" w:color="000000" w:sz="4" w:space="0"/>
              <w:bottom w:val="nil"/>
              <w:right w:val="single" w:color="000000" w:sz="4" w:space="0"/>
            </w:tcBorders>
            <w:shd w:val="clear" w:color="auto" w:fill="auto"/>
            <w:vAlign w:val="center"/>
          </w:tcPr>
          <w:p w14:paraId="6FA757AF">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名称</w:t>
            </w:r>
          </w:p>
        </w:tc>
        <w:tc>
          <w:tcPr>
            <w:tcW w:w="544" w:type="pct"/>
            <w:tcBorders>
              <w:top w:val="single" w:color="000000" w:sz="4" w:space="0"/>
              <w:left w:val="single" w:color="000000" w:sz="4" w:space="0"/>
              <w:bottom w:val="nil"/>
              <w:right w:val="single" w:color="000000" w:sz="4" w:space="0"/>
            </w:tcBorders>
            <w:shd w:val="clear" w:color="auto" w:fill="auto"/>
            <w:vAlign w:val="center"/>
          </w:tcPr>
          <w:p w14:paraId="70589A5B">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规格</w:t>
            </w:r>
          </w:p>
          <w:p w14:paraId="73133887">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参数</w:t>
            </w:r>
          </w:p>
        </w:tc>
        <w:tc>
          <w:tcPr>
            <w:tcW w:w="324" w:type="pct"/>
            <w:tcBorders>
              <w:top w:val="single" w:color="000000" w:sz="4" w:space="0"/>
              <w:left w:val="single" w:color="000000" w:sz="4" w:space="0"/>
              <w:bottom w:val="nil"/>
              <w:right w:val="single" w:color="000000" w:sz="4" w:space="0"/>
            </w:tcBorders>
            <w:shd w:val="clear" w:color="auto" w:fill="auto"/>
            <w:vAlign w:val="center"/>
          </w:tcPr>
          <w:p w14:paraId="2C268013">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单位</w:t>
            </w:r>
          </w:p>
        </w:tc>
        <w:tc>
          <w:tcPr>
            <w:tcW w:w="438" w:type="pct"/>
            <w:tcBorders>
              <w:top w:val="single" w:color="000000" w:sz="4" w:space="0"/>
              <w:left w:val="single" w:color="000000" w:sz="4" w:space="0"/>
              <w:bottom w:val="nil"/>
              <w:right w:val="single" w:color="000000" w:sz="4" w:space="0"/>
            </w:tcBorders>
            <w:shd w:val="clear" w:color="auto" w:fill="auto"/>
            <w:vAlign w:val="center"/>
          </w:tcPr>
          <w:p w14:paraId="6A6C1D61">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数量</w:t>
            </w:r>
          </w:p>
        </w:tc>
        <w:tc>
          <w:tcPr>
            <w:tcW w:w="649" w:type="pct"/>
            <w:tcBorders>
              <w:top w:val="single" w:color="000000" w:sz="4" w:space="0"/>
              <w:left w:val="single" w:color="000000" w:sz="4" w:space="0"/>
              <w:bottom w:val="nil"/>
              <w:right w:val="single" w:color="000000" w:sz="4" w:space="0"/>
            </w:tcBorders>
            <w:shd w:val="clear" w:color="auto" w:fill="auto"/>
            <w:vAlign w:val="center"/>
          </w:tcPr>
          <w:p w14:paraId="29FA89A6">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综合单价</w:t>
            </w:r>
            <w:r>
              <w:rPr>
                <w:rFonts w:hint="eastAsia" w:ascii="宋体" w:hAnsi="宋体" w:cs="宋体"/>
                <w:b w:val="0"/>
                <w:bCs/>
                <w:color w:val="auto"/>
                <w:sz w:val="24"/>
                <w:highlight w:val="none"/>
                <w:lang w:val="en-US" w:eastAsia="zh-CN"/>
              </w:rPr>
              <w:br w:type="textWrapping"/>
            </w:r>
            <w:r>
              <w:rPr>
                <w:rFonts w:hint="eastAsia" w:ascii="宋体" w:hAnsi="宋体" w:cs="宋体"/>
                <w:b w:val="0"/>
                <w:bCs/>
                <w:color w:val="auto"/>
                <w:sz w:val="24"/>
                <w:highlight w:val="none"/>
                <w:lang w:val="en-US" w:eastAsia="zh-CN"/>
              </w:rPr>
              <w:t>（元）</w:t>
            </w:r>
          </w:p>
        </w:tc>
        <w:tc>
          <w:tcPr>
            <w:tcW w:w="614" w:type="pct"/>
            <w:tcBorders>
              <w:top w:val="single" w:color="000000" w:sz="4" w:space="0"/>
              <w:left w:val="single" w:color="000000" w:sz="4" w:space="0"/>
              <w:bottom w:val="nil"/>
              <w:right w:val="single" w:color="000000" w:sz="4" w:space="0"/>
            </w:tcBorders>
            <w:shd w:val="clear" w:color="auto" w:fill="auto"/>
            <w:vAlign w:val="center"/>
          </w:tcPr>
          <w:p w14:paraId="54E132C0">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合价（元）</w:t>
            </w:r>
          </w:p>
        </w:tc>
        <w:tc>
          <w:tcPr>
            <w:tcW w:w="1035" w:type="pct"/>
            <w:tcBorders>
              <w:top w:val="single" w:color="000000" w:sz="4" w:space="0"/>
              <w:left w:val="single" w:color="000000" w:sz="4" w:space="0"/>
              <w:bottom w:val="nil"/>
              <w:right w:val="single" w:color="000000" w:sz="4" w:space="0"/>
            </w:tcBorders>
            <w:shd w:val="clear" w:color="auto" w:fill="auto"/>
            <w:vAlign w:val="center"/>
          </w:tcPr>
          <w:p w14:paraId="43965D2A">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铝板样式参考</w:t>
            </w:r>
          </w:p>
          <w:p w14:paraId="4B20B105">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图片</w:t>
            </w:r>
          </w:p>
        </w:tc>
        <w:tc>
          <w:tcPr>
            <w:tcW w:w="726" w:type="pct"/>
            <w:tcBorders>
              <w:top w:val="single" w:color="000000" w:sz="4" w:space="0"/>
              <w:left w:val="single" w:color="000000" w:sz="4" w:space="0"/>
              <w:bottom w:val="nil"/>
              <w:right w:val="single" w:color="000000" w:sz="4" w:space="0"/>
            </w:tcBorders>
            <w:shd w:val="clear" w:color="auto" w:fill="auto"/>
            <w:vAlign w:val="center"/>
          </w:tcPr>
          <w:p w14:paraId="30EE13CA">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使用部位</w:t>
            </w:r>
          </w:p>
        </w:tc>
      </w:tr>
      <w:tr w14:paraId="34812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2"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4F14">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CCBD">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铝单板</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D03F7">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3mm厚氟碳油漆喷涂</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F279C">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1EBDD">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4100</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A7D5">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2C61B">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FD6C">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drawing>
                <wp:anchor distT="0" distB="0" distL="114300" distR="114300" simplePos="0" relativeHeight="251659264" behindDoc="0" locked="0" layoutInCell="1" allowOverlap="1">
                  <wp:simplePos x="0" y="0"/>
                  <wp:positionH relativeFrom="column">
                    <wp:posOffset>108585</wp:posOffset>
                  </wp:positionH>
                  <wp:positionV relativeFrom="paragraph">
                    <wp:posOffset>74295</wp:posOffset>
                  </wp:positionV>
                  <wp:extent cx="897890" cy="676910"/>
                  <wp:effectExtent l="0" t="0" r="16510" b="8890"/>
                  <wp:wrapNone/>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15"/>
                          <a:stretch>
                            <a:fillRect/>
                          </a:stretch>
                        </pic:blipFill>
                        <pic:spPr>
                          <a:xfrm>
                            <a:off x="0" y="0"/>
                            <a:ext cx="897890" cy="676910"/>
                          </a:xfrm>
                          <a:prstGeom prst="rect">
                            <a:avLst/>
                          </a:prstGeom>
                          <a:noFill/>
                          <a:ln>
                            <a:noFill/>
                          </a:ln>
                        </pic:spPr>
                      </pic:pic>
                    </a:graphicData>
                  </a:graphic>
                </wp:anchor>
              </w:drawing>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B8084">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蒙城北、蒙城东、岳坊收费大棚</w:t>
            </w:r>
          </w:p>
        </w:tc>
      </w:tr>
      <w:tr w14:paraId="798EE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2"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8BE3">
            <w:pPr>
              <w:keepNext w:val="0"/>
              <w:keepLines w:val="0"/>
              <w:suppressLineNumbers w:val="0"/>
              <w:snapToGrid w:val="0"/>
              <w:spacing w:before="0" w:beforeAutospacing="0" w:after="0" w:afterAutospacing="0" w:line="400" w:lineRule="exact"/>
              <w:ind w:left="0" w:right="0"/>
              <w:jc w:val="left"/>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报价说明</w:t>
            </w:r>
          </w:p>
          <w:p w14:paraId="70BC1727">
            <w:pPr>
              <w:keepNext w:val="0"/>
              <w:keepLines w:val="0"/>
              <w:suppressLineNumbers w:val="0"/>
              <w:snapToGrid w:val="0"/>
              <w:spacing w:before="0" w:beforeAutospacing="0" w:after="0" w:afterAutospacing="0" w:line="400" w:lineRule="exact"/>
              <w:ind w:left="0" w:right="0"/>
              <w:jc w:val="left"/>
              <w:rPr>
                <w:rFonts w:hint="eastAsia" w:ascii="宋体" w:hAnsi="宋体" w:cs="宋体"/>
                <w:b w:val="0"/>
                <w:bCs/>
                <w:color w:val="auto"/>
                <w:sz w:val="24"/>
                <w:highlight w:val="none"/>
                <w:lang w:val="en-US" w:eastAsia="zh-CN"/>
              </w:rPr>
            </w:pPr>
            <w:r>
              <w:rPr>
                <w:rFonts w:hint="eastAsia" w:ascii="宋体" w:hAnsi="宋体" w:cs="宋体"/>
                <w:b/>
                <w:bCs w:val="0"/>
                <w:color w:val="auto"/>
                <w:sz w:val="24"/>
                <w:highlight w:val="none"/>
                <w:lang w:val="en-US" w:eastAsia="zh-CN"/>
              </w:rPr>
              <w:t>1.二次图纸深化设计及现场尺寸测量、排版下料费用含在总报价内。</w:t>
            </w:r>
            <w:r>
              <w:rPr>
                <w:rFonts w:hint="eastAsia" w:ascii="宋体" w:hAnsi="宋体" w:cs="宋体"/>
                <w:b/>
                <w:bCs w:val="0"/>
                <w:color w:val="auto"/>
                <w:sz w:val="24"/>
                <w:highlight w:val="none"/>
                <w:lang w:val="en-US" w:eastAsia="zh-CN"/>
              </w:rPr>
              <w:br w:type="textWrapping"/>
            </w:r>
            <w:r>
              <w:rPr>
                <w:rFonts w:hint="eastAsia" w:ascii="宋体" w:hAnsi="宋体" w:cs="宋体"/>
                <w:b/>
                <w:bCs w:val="0"/>
                <w:color w:val="auto"/>
                <w:sz w:val="24"/>
                <w:highlight w:val="none"/>
                <w:lang w:val="en-US" w:eastAsia="zh-CN"/>
              </w:rPr>
              <w:t>2.供应商应充分熟悉图纸及现场情况，后期不能以铝单板造型复杂，如超宽超长、圆弧焊接刨槽、超刀异形单曲、双曲等情况要求增加费用。</w:t>
            </w:r>
          </w:p>
        </w:tc>
      </w:tr>
      <w:tr w14:paraId="7D33D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0" w:hRule="atLeast"/>
        </w:trPr>
        <w:tc>
          <w:tcPr>
            <w:tcW w:w="5000" w:type="pct"/>
            <w:gridSpan w:val="9"/>
            <w:tcBorders>
              <w:top w:val="nil"/>
              <w:left w:val="nil"/>
              <w:bottom w:val="nil"/>
              <w:right w:val="nil"/>
            </w:tcBorders>
            <w:shd w:val="clear" w:color="auto" w:fill="auto"/>
            <w:vAlign w:val="center"/>
          </w:tcPr>
          <w:p w14:paraId="5965C801">
            <w:pPr>
              <w:keepNext w:val="0"/>
              <w:keepLines w:val="0"/>
              <w:suppressLineNumbers w:val="0"/>
              <w:adjustRightInd w:val="0"/>
              <w:snapToGrid w:val="0"/>
              <w:spacing w:before="0" w:beforeAutospacing="0" w:after="0" w:afterAutospacing="0" w:line="360" w:lineRule="auto"/>
              <w:ind w:left="0" w:right="0" w:firstLine="482" w:firstLineChars="200"/>
              <w:rPr>
                <w:rFonts w:hint="eastAsia" w:ascii="宋体" w:hAnsi="宋体"/>
                <w:b/>
                <w:bCs/>
                <w:color w:val="auto"/>
                <w:sz w:val="24"/>
                <w:szCs w:val="24"/>
                <w:highlight w:val="none"/>
                <w:u w:val="none"/>
                <w:lang w:val="en-US" w:eastAsia="zh-CN"/>
              </w:rPr>
            </w:pPr>
          </w:p>
          <w:p w14:paraId="3024F6A5">
            <w:pPr>
              <w:keepNext w:val="0"/>
              <w:keepLines w:val="0"/>
              <w:suppressLineNumbers w:val="0"/>
              <w:adjustRightInd w:val="0"/>
              <w:snapToGrid w:val="0"/>
              <w:spacing w:before="0" w:beforeAutospacing="0" w:after="0" w:afterAutospacing="0" w:line="360" w:lineRule="auto"/>
              <w:ind w:left="0" w:right="0" w:firstLine="482" w:firstLineChars="200"/>
              <w:rPr>
                <w:rFonts w:hint="eastAsia" w:ascii="宋体" w:hAnsi="宋体"/>
                <w:b/>
                <w:bCs/>
                <w:color w:val="auto"/>
                <w:sz w:val="24"/>
                <w:szCs w:val="24"/>
                <w:highlight w:val="none"/>
                <w:u w:val="none"/>
                <w:lang w:val="en-US" w:eastAsia="zh-CN"/>
              </w:rPr>
            </w:pPr>
            <w:r>
              <w:rPr>
                <w:rFonts w:hint="eastAsia" w:ascii="宋体" w:hAnsi="宋体"/>
                <w:b/>
                <w:bCs/>
                <w:color w:val="auto"/>
                <w:sz w:val="24"/>
                <w:szCs w:val="24"/>
                <w:highlight w:val="none"/>
                <w:u w:val="none"/>
                <w:lang w:val="en-US" w:eastAsia="zh-CN"/>
              </w:rPr>
              <w:t>备注：1.上述费用包括货物的原材料、生产、包装、运输、保险、卸货叉车费（如有）、人工费、卸车费、利润、13%税费等相关费用。</w:t>
            </w:r>
          </w:p>
          <w:p w14:paraId="78EF0E1C">
            <w:pPr>
              <w:keepNext w:val="0"/>
              <w:keepLines w:val="0"/>
              <w:suppressLineNumbers w:val="0"/>
              <w:adjustRightInd w:val="0"/>
              <w:snapToGrid w:val="0"/>
              <w:spacing w:before="0" w:beforeAutospacing="0" w:after="0" w:afterAutospacing="0" w:line="360" w:lineRule="auto"/>
              <w:ind w:left="0" w:right="0" w:firstLine="482" w:firstLineChars="200"/>
              <w:rPr>
                <w:rFonts w:hint="eastAsia" w:ascii="宋体" w:hAnsi="宋体"/>
                <w:b/>
                <w:bCs/>
                <w:color w:val="auto"/>
                <w:sz w:val="24"/>
                <w:szCs w:val="24"/>
                <w:highlight w:val="none"/>
                <w:u w:val="none"/>
                <w:lang w:val="en-US" w:eastAsia="zh-CN"/>
              </w:rPr>
            </w:pPr>
            <w:r>
              <w:rPr>
                <w:rFonts w:hint="eastAsia" w:ascii="宋体" w:hAnsi="宋体"/>
                <w:b/>
                <w:bCs/>
                <w:color w:val="auto"/>
                <w:sz w:val="24"/>
                <w:szCs w:val="24"/>
                <w:highlight w:val="none"/>
                <w:u w:val="none"/>
                <w:lang w:val="en-US" w:eastAsia="zh-CN"/>
              </w:rPr>
              <w:t>2.最终结算以实际供货数量为准，送货时附带相关检测报告。</w:t>
            </w:r>
          </w:p>
          <w:p w14:paraId="725A15C2">
            <w:pPr>
              <w:keepNext w:val="0"/>
              <w:keepLines w:val="0"/>
              <w:suppressLineNumbers w:val="0"/>
              <w:adjustRightInd w:val="0"/>
              <w:snapToGrid w:val="0"/>
              <w:spacing w:before="0" w:beforeAutospacing="0" w:after="0" w:afterAutospacing="0" w:line="360" w:lineRule="auto"/>
              <w:ind w:left="0" w:right="0" w:firstLine="482" w:firstLineChars="200"/>
              <w:rPr>
                <w:rFonts w:hint="eastAsia" w:ascii="宋体" w:hAnsi="宋体"/>
                <w:b/>
                <w:bCs/>
                <w:color w:val="auto"/>
                <w:sz w:val="24"/>
                <w:szCs w:val="24"/>
                <w:highlight w:val="none"/>
                <w:u w:val="none"/>
                <w:lang w:val="en-US" w:eastAsia="zh-CN"/>
              </w:rPr>
            </w:pPr>
            <w:r>
              <w:rPr>
                <w:rFonts w:hint="eastAsia" w:ascii="宋体" w:hAnsi="宋体"/>
                <w:b/>
                <w:bCs/>
                <w:color w:val="auto"/>
                <w:sz w:val="24"/>
                <w:szCs w:val="24"/>
                <w:highlight w:val="none"/>
                <w:u w:val="none"/>
                <w:lang w:val="en-US" w:eastAsia="zh-CN"/>
              </w:rPr>
              <w:t>3.必须按规定提供全部完整无损、全新的产品。涉及标的物第三方复试费用均由供应商承担（含检测样品），抽检频率和批次按国家、行业标准或甲方要求执行。</w:t>
            </w:r>
          </w:p>
          <w:p w14:paraId="6191EB6A">
            <w:pPr>
              <w:keepNext w:val="0"/>
              <w:keepLines w:val="0"/>
              <w:suppressLineNumbers w:val="0"/>
              <w:adjustRightInd w:val="0"/>
              <w:snapToGrid w:val="0"/>
              <w:spacing w:before="0" w:beforeAutospacing="0" w:after="0" w:afterAutospacing="0" w:line="360" w:lineRule="auto"/>
              <w:ind w:left="0" w:right="0" w:firstLine="482" w:firstLineChars="200"/>
              <w:rPr>
                <w:rFonts w:hint="eastAsia" w:ascii="宋体" w:hAnsi="宋体"/>
                <w:b/>
                <w:bCs/>
                <w:color w:val="auto"/>
                <w:sz w:val="24"/>
                <w:szCs w:val="24"/>
                <w:highlight w:val="none"/>
                <w:u w:val="none"/>
                <w:lang w:val="en-US" w:eastAsia="zh-CN"/>
              </w:rPr>
            </w:pPr>
            <w:r>
              <w:rPr>
                <w:rFonts w:hint="eastAsia" w:ascii="宋体" w:hAnsi="宋体"/>
                <w:b/>
                <w:bCs/>
                <w:color w:val="auto"/>
                <w:sz w:val="24"/>
                <w:szCs w:val="24"/>
                <w:highlight w:val="none"/>
                <w:u w:val="none"/>
                <w:lang w:val="en-US" w:eastAsia="zh-CN"/>
              </w:rPr>
              <w:t>4.标的物须在包装外壁醒目位置及卷材上永久性标示生产厂家、生产批次、品牌标志、规格型号、唯一性可追溯性编码标识（如二维码）等信息。</w:t>
            </w:r>
          </w:p>
          <w:p w14:paraId="0C796F64">
            <w:pPr>
              <w:keepNext w:val="0"/>
              <w:keepLines w:val="0"/>
              <w:suppressLineNumbers w:val="0"/>
              <w:adjustRightInd w:val="0"/>
              <w:snapToGrid w:val="0"/>
              <w:spacing w:before="0" w:beforeAutospacing="0" w:after="0" w:afterAutospacing="0" w:line="360" w:lineRule="auto"/>
              <w:ind w:left="0" w:right="0" w:firstLine="482" w:firstLineChars="200"/>
              <w:rPr>
                <w:rFonts w:hint="eastAsia" w:ascii="宋体" w:hAnsi="宋体"/>
                <w:b/>
                <w:bCs/>
                <w:color w:val="auto"/>
                <w:sz w:val="24"/>
                <w:szCs w:val="24"/>
                <w:highlight w:val="none"/>
                <w:u w:val="none"/>
                <w:lang w:val="en-US" w:eastAsia="zh-CN"/>
              </w:rPr>
            </w:pPr>
            <w:r>
              <w:rPr>
                <w:rFonts w:hint="eastAsia" w:ascii="宋体" w:hAnsi="宋体"/>
                <w:b/>
                <w:bCs/>
                <w:color w:val="auto"/>
                <w:sz w:val="24"/>
                <w:szCs w:val="24"/>
                <w:highlight w:val="none"/>
                <w:u w:val="none"/>
                <w:lang w:val="en-US" w:eastAsia="zh-CN"/>
              </w:rPr>
              <w:t>5.标的物供货进度应满足采购人工程进度分批次实施的安排和要求，中标人应充分理解并全力配合采购人的标的物采购、进场工作，并承担因送货次数增加而引起的运输成本增加等相应风险。</w:t>
            </w:r>
          </w:p>
          <w:p w14:paraId="43295556">
            <w:pPr>
              <w:keepNext w:val="0"/>
              <w:keepLines w:val="0"/>
              <w:suppressLineNumbers w:val="0"/>
              <w:adjustRightInd w:val="0"/>
              <w:snapToGrid w:val="0"/>
              <w:spacing w:before="0" w:beforeAutospacing="0" w:after="0" w:afterAutospacing="0" w:line="360" w:lineRule="auto"/>
              <w:ind w:left="0" w:right="0" w:firstLine="482" w:firstLineChars="200"/>
              <w:rPr>
                <w:rFonts w:hint="eastAsia" w:ascii="宋体" w:hAnsi="宋体"/>
                <w:b/>
                <w:bCs/>
                <w:color w:val="auto"/>
                <w:sz w:val="24"/>
                <w:szCs w:val="24"/>
                <w:highlight w:val="none"/>
                <w:u w:val="none"/>
                <w:lang w:val="en-US" w:eastAsia="zh-CN"/>
              </w:rPr>
            </w:pPr>
            <w:r>
              <w:rPr>
                <w:rFonts w:hint="eastAsia" w:ascii="宋体" w:hAnsi="宋体"/>
                <w:b/>
                <w:bCs/>
                <w:color w:val="auto"/>
                <w:sz w:val="24"/>
                <w:szCs w:val="24"/>
                <w:highlight w:val="none"/>
                <w:u w:val="none"/>
                <w:lang w:val="en-US" w:eastAsia="zh-CN"/>
              </w:rPr>
              <w:t>6.中标人对提供的标的物质量负总责，材料进场应按程序履行报验、交接手续；因标的物质量问题，将视作违约，中标人须赔偿由此造成返工的全部工程建设费用及其他一切损失，同时由采购人追究中标人的违约责任，情节严重的，依法追究相关责任。</w:t>
            </w:r>
          </w:p>
          <w:p w14:paraId="4766DDF6">
            <w:pPr>
              <w:keepNext w:val="0"/>
              <w:keepLines w:val="0"/>
              <w:suppressLineNumbers w:val="0"/>
              <w:bidi w:val="0"/>
              <w:spacing w:before="0" w:beforeAutospacing="0" w:after="0" w:afterAutospacing="0"/>
              <w:ind w:left="0" w:right="0"/>
              <w:rPr>
                <w:rFonts w:hint="eastAsia"/>
                <w:lang w:val="en-US" w:eastAsia="zh-CN"/>
              </w:rPr>
            </w:pPr>
          </w:p>
        </w:tc>
      </w:tr>
    </w:tbl>
    <w:p w14:paraId="6E46E437">
      <w:pPr>
        <w:pStyle w:val="13"/>
        <w:adjustRightInd w:val="0"/>
        <w:snapToGrid w:val="0"/>
        <w:jc w:val="center"/>
        <w:rPr>
          <w:rFonts w:ascii="Times New Roman" w:hAnsi="Times New Roman" w:cs="Times New Roman"/>
          <w:color w:val="auto"/>
          <w:highlight w:val="none"/>
        </w:rPr>
      </w:pPr>
    </w:p>
    <w:p w14:paraId="133742F3">
      <w:pPr>
        <w:rPr>
          <w:rFonts w:ascii="Times New Roman" w:hAnsi="Times New Roman" w:eastAsia="华文中宋" w:cs="Times New Roman"/>
          <w:b/>
          <w:smallCaps/>
          <w:color w:val="auto"/>
          <w:sz w:val="24"/>
          <w:szCs w:val="24"/>
          <w:highlight w:val="none"/>
        </w:rPr>
      </w:pPr>
      <w:r>
        <w:rPr>
          <w:rFonts w:ascii="Times New Roman" w:hAnsi="Times New Roman" w:eastAsia="华文中宋" w:cs="Times New Roman"/>
          <w:b/>
          <w:smallCaps/>
          <w:color w:val="auto"/>
          <w:sz w:val="24"/>
          <w:szCs w:val="24"/>
          <w:highlight w:val="none"/>
        </w:rPr>
        <w:br w:type="page"/>
      </w:r>
    </w:p>
    <w:p w14:paraId="5D16C7CF">
      <w:pPr>
        <w:pStyle w:val="13"/>
        <w:adjustRightInd w:val="0"/>
        <w:snapToGrid w:val="0"/>
        <w:jc w:val="center"/>
        <w:outlineLvl w:val="1"/>
        <w:rPr>
          <w:rFonts w:ascii="Times New Roman" w:hAnsi="Times New Roman" w:eastAsia="华文中宋" w:cs="Times New Roman"/>
          <w:b/>
          <w:color w:val="auto"/>
          <w:sz w:val="24"/>
          <w:szCs w:val="24"/>
          <w:highlight w:val="none"/>
        </w:rPr>
      </w:pPr>
      <w:r>
        <w:rPr>
          <w:rFonts w:ascii="Times New Roman" w:hAnsi="Times New Roman" w:eastAsia="华文中宋" w:cs="Times New Roman"/>
          <w:b/>
          <w:smallCaps/>
          <w:color w:val="auto"/>
          <w:sz w:val="24"/>
          <w:szCs w:val="24"/>
          <w:highlight w:val="none"/>
        </w:rPr>
        <w:t>三、</w:t>
      </w:r>
      <w:r>
        <w:rPr>
          <w:rFonts w:hint="eastAsia" w:ascii="Times New Roman" w:hAnsi="Times New Roman" w:eastAsia="华文中宋" w:cs="Times New Roman"/>
          <w:b/>
          <w:smallCaps/>
          <w:color w:val="auto"/>
          <w:sz w:val="24"/>
          <w:szCs w:val="24"/>
          <w:highlight w:val="none"/>
          <w:lang w:eastAsia="zh-CN"/>
        </w:rPr>
        <w:t>响应</w:t>
      </w:r>
      <w:r>
        <w:rPr>
          <w:rFonts w:ascii="Times New Roman" w:hAnsi="Times New Roman" w:eastAsia="华文中宋" w:cs="Times New Roman"/>
          <w:b/>
          <w:color w:val="auto"/>
          <w:sz w:val="24"/>
          <w:szCs w:val="24"/>
          <w:highlight w:val="none"/>
        </w:rPr>
        <w:t>报价需要说明的其他资料</w:t>
      </w:r>
    </w:p>
    <w:p w14:paraId="08CAB758">
      <w:pPr>
        <w:adjustRightInd w:val="0"/>
        <w:snapToGrid w:val="0"/>
        <w:ind w:firstLine="480" w:firstLineChars="200"/>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单位认为需对其</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报价进行其他补充说明及证明材料</w:t>
      </w:r>
    </w:p>
    <w:p w14:paraId="34C21B0D">
      <w:pPr>
        <w:pStyle w:val="22"/>
        <w:rPr>
          <w:rFonts w:ascii="Times New Roman" w:hAnsi="Times New Roman" w:cs="Times New Roman"/>
          <w:color w:val="auto"/>
          <w:sz w:val="24"/>
          <w:highlight w:val="none"/>
        </w:rPr>
      </w:pPr>
    </w:p>
    <w:p w14:paraId="5934982E">
      <w:pPr>
        <w:rPr>
          <w:rFonts w:ascii="Times New Roman" w:hAnsi="Times New Roman" w:cs="Times New Roman"/>
          <w:color w:val="auto"/>
          <w:sz w:val="24"/>
          <w:highlight w:val="none"/>
        </w:rPr>
      </w:pPr>
    </w:p>
    <w:p w14:paraId="18EDBFB3">
      <w:pPr>
        <w:pStyle w:val="22"/>
        <w:rPr>
          <w:rFonts w:ascii="Times New Roman" w:hAnsi="Times New Roman" w:cs="Times New Roman"/>
          <w:color w:val="auto"/>
          <w:sz w:val="24"/>
          <w:highlight w:val="none"/>
        </w:rPr>
      </w:pPr>
    </w:p>
    <w:p w14:paraId="1D66B5E8">
      <w:pPr>
        <w:rPr>
          <w:rFonts w:ascii="Times New Roman" w:hAnsi="Times New Roman" w:cs="Times New Roman"/>
          <w:color w:val="auto"/>
          <w:sz w:val="24"/>
          <w:highlight w:val="none"/>
        </w:rPr>
      </w:pPr>
    </w:p>
    <w:p w14:paraId="2ADE3158">
      <w:pPr>
        <w:pStyle w:val="22"/>
        <w:rPr>
          <w:rFonts w:ascii="Times New Roman" w:hAnsi="Times New Roman" w:cs="Times New Roman"/>
          <w:color w:val="auto"/>
          <w:sz w:val="24"/>
          <w:highlight w:val="none"/>
        </w:rPr>
      </w:pPr>
    </w:p>
    <w:p w14:paraId="5EEABA31">
      <w:pPr>
        <w:rPr>
          <w:rFonts w:ascii="Times New Roman" w:hAnsi="Times New Roman" w:cs="Times New Roman"/>
          <w:color w:val="auto"/>
          <w:sz w:val="24"/>
          <w:highlight w:val="none"/>
        </w:rPr>
      </w:pPr>
    </w:p>
    <w:p w14:paraId="41A5DB6C">
      <w:pPr>
        <w:pStyle w:val="22"/>
        <w:rPr>
          <w:rFonts w:ascii="Times New Roman" w:hAnsi="Times New Roman" w:cs="Times New Roman"/>
          <w:color w:val="auto"/>
          <w:sz w:val="24"/>
          <w:highlight w:val="none"/>
        </w:rPr>
      </w:pPr>
    </w:p>
    <w:p w14:paraId="2715B041">
      <w:pPr>
        <w:rPr>
          <w:rFonts w:ascii="Times New Roman" w:hAnsi="Times New Roman" w:cs="Times New Roman"/>
          <w:color w:val="auto"/>
          <w:sz w:val="24"/>
          <w:highlight w:val="none"/>
        </w:rPr>
      </w:pPr>
    </w:p>
    <w:p w14:paraId="334913F0">
      <w:pPr>
        <w:pStyle w:val="35"/>
        <w:rPr>
          <w:rFonts w:ascii="Times New Roman" w:hAnsi="Times New Roman" w:cs="Times New Roman"/>
          <w:color w:val="auto"/>
          <w:sz w:val="24"/>
          <w:highlight w:val="none"/>
        </w:rPr>
      </w:pPr>
    </w:p>
    <w:p w14:paraId="0C1676CE">
      <w:pPr>
        <w:rPr>
          <w:rFonts w:hint="eastAsia"/>
          <w:b/>
          <w:bCs/>
          <w:color w:val="auto"/>
          <w:sz w:val="28"/>
          <w:szCs w:val="28"/>
          <w:highlight w:val="none"/>
          <w:lang w:val="en-US" w:eastAsia="zh-CN"/>
        </w:rPr>
      </w:pPr>
    </w:p>
    <w:p w14:paraId="28FC1CAC">
      <w:pPr>
        <w:pStyle w:val="21"/>
        <w:rPr>
          <w:rFonts w:hint="eastAsia"/>
          <w:color w:val="auto"/>
          <w:highlight w:val="none"/>
          <w:lang w:val="en-US" w:eastAsia="zh-CN"/>
        </w:rPr>
      </w:pPr>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4"/>
      <w:ind w:firstLine="36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4"/>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A0C7666">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25C">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F7F74">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DF7F74">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2EB9">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CB06B">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CCB06B">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3C57">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564F6">
    <w:pPr>
      <w:pStyle w:val="14"/>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E336A39">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19</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rK0UIucBAADH&#10;AwAADgAAAAAAAAABACAAAAAfAQAAZHJzL2Uyb0RvYy54bWxQSwUGAAAAAAYABgBZAQAAeAUAAAAA&#10;">
              <v:fill on="f" focussize="0,0"/>
              <v:stroke on="f" weight="0.5pt"/>
              <v:imagedata o:title=""/>
              <o:lock v:ext="edit" aspectratio="f"/>
              <v:textbox inset="0mm,0mm,0mm,0mm" style="mso-fit-shape-to-text:t;">
                <w:txbxContent>
                  <w:p w14:paraId="6E336A39">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19</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4"/>
      <w:ind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76ED">
    <w:pPr>
      <w:pStyle w:val="15"/>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FE8C">
    <w:pPr>
      <w:pStyle w:val="15"/>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2049" o:spt="136" type="#_x0000_t136" style="position:absolute;left:0pt;height:62.3pt;width:524.95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E81B">
    <w:pPr>
      <w:pStyle w:val="1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1F0A7">
    <w:pPr>
      <w:pStyle w:val="15"/>
      <w:spacing w:beforeLines="0" w:afterLines="0"/>
      <w:jc w:val="left"/>
      <w:rPr>
        <w:rFonts w:hint="eastAsia" w:ascii="仿宋_GB2312" w:hAnsi="仿宋_GB2312" w:eastAsia="仿宋_GB2312" w:cs="仿宋_GB2312"/>
        <w:b/>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FCBD0"/>
    <w:multiLevelType w:val="singleLevel"/>
    <w:tmpl w:val="944FCBD0"/>
    <w:lvl w:ilvl="0" w:tentative="0">
      <w:start w:val="2"/>
      <w:numFmt w:val="decimal"/>
      <w:suff w:val="nothing"/>
      <w:lvlText w:val="（%1）"/>
      <w:lvlJc w:val="left"/>
    </w:lvl>
  </w:abstractNum>
  <w:abstractNum w:abstractNumId="1">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75481"/>
    <w:rsid w:val="00691F7C"/>
    <w:rsid w:val="00724BD4"/>
    <w:rsid w:val="007678F7"/>
    <w:rsid w:val="007C6E94"/>
    <w:rsid w:val="00950240"/>
    <w:rsid w:val="00A15DCF"/>
    <w:rsid w:val="00D704DB"/>
    <w:rsid w:val="00E30FAC"/>
    <w:rsid w:val="00E8570D"/>
    <w:rsid w:val="010A3C11"/>
    <w:rsid w:val="010E69FF"/>
    <w:rsid w:val="017D7CB0"/>
    <w:rsid w:val="0211370D"/>
    <w:rsid w:val="022655F4"/>
    <w:rsid w:val="023E3C6A"/>
    <w:rsid w:val="0286092F"/>
    <w:rsid w:val="028D5673"/>
    <w:rsid w:val="02932C1B"/>
    <w:rsid w:val="02B159B4"/>
    <w:rsid w:val="02C26D91"/>
    <w:rsid w:val="02D346A3"/>
    <w:rsid w:val="02DF3606"/>
    <w:rsid w:val="02F05C02"/>
    <w:rsid w:val="036118B1"/>
    <w:rsid w:val="0371289F"/>
    <w:rsid w:val="038863C7"/>
    <w:rsid w:val="03A9557F"/>
    <w:rsid w:val="03B86BA8"/>
    <w:rsid w:val="03F914B2"/>
    <w:rsid w:val="04230E30"/>
    <w:rsid w:val="042516B9"/>
    <w:rsid w:val="042F2C67"/>
    <w:rsid w:val="045E338A"/>
    <w:rsid w:val="047010F6"/>
    <w:rsid w:val="04701D1E"/>
    <w:rsid w:val="04E034BC"/>
    <w:rsid w:val="05085F79"/>
    <w:rsid w:val="0535195E"/>
    <w:rsid w:val="054416D2"/>
    <w:rsid w:val="05AF29EE"/>
    <w:rsid w:val="05D2339D"/>
    <w:rsid w:val="05F62696"/>
    <w:rsid w:val="05F94BA8"/>
    <w:rsid w:val="060774EA"/>
    <w:rsid w:val="06341F34"/>
    <w:rsid w:val="06663933"/>
    <w:rsid w:val="068727A0"/>
    <w:rsid w:val="06C30263"/>
    <w:rsid w:val="07063EDC"/>
    <w:rsid w:val="071432F2"/>
    <w:rsid w:val="073835B2"/>
    <w:rsid w:val="076958CF"/>
    <w:rsid w:val="07A31864"/>
    <w:rsid w:val="07AF3996"/>
    <w:rsid w:val="07C951F6"/>
    <w:rsid w:val="080B2B96"/>
    <w:rsid w:val="081D6FC0"/>
    <w:rsid w:val="08412974"/>
    <w:rsid w:val="0881185D"/>
    <w:rsid w:val="08907C6B"/>
    <w:rsid w:val="08E91129"/>
    <w:rsid w:val="09187C60"/>
    <w:rsid w:val="091A677A"/>
    <w:rsid w:val="09210464"/>
    <w:rsid w:val="095E1B17"/>
    <w:rsid w:val="096867B1"/>
    <w:rsid w:val="09B13FF7"/>
    <w:rsid w:val="0A2E7496"/>
    <w:rsid w:val="0A466107"/>
    <w:rsid w:val="0A64315D"/>
    <w:rsid w:val="0A941F2B"/>
    <w:rsid w:val="0AAD73BC"/>
    <w:rsid w:val="0AB84C95"/>
    <w:rsid w:val="0AED0915"/>
    <w:rsid w:val="0AF3003D"/>
    <w:rsid w:val="0B286939"/>
    <w:rsid w:val="0B2E4625"/>
    <w:rsid w:val="0B416FFB"/>
    <w:rsid w:val="0BA10DDD"/>
    <w:rsid w:val="0BB2614A"/>
    <w:rsid w:val="0BC86369"/>
    <w:rsid w:val="0BCC3D77"/>
    <w:rsid w:val="0BDD422F"/>
    <w:rsid w:val="0C024903"/>
    <w:rsid w:val="0C0B7829"/>
    <w:rsid w:val="0C126BE9"/>
    <w:rsid w:val="0C252478"/>
    <w:rsid w:val="0C425774"/>
    <w:rsid w:val="0C433DD8"/>
    <w:rsid w:val="0CA667B4"/>
    <w:rsid w:val="0CB62B1E"/>
    <w:rsid w:val="0D604989"/>
    <w:rsid w:val="0D676CED"/>
    <w:rsid w:val="0DBD0BDC"/>
    <w:rsid w:val="0DC42165"/>
    <w:rsid w:val="0DE02F17"/>
    <w:rsid w:val="0E436CA2"/>
    <w:rsid w:val="0E541DD8"/>
    <w:rsid w:val="0EA07AC2"/>
    <w:rsid w:val="0EA967E6"/>
    <w:rsid w:val="0EB73ADA"/>
    <w:rsid w:val="0EBA46A3"/>
    <w:rsid w:val="0EBB2DAD"/>
    <w:rsid w:val="0ED411DA"/>
    <w:rsid w:val="0EF05DCE"/>
    <w:rsid w:val="0F4E7639"/>
    <w:rsid w:val="0F531ACB"/>
    <w:rsid w:val="0F6F4854"/>
    <w:rsid w:val="0F9D4A1B"/>
    <w:rsid w:val="0F9F0794"/>
    <w:rsid w:val="0FB568C1"/>
    <w:rsid w:val="0FBE1FCA"/>
    <w:rsid w:val="0FD41FBD"/>
    <w:rsid w:val="0FD4370B"/>
    <w:rsid w:val="101A751A"/>
    <w:rsid w:val="103E486A"/>
    <w:rsid w:val="106D5B52"/>
    <w:rsid w:val="1090350E"/>
    <w:rsid w:val="10944070"/>
    <w:rsid w:val="10A6372F"/>
    <w:rsid w:val="10A97373"/>
    <w:rsid w:val="10DA535D"/>
    <w:rsid w:val="10F863AD"/>
    <w:rsid w:val="110D2AFF"/>
    <w:rsid w:val="112131E2"/>
    <w:rsid w:val="11681ED6"/>
    <w:rsid w:val="119C482A"/>
    <w:rsid w:val="11C6025A"/>
    <w:rsid w:val="11DE3F50"/>
    <w:rsid w:val="11DF30C9"/>
    <w:rsid w:val="11F528ED"/>
    <w:rsid w:val="11FD4CD5"/>
    <w:rsid w:val="12371157"/>
    <w:rsid w:val="129325F3"/>
    <w:rsid w:val="12983425"/>
    <w:rsid w:val="12BD1492"/>
    <w:rsid w:val="12FA3B2F"/>
    <w:rsid w:val="13431F92"/>
    <w:rsid w:val="13955E86"/>
    <w:rsid w:val="13C13BEB"/>
    <w:rsid w:val="13D604FC"/>
    <w:rsid w:val="13E11194"/>
    <w:rsid w:val="13EC1865"/>
    <w:rsid w:val="144A391D"/>
    <w:rsid w:val="145D3899"/>
    <w:rsid w:val="14B7657F"/>
    <w:rsid w:val="14CE63E8"/>
    <w:rsid w:val="150E5893"/>
    <w:rsid w:val="15133F2C"/>
    <w:rsid w:val="15AF385B"/>
    <w:rsid w:val="15C3657D"/>
    <w:rsid w:val="15ED748E"/>
    <w:rsid w:val="16201F02"/>
    <w:rsid w:val="163D1F3A"/>
    <w:rsid w:val="16414AC9"/>
    <w:rsid w:val="167C0AF5"/>
    <w:rsid w:val="167C76AF"/>
    <w:rsid w:val="16A14FAE"/>
    <w:rsid w:val="16FF3D15"/>
    <w:rsid w:val="17024379"/>
    <w:rsid w:val="17263548"/>
    <w:rsid w:val="172C05D9"/>
    <w:rsid w:val="17755202"/>
    <w:rsid w:val="1776370C"/>
    <w:rsid w:val="17CF3BE0"/>
    <w:rsid w:val="186C7681"/>
    <w:rsid w:val="18786026"/>
    <w:rsid w:val="188C4113"/>
    <w:rsid w:val="189E5E26"/>
    <w:rsid w:val="18D04606"/>
    <w:rsid w:val="18D70F9E"/>
    <w:rsid w:val="18FA5B52"/>
    <w:rsid w:val="19053D5D"/>
    <w:rsid w:val="190D676E"/>
    <w:rsid w:val="191A46EE"/>
    <w:rsid w:val="193D5CAC"/>
    <w:rsid w:val="19600F94"/>
    <w:rsid w:val="19647370"/>
    <w:rsid w:val="19C83B53"/>
    <w:rsid w:val="19DE1C05"/>
    <w:rsid w:val="19EB0A7A"/>
    <w:rsid w:val="1A185E2C"/>
    <w:rsid w:val="1A3C6E09"/>
    <w:rsid w:val="1A657CD8"/>
    <w:rsid w:val="1A741F99"/>
    <w:rsid w:val="1AA97D25"/>
    <w:rsid w:val="1AAC1FB7"/>
    <w:rsid w:val="1B1F49AA"/>
    <w:rsid w:val="1B416BA3"/>
    <w:rsid w:val="1B87260E"/>
    <w:rsid w:val="1B8A15C4"/>
    <w:rsid w:val="1B9916E8"/>
    <w:rsid w:val="1BF956CF"/>
    <w:rsid w:val="1BFD0D5D"/>
    <w:rsid w:val="1C0C5403"/>
    <w:rsid w:val="1C511068"/>
    <w:rsid w:val="1C7D1E5D"/>
    <w:rsid w:val="1C9D0478"/>
    <w:rsid w:val="1CB03FE0"/>
    <w:rsid w:val="1CB304A3"/>
    <w:rsid w:val="1CD07137"/>
    <w:rsid w:val="1CE76D4F"/>
    <w:rsid w:val="1CF12CD2"/>
    <w:rsid w:val="1D3320C5"/>
    <w:rsid w:val="1D3772E3"/>
    <w:rsid w:val="1D3F5364"/>
    <w:rsid w:val="1D927B8A"/>
    <w:rsid w:val="1D9C6C71"/>
    <w:rsid w:val="1DBF4066"/>
    <w:rsid w:val="1DC0096E"/>
    <w:rsid w:val="1DD02C25"/>
    <w:rsid w:val="1DFB32CC"/>
    <w:rsid w:val="1E085F02"/>
    <w:rsid w:val="1E304C77"/>
    <w:rsid w:val="1E764DB5"/>
    <w:rsid w:val="1E7E7378"/>
    <w:rsid w:val="1EEE0DF0"/>
    <w:rsid w:val="1F0529C7"/>
    <w:rsid w:val="1F091FF2"/>
    <w:rsid w:val="1F172B9E"/>
    <w:rsid w:val="1F6B68E4"/>
    <w:rsid w:val="1F8615BF"/>
    <w:rsid w:val="1F93095F"/>
    <w:rsid w:val="1FB449F5"/>
    <w:rsid w:val="1FC01B05"/>
    <w:rsid w:val="1FE64151"/>
    <w:rsid w:val="1FEA7927"/>
    <w:rsid w:val="20220D88"/>
    <w:rsid w:val="202D724A"/>
    <w:rsid w:val="20432E03"/>
    <w:rsid w:val="20703AC9"/>
    <w:rsid w:val="20852D2F"/>
    <w:rsid w:val="20CE5700"/>
    <w:rsid w:val="20CE712B"/>
    <w:rsid w:val="20E701EC"/>
    <w:rsid w:val="21366A7E"/>
    <w:rsid w:val="21670058"/>
    <w:rsid w:val="216C51F8"/>
    <w:rsid w:val="21705735"/>
    <w:rsid w:val="21D6599F"/>
    <w:rsid w:val="21EC1864"/>
    <w:rsid w:val="2211172D"/>
    <w:rsid w:val="222F5C4D"/>
    <w:rsid w:val="22456F98"/>
    <w:rsid w:val="22694276"/>
    <w:rsid w:val="22853AE2"/>
    <w:rsid w:val="22886585"/>
    <w:rsid w:val="22A243CB"/>
    <w:rsid w:val="233E4325"/>
    <w:rsid w:val="23610B8C"/>
    <w:rsid w:val="23767E36"/>
    <w:rsid w:val="239B7B47"/>
    <w:rsid w:val="23E812A0"/>
    <w:rsid w:val="241155A9"/>
    <w:rsid w:val="241D716E"/>
    <w:rsid w:val="244412FB"/>
    <w:rsid w:val="2472524B"/>
    <w:rsid w:val="24AD2EBF"/>
    <w:rsid w:val="24BB5C18"/>
    <w:rsid w:val="251D6FC5"/>
    <w:rsid w:val="253902A6"/>
    <w:rsid w:val="253F05F7"/>
    <w:rsid w:val="254A0D4A"/>
    <w:rsid w:val="254B358D"/>
    <w:rsid w:val="25517C49"/>
    <w:rsid w:val="256E6DFD"/>
    <w:rsid w:val="25891872"/>
    <w:rsid w:val="25B60EA7"/>
    <w:rsid w:val="25B678EC"/>
    <w:rsid w:val="25B736EC"/>
    <w:rsid w:val="25CC7C14"/>
    <w:rsid w:val="25F767DC"/>
    <w:rsid w:val="2613091A"/>
    <w:rsid w:val="26357C95"/>
    <w:rsid w:val="264D0AF2"/>
    <w:rsid w:val="265909F3"/>
    <w:rsid w:val="26B33519"/>
    <w:rsid w:val="26BB5A5B"/>
    <w:rsid w:val="26E0066E"/>
    <w:rsid w:val="26E81DCB"/>
    <w:rsid w:val="26FE3B9A"/>
    <w:rsid w:val="273571C2"/>
    <w:rsid w:val="275A75F4"/>
    <w:rsid w:val="275E50DA"/>
    <w:rsid w:val="27621A0B"/>
    <w:rsid w:val="279E7B84"/>
    <w:rsid w:val="27B103DE"/>
    <w:rsid w:val="27DC4161"/>
    <w:rsid w:val="28302479"/>
    <w:rsid w:val="285445B2"/>
    <w:rsid w:val="28AE4089"/>
    <w:rsid w:val="28D24D9C"/>
    <w:rsid w:val="28F25980"/>
    <w:rsid w:val="28FE7045"/>
    <w:rsid w:val="2941798C"/>
    <w:rsid w:val="294C5129"/>
    <w:rsid w:val="295C70D0"/>
    <w:rsid w:val="295E4EA3"/>
    <w:rsid w:val="296F6FD1"/>
    <w:rsid w:val="29C70BBB"/>
    <w:rsid w:val="29CD4E78"/>
    <w:rsid w:val="29E4351B"/>
    <w:rsid w:val="2A305480"/>
    <w:rsid w:val="2A4E6005"/>
    <w:rsid w:val="2A8F70B0"/>
    <w:rsid w:val="2A9C3DF6"/>
    <w:rsid w:val="2AE43776"/>
    <w:rsid w:val="2B06015E"/>
    <w:rsid w:val="2B1D5459"/>
    <w:rsid w:val="2B276CB6"/>
    <w:rsid w:val="2B4F4ECF"/>
    <w:rsid w:val="2B6F284F"/>
    <w:rsid w:val="2BA74026"/>
    <w:rsid w:val="2C2263B3"/>
    <w:rsid w:val="2C9C2F72"/>
    <w:rsid w:val="2CC15D7F"/>
    <w:rsid w:val="2CE83322"/>
    <w:rsid w:val="2D141CF6"/>
    <w:rsid w:val="2D502872"/>
    <w:rsid w:val="2D764930"/>
    <w:rsid w:val="2D984126"/>
    <w:rsid w:val="2DB31BE6"/>
    <w:rsid w:val="2DBE22D5"/>
    <w:rsid w:val="2E0A4375"/>
    <w:rsid w:val="2E0C3040"/>
    <w:rsid w:val="2E0D52BF"/>
    <w:rsid w:val="2E35623B"/>
    <w:rsid w:val="2E4E3659"/>
    <w:rsid w:val="2E6740D2"/>
    <w:rsid w:val="2EC138D2"/>
    <w:rsid w:val="2ED8288A"/>
    <w:rsid w:val="2EE205A6"/>
    <w:rsid w:val="2EEB317F"/>
    <w:rsid w:val="2F18216E"/>
    <w:rsid w:val="2F1E127D"/>
    <w:rsid w:val="2F2969EB"/>
    <w:rsid w:val="2F401502"/>
    <w:rsid w:val="2F462582"/>
    <w:rsid w:val="2F5673B3"/>
    <w:rsid w:val="2F597F13"/>
    <w:rsid w:val="2F714B04"/>
    <w:rsid w:val="2F806EF6"/>
    <w:rsid w:val="2F920A3A"/>
    <w:rsid w:val="2FED3439"/>
    <w:rsid w:val="2FFB71AB"/>
    <w:rsid w:val="300246FB"/>
    <w:rsid w:val="30064FDA"/>
    <w:rsid w:val="303773D1"/>
    <w:rsid w:val="30793AE8"/>
    <w:rsid w:val="30B55C11"/>
    <w:rsid w:val="31165933"/>
    <w:rsid w:val="316E7428"/>
    <w:rsid w:val="319B3695"/>
    <w:rsid w:val="31BF0E0A"/>
    <w:rsid w:val="31D35B62"/>
    <w:rsid w:val="31D976DD"/>
    <w:rsid w:val="32164205"/>
    <w:rsid w:val="32332253"/>
    <w:rsid w:val="324271A8"/>
    <w:rsid w:val="329D4BAF"/>
    <w:rsid w:val="32D10F12"/>
    <w:rsid w:val="331D35FA"/>
    <w:rsid w:val="333B777A"/>
    <w:rsid w:val="333F226C"/>
    <w:rsid w:val="339A2E9C"/>
    <w:rsid w:val="33A51F6D"/>
    <w:rsid w:val="33C26030"/>
    <w:rsid w:val="33C547A5"/>
    <w:rsid w:val="33E864A6"/>
    <w:rsid w:val="34526CBA"/>
    <w:rsid w:val="345A580A"/>
    <w:rsid w:val="34B22DB1"/>
    <w:rsid w:val="34EA61B8"/>
    <w:rsid w:val="3518676F"/>
    <w:rsid w:val="35201A23"/>
    <w:rsid w:val="352E500F"/>
    <w:rsid w:val="355434F9"/>
    <w:rsid w:val="35727A6C"/>
    <w:rsid w:val="35843E04"/>
    <w:rsid w:val="35B540D6"/>
    <w:rsid w:val="35BE0BED"/>
    <w:rsid w:val="35C66E2C"/>
    <w:rsid w:val="35CA2312"/>
    <w:rsid w:val="35F76384"/>
    <w:rsid w:val="361938E0"/>
    <w:rsid w:val="36413AA3"/>
    <w:rsid w:val="364C6C07"/>
    <w:rsid w:val="366A124C"/>
    <w:rsid w:val="36C144C3"/>
    <w:rsid w:val="372633C5"/>
    <w:rsid w:val="377C4EB7"/>
    <w:rsid w:val="385F275A"/>
    <w:rsid w:val="3885411B"/>
    <w:rsid w:val="388C7CC2"/>
    <w:rsid w:val="38B92676"/>
    <w:rsid w:val="38C23C8C"/>
    <w:rsid w:val="38DC28FD"/>
    <w:rsid w:val="390A63CE"/>
    <w:rsid w:val="394D1ECD"/>
    <w:rsid w:val="39B20761"/>
    <w:rsid w:val="39D37108"/>
    <w:rsid w:val="39F257E0"/>
    <w:rsid w:val="3A1C1BAF"/>
    <w:rsid w:val="3A1F1997"/>
    <w:rsid w:val="3A282A5D"/>
    <w:rsid w:val="3A7129B2"/>
    <w:rsid w:val="3A777A93"/>
    <w:rsid w:val="3A992E93"/>
    <w:rsid w:val="3AD4138A"/>
    <w:rsid w:val="3AE758D2"/>
    <w:rsid w:val="3AF61300"/>
    <w:rsid w:val="3AF8151D"/>
    <w:rsid w:val="3B096510"/>
    <w:rsid w:val="3B2E0A9A"/>
    <w:rsid w:val="3B3377A5"/>
    <w:rsid w:val="3B361C73"/>
    <w:rsid w:val="3B414529"/>
    <w:rsid w:val="3B47240E"/>
    <w:rsid w:val="3B5A188F"/>
    <w:rsid w:val="3B7C2F21"/>
    <w:rsid w:val="3B895CD0"/>
    <w:rsid w:val="3B8A41D3"/>
    <w:rsid w:val="3BC00DC4"/>
    <w:rsid w:val="3C243C4B"/>
    <w:rsid w:val="3C4D6CFE"/>
    <w:rsid w:val="3C651D50"/>
    <w:rsid w:val="3C8666FD"/>
    <w:rsid w:val="3CA523B3"/>
    <w:rsid w:val="3CAF79B9"/>
    <w:rsid w:val="3CF7310E"/>
    <w:rsid w:val="3CFD709B"/>
    <w:rsid w:val="3D3103CE"/>
    <w:rsid w:val="3D4041F2"/>
    <w:rsid w:val="3D734E8A"/>
    <w:rsid w:val="3D805368"/>
    <w:rsid w:val="3D820C29"/>
    <w:rsid w:val="3DB57993"/>
    <w:rsid w:val="3DF132CA"/>
    <w:rsid w:val="3E103B9E"/>
    <w:rsid w:val="3E2829E9"/>
    <w:rsid w:val="3E5113D8"/>
    <w:rsid w:val="3E832EAB"/>
    <w:rsid w:val="3EBE76C5"/>
    <w:rsid w:val="3ECC22A5"/>
    <w:rsid w:val="3EDB2CE7"/>
    <w:rsid w:val="3F1E0E25"/>
    <w:rsid w:val="3F324E7C"/>
    <w:rsid w:val="3F3E1D92"/>
    <w:rsid w:val="3F3E3276"/>
    <w:rsid w:val="3F5D36FC"/>
    <w:rsid w:val="3FA70E1B"/>
    <w:rsid w:val="3FB452E6"/>
    <w:rsid w:val="3FB5178A"/>
    <w:rsid w:val="3FF744E4"/>
    <w:rsid w:val="40077B0C"/>
    <w:rsid w:val="40290860"/>
    <w:rsid w:val="40297A82"/>
    <w:rsid w:val="403D54CD"/>
    <w:rsid w:val="40532D2B"/>
    <w:rsid w:val="406D41CF"/>
    <w:rsid w:val="407707ED"/>
    <w:rsid w:val="408028ED"/>
    <w:rsid w:val="40C7284E"/>
    <w:rsid w:val="40D95004"/>
    <w:rsid w:val="40E104DF"/>
    <w:rsid w:val="40F13E3D"/>
    <w:rsid w:val="40FB5C66"/>
    <w:rsid w:val="41212AAF"/>
    <w:rsid w:val="41597EF3"/>
    <w:rsid w:val="4178455B"/>
    <w:rsid w:val="41864339"/>
    <w:rsid w:val="41B0748D"/>
    <w:rsid w:val="41B873F1"/>
    <w:rsid w:val="41BB6E00"/>
    <w:rsid w:val="41CF3C5E"/>
    <w:rsid w:val="41E874E1"/>
    <w:rsid w:val="41FB71FC"/>
    <w:rsid w:val="423257B2"/>
    <w:rsid w:val="42440BA3"/>
    <w:rsid w:val="424D3EFC"/>
    <w:rsid w:val="425D1BF0"/>
    <w:rsid w:val="426A68F1"/>
    <w:rsid w:val="426B29F2"/>
    <w:rsid w:val="426D375C"/>
    <w:rsid w:val="42754E3B"/>
    <w:rsid w:val="42A35E1F"/>
    <w:rsid w:val="42B73128"/>
    <w:rsid w:val="42E414A5"/>
    <w:rsid w:val="42ED38B0"/>
    <w:rsid w:val="430239C6"/>
    <w:rsid w:val="430C466C"/>
    <w:rsid w:val="435F025C"/>
    <w:rsid w:val="43676230"/>
    <w:rsid w:val="442716E3"/>
    <w:rsid w:val="442A3DC9"/>
    <w:rsid w:val="44316131"/>
    <w:rsid w:val="443A04B0"/>
    <w:rsid w:val="445B0426"/>
    <w:rsid w:val="44623B29"/>
    <w:rsid w:val="44AC6153"/>
    <w:rsid w:val="44CB7E92"/>
    <w:rsid w:val="44D37FBC"/>
    <w:rsid w:val="44D53D34"/>
    <w:rsid w:val="44D81267"/>
    <w:rsid w:val="44DD1721"/>
    <w:rsid w:val="45260A34"/>
    <w:rsid w:val="45303661"/>
    <w:rsid w:val="4551727C"/>
    <w:rsid w:val="45653B06"/>
    <w:rsid w:val="45675307"/>
    <w:rsid w:val="4574425A"/>
    <w:rsid w:val="458D6DA1"/>
    <w:rsid w:val="458F2670"/>
    <w:rsid w:val="45D1463A"/>
    <w:rsid w:val="45E82159"/>
    <w:rsid w:val="45ED0F61"/>
    <w:rsid w:val="45FB77CB"/>
    <w:rsid w:val="460C19D8"/>
    <w:rsid w:val="464F7B16"/>
    <w:rsid w:val="46767799"/>
    <w:rsid w:val="46B5206F"/>
    <w:rsid w:val="46CA0775"/>
    <w:rsid w:val="46D53D73"/>
    <w:rsid w:val="471825FE"/>
    <w:rsid w:val="4727514F"/>
    <w:rsid w:val="47451645"/>
    <w:rsid w:val="475036EC"/>
    <w:rsid w:val="476304E5"/>
    <w:rsid w:val="483D1893"/>
    <w:rsid w:val="48407E8B"/>
    <w:rsid w:val="48492B5E"/>
    <w:rsid w:val="48662638"/>
    <w:rsid w:val="486A70F8"/>
    <w:rsid w:val="48941C0A"/>
    <w:rsid w:val="48D016B1"/>
    <w:rsid w:val="48EB621C"/>
    <w:rsid w:val="48EF63BC"/>
    <w:rsid w:val="48F03833"/>
    <w:rsid w:val="49143FE3"/>
    <w:rsid w:val="49410045"/>
    <w:rsid w:val="497B5EAF"/>
    <w:rsid w:val="49BB5BEF"/>
    <w:rsid w:val="49E550B8"/>
    <w:rsid w:val="4A304D72"/>
    <w:rsid w:val="4ABD50B2"/>
    <w:rsid w:val="4ADA08DD"/>
    <w:rsid w:val="4AF53CDA"/>
    <w:rsid w:val="4B302190"/>
    <w:rsid w:val="4B4B4D50"/>
    <w:rsid w:val="4B920BD1"/>
    <w:rsid w:val="4BCD1E1A"/>
    <w:rsid w:val="4C0D05F0"/>
    <w:rsid w:val="4C336232"/>
    <w:rsid w:val="4C4D68A6"/>
    <w:rsid w:val="4C5440D8"/>
    <w:rsid w:val="4C5B1CC0"/>
    <w:rsid w:val="4C6063F0"/>
    <w:rsid w:val="4C912C37"/>
    <w:rsid w:val="4CDE25B8"/>
    <w:rsid w:val="4D031C9B"/>
    <w:rsid w:val="4D237C5B"/>
    <w:rsid w:val="4D567F0A"/>
    <w:rsid w:val="4D6E195B"/>
    <w:rsid w:val="4D882C83"/>
    <w:rsid w:val="4DB33731"/>
    <w:rsid w:val="4DB34E9F"/>
    <w:rsid w:val="4DD45985"/>
    <w:rsid w:val="4DDE57A5"/>
    <w:rsid w:val="4DE4323A"/>
    <w:rsid w:val="4DED5CE9"/>
    <w:rsid w:val="4DEE38E9"/>
    <w:rsid w:val="4E015B9A"/>
    <w:rsid w:val="4E040F77"/>
    <w:rsid w:val="4E0D2791"/>
    <w:rsid w:val="4E2528C4"/>
    <w:rsid w:val="4E381FE7"/>
    <w:rsid w:val="4E7D3760"/>
    <w:rsid w:val="4EF15C0F"/>
    <w:rsid w:val="4F0478A8"/>
    <w:rsid w:val="4F0E4A13"/>
    <w:rsid w:val="4F245FE4"/>
    <w:rsid w:val="4F570614"/>
    <w:rsid w:val="4F7A3E56"/>
    <w:rsid w:val="4F7E3AF1"/>
    <w:rsid w:val="4FC81DBA"/>
    <w:rsid w:val="4FE062C8"/>
    <w:rsid w:val="4FF260E2"/>
    <w:rsid w:val="50083210"/>
    <w:rsid w:val="501047BA"/>
    <w:rsid w:val="50493828"/>
    <w:rsid w:val="5051384E"/>
    <w:rsid w:val="50792360"/>
    <w:rsid w:val="507C1E50"/>
    <w:rsid w:val="50932863"/>
    <w:rsid w:val="50A92418"/>
    <w:rsid w:val="50C64757"/>
    <w:rsid w:val="50E04186"/>
    <w:rsid w:val="510C719C"/>
    <w:rsid w:val="511A7AB0"/>
    <w:rsid w:val="512E2388"/>
    <w:rsid w:val="51801680"/>
    <w:rsid w:val="51CF2578"/>
    <w:rsid w:val="51D44165"/>
    <w:rsid w:val="51D82289"/>
    <w:rsid w:val="51E101BC"/>
    <w:rsid w:val="522600D8"/>
    <w:rsid w:val="5230624E"/>
    <w:rsid w:val="524B7D2C"/>
    <w:rsid w:val="525E7F64"/>
    <w:rsid w:val="528B597C"/>
    <w:rsid w:val="52A031D1"/>
    <w:rsid w:val="52A92912"/>
    <w:rsid w:val="52B24B47"/>
    <w:rsid w:val="52B3031A"/>
    <w:rsid w:val="52BA1516"/>
    <w:rsid w:val="52D33D8B"/>
    <w:rsid w:val="52EF06B7"/>
    <w:rsid w:val="531039DD"/>
    <w:rsid w:val="53180D32"/>
    <w:rsid w:val="537938E1"/>
    <w:rsid w:val="53807F59"/>
    <w:rsid w:val="53966D81"/>
    <w:rsid w:val="53A729BB"/>
    <w:rsid w:val="53C77F81"/>
    <w:rsid w:val="549A6B3D"/>
    <w:rsid w:val="549C03CB"/>
    <w:rsid w:val="54C469B0"/>
    <w:rsid w:val="54E35FFA"/>
    <w:rsid w:val="54F71AA5"/>
    <w:rsid w:val="551254D1"/>
    <w:rsid w:val="55164621"/>
    <w:rsid w:val="55184EF2"/>
    <w:rsid w:val="551B5793"/>
    <w:rsid w:val="557F5C64"/>
    <w:rsid w:val="55CE5FAF"/>
    <w:rsid w:val="55D65B5E"/>
    <w:rsid w:val="55FF50B5"/>
    <w:rsid w:val="563E671E"/>
    <w:rsid w:val="5647080A"/>
    <w:rsid w:val="56695122"/>
    <w:rsid w:val="567C6706"/>
    <w:rsid w:val="568D4A8B"/>
    <w:rsid w:val="56AD68BF"/>
    <w:rsid w:val="56E322E1"/>
    <w:rsid w:val="56F72C39"/>
    <w:rsid w:val="57265724"/>
    <w:rsid w:val="5741059C"/>
    <w:rsid w:val="57821C5F"/>
    <w:rsid w:val="5787376C"/>
    <w:rsid w:val="57EC71D5"/>
    <w:rsid w:val="581A249A"/>
    <w:rsid w:val="58340631"/>
    <w:rsid w:val="588621CE"/>
    <w:rsid w:val="588927B2"/>
    <w:rsid w:val="58A14202"/>
    <w:rsid w:val="58AC03AC"/>
    <w:rsid w:val="58B3037A"/>
    <w:rsid w:val="5906675A"/>
    <w:rsid w:val="593212FE"/>
    <w:rsid w:val="593432C8"/>
    <w:rsid w:val="596A327B"/>
    <w:rsid w:val="598F3C15"/>
    <w:rsid w:val="59A44AE5"/>
    <w:rsid w:val="59C43179"/>
    <w:rsid w:val="59E21F44"/>
    <w:rsid w:val="59EF7044"/>
    <w:rsid w:val="59FB5B93"/>
    <w:rsid w:val="5A1256BA"/>
    <w:rsid w:val="5A1B2694"/>
    <w:rsid w:val="5A736D06"/>
    <w:rsid w:val="5AB51CCA"/>
    <w:rsid w:val="5AB57322"/>
    <w:rsid w:val="5AB86B82"/>
    <w:rsid w:val="5ABC62B9"/>
    <w:rsid w:val="5ACE451A"/>
    <w:rsid w:val="5ADF7263"/>
    <w:rsid w:val="5AED4C1B"/>
    <w:rsid w:val="5B2D4472"/>
    <w:rsid w:val="5BA52831"/>
    <w:rsid w:val="5BC0596D"/>
    <w:rsid w:val="5BE5635E"/>
    <w:rsid w:val="5BE74621"/>
    <w:rsid w:val="5C03587B"/>
    <w:rsid w:val="5C082ED9"/>
    <w:rsid w:val="5C453255"/>
    <w:rsid w:val="5C4805D9"/>
    <w:rsid w:val="5C482D1B"/>
    <w:rsid w:val="5C7236C4"/>
    <w:rsid w:val="5C8C4DD7"/>
    <w:rsid w:val="5C8E7193"/>
    <w:rsid w:val="5CAD7A90"/>
    <w:rsid w:val="5CB82BDC"/>
    <w:rsid w:val="5CBA0A27"/>
    <w:rsid w:val="5CE24F97"/>
    <w:rsid w:val="5CEC3B27"/>
    <w:rsid w:val="5D047455"/>
    <w:rsid w:val="5D656145"/>
    <w:rsid w:val="5D804893"/>
    <w:rsid w:val="5DA53F1B"/>
    <w:rsid w:val="5DA54794"/>
    <w:rsid w:val="5DC63FF9"/>
    <w:rsid w:val="5EFA37B3"/>
    <w:rsid w:val="5F4571B2"/>
    <w:rsid w:val="5F4F2373"/>
    <w:rsid w:val="5F6A078D"/>
    <w:rsid w:val="5F9A7BFD"/>
    <w:rsid w:val="5FA23A48"/>
    <w:rsid w:val="5FB36CBE"/>
    <w:rsid w:val="5FC627A0"/>
    <w:rsid w:val="5FD076A0"/>
    <w:rsid w:val="5FED36FB"/>
    <w:rsid w:val="606F72DB"/>
    <w:rsid w:val="60BC5E8F"/>
    <w:rsid w:val="60C170FF"/>
    <w:rsid w:val="60CC0666"/>
    <w:rsid w:val="610E27AB"/>
    <w:rsid w:val="611511C3"/>
    <w:rsid w:val="61393910"/>
    <w:rsid w:val="61710A64"/>
    <w:rsid w:val="61D84352"/>
    <w:rsid w:val="61DA4AD9"/>
    <w:rsid w:val="61F335F4"/>
    <w:rsid w:val="623D3E1F"/>
    <w:rsid w:val="62626313"/>
    <w:rsid w:val="629D4803"/>
    <w:rsid w:val="62AE498D"/>
    <w:rsid w:val="62ED1A72"/>
    <w:rsid w:val="637F5A87"/>
    <w:rsid w:val="638048A2"/>
    <w:rsid w:val="638A2399"/>
    <w:rsid w:val="63D57455"/>
    <w:rsid w:val="63EF2CB1"/>
    <w:rsid w:val="63EF49BB"/>
    <w:rsid w:val="63F74842"/>
    <w:rsid w:val="63FF44D2"/>
    <w:rsid w:val="64077840"/>
    <w:rsid w:val="641504F8"/>
    <w:rsid w:val="6435406C"/>
    <w:rsid w:val="64601415"/>
    <w:rsid w:val="64774677"/>
    <w:rsid w:val="64AB0CD1"/>
    <w:rsid w:val="64C96613"/>
    <w:rsid w:val="64D84E1A"/>
    <w:rsid w:val="65312DB1"/>
    <w:rsid w:val="6558033E"/>
    <w:rsid w:val="656606E0"/>
    <w:rsid w:val="65675ED4"/>
    <w:rsid w:val="658C2053"/>
    <w:rsid w:val="65EB11B2"/>
    <w:rsid w:val="66576847"/>
    <w:rsid w:val="66672543"/>
    <w:rsid w:val="6683497C"/>
    <w:rsid w:val="66B21CD0"/>
    <w:rsid w:val="66E872A7"/>
    <w:rsid w:val="676E5CC7"/>
    <w:rsid w:val="67E14BAB"/>
    <w:rsid w:val="67EE0AE5"/>
    <w:rsid w:val="67F71E56"/>
    <w:rsid w:val="68145423"/>
    <w:rsid w:val="683A3D2B"/>
    <w:rsid w:val="684C44B3"/>
    <w:rsid w:val="68880F3A"/>
    <w:rsid w:val="690F1726"/>
    <w:rsid w:val="691922CA"/>
    <w:rsid w:val="6942765C"/>
    <w:rsid w:val="69D8608D"/>
    <w:rsid w:val="6A2D5CB0"/>
    <w:rsid w:val="6A4D2110"/>
    <w:rsid w:val="6A663992"/>
    <w:rsid w:val="6A7D0A56"/>
    <w:rsid w:val="6AB10CF8"/>
    <w:rsid w:val="6ABA6C3B"/>
    <w:rsid w:val="6B4078AA"/>
    <w:rsid w:val="6B4663C9"/>
    <w:rsid w:val="6B7B7F55"/>
    <w:rsid w:val="6B981494"/>
    <w:rsid w:val="6BA57CEF"/>
    <w:rsid w:val="6BB90159"/>
    <w:rsid w:val="6BCC3834"/>
    <w:rsid w:val="6BD84130"/>
    <w:rsid w:val="6C031CBB"/>
    <w:rsid w:val="6C111246"/>
    <w:rsid w:val="6C124248"/>
    <w:rsid w:val="6C6B059F"/>
    <w:rsid w:val="6C8E6D3B"/>
    <w:rsid w:val="6C9555FE"/>
    <w:rsid w:val="6C97605D"/>
    <w:rsid w:val="6CA00B62"/>
    <w:rsid w:val="6CBD4F2A"/>
    <w:rsid w:val="6CFE27E3"/>
    <w:rsid w:val="6D274D94"/>
    <w:rsid w:val="6D8C026B"/>
    <w:rsid w:val="6D955447"/>
    <w:rsid w:val="6D9E0D2D"/>
    <w:rsid w:val="6D9E2EF6"/>
    <w:rsid w:val="6DAD3879"/>
    <w:rsid w:val="6DD01AB0"/>
    <w:rsid w:val="6DD857F0"/>
    <w:rsid w:val="6DE94229"/>
    <w:rsid w:val="6DEB139F"/>
    <w:rsid w:val="6DF350A8"/>
    <w:rsid w:val="6E4A3AA9"/>
    <w:rsid w:val="6E557B10"/>
    <w:rsid w:val="6E62222D"/>
    <w:rsid w:val="6E741A47"/>
    <w:rsid w:val="6E846891"/>
    <w:rsid w:val="6E8B3FD1"/>
    <w:rsid w:val="6E9D5013"/>
    <w:rsid w:val="6E9E14B7"/>
    <w:rsid w:val="6EB34837"/>
    <w:rsid w:val="6EC73382"/>
    <w:rsid w:val="6EDB181C"/>
    <w:rsid w:val="6EF40B34"/>
    <w:rsid w:val="6F0843FC"/>
    <w:rsid w:val="6F0C014F"/>
    <w:rsid w:val="6F0D11E7"/>
    <w:rsid w:val="6F1D644C"/>
    <w:rsid w:val="6F4D02A4"/>
    <w:rsid w:val="6F793947"/>
    <w:rsid w:val="6FC83DE4"/>
    <w:rsid w:val="6FD9651F"/>
    <w:rsid w:val="6FDB7D0C"/>
    <w:rsid w:val="6FDC23B5"/>
    <w:rsid w:val="705D0EFE"/>
    <w:rsid w:val="7060279C"/>
    <w:rsid w:val="706B3710"/>
    <w:rsid w:val="706B4417"/>
    <w:rsid w:val="70784F6A"/>
    <w:rsid w:val="70AD066D"/>
    <w:rsid w:val="70B2470E"/>
    <w:rsid w:val="70B46822"/>
    <w:rsid w:val="70D77260"/>
    <w:rsid w:val="70E17439"/>
    <w:rsid w:val="710377E1"/>
    <w:rsid w:val="713117D3"/>
    <w:rsid w:val="713F23B2"/>
    <w:rsid w:val="715F2A54"/>
    <w:rsid w:val="716B764B"/>
    <w:rsid w:val="717B1097"/>
    <w:rsid w:val="71817101"/>
    <w:rsid w:val="71943263"/>
    <w:rsid w:val="71A10531"/>
    <w:rsid w:val="71B80224"/>
    <w:rsid w:val="71CF7BDA"/>
    <w:rsid w:val="71DE09E8"/>
    <w:rsid w:val="720B21A0"/>
    <w:rsid w:val="72231CD3"/>
    <w:rsid w:val="72414B2C"/>
    <w:rsid w:val="725956F5"/>
    <w:rsid w:val="72771820"/>
    <w:rsid w:val="72775B5D"/>
    <w:rsid w:val="72E163D5"/>
    <w:rsid w:val="73010267"/>
    <w:rsid w:val="730651BF"/>
    <w:rsid w:val="732C1100"/>
    <w:rsid w:val="73400A3E"/>
    <w:rsid w:val="734D2E7F"/>
    <w:rsid w:val="735D7E91"/>
    <w:rsid w:val="737A5923"/>
    <w:rsid w:val="7395275D"/>
    <w:rsid w:val="73CF6471"/>
    <w:rsid w:val="73F118A1"/>
    <w:rsid w:val="74956EB9"/>
    <w:rsid w:val="7496678D"/>
    <w:rsid w:val="749E5641"/>
    <w:rsid w:val="74EE7509"/>
    <w:rsid w:val="751540E3"/>
    <w:rsid w:val="757762DF"/>
    <w:rsid w:val="75D91027"/>
    <w:rsid w:val="76085468"/>
    <w:rsid w:val="76183CDA"/>
    <w:rsid w:val="764861AD"/>
    <w:rsid w:val="764C0E19"/>
    <w:rsid w:val="76570D9E"/>
    <w:rsid w:val="765A1D4D"/>
    <w:rsid w:val="766308F1"/>
    <w:rsid w:val="76B55A6D"/>
    <w:rsid w:val="772B58B2"/>
    <w:rsid w:val="772F009D"/>
    <w:rsid w:val="777763A3"/>
    <w:rsid w:val="777E3905"/>
    <w:rsid w:val="777F6544"/>
    <w:rsid w:val="77813724"/>
    <w:rsid w:val="77822AD2"/>
    <w:rsid w:val="779A33A8"/>
    <w:rsid w:val="78263FA6"/>
    <w:rsid w:val="783E7867"/>
    <w:rsid w:val="78436B13"/>
    <w:rsid w:val="7846297D"/>
    <w:rsid w:val="7859644F"/>
    <w:rsid w:val="78941235"/>
    <w:rsid w:val="78B13B95"/>
    <w:rsid w:val="78E40FA3"/>
    <w:rsid w:val="791E0B39"/>
    <w:rsid w:val="79487052"/>
    <w:rsid w:val="79586707"/>
    <w:rsid w:val="79941F77"/>
    <w:rsid w:val="79BE0C60"/>
    <w:rsid w:val="79C218C0"/>
    <w:rsid w:val="79E06FD9"/>
    <w:rsid w:val="79F006ED"/>
    <w:rsid w:val="79F53437"/>
    <w:rsid w:val="7A052A13"/>
    <w:rsid w:val="7A144B1A"/>
    <w:rsid w:val="7A2B3BCE"/>
    <w:rsid w:val="7A7430CC"/>
    <w:rsid w:val="7A80169B"/>
    <w:rsid w:val="7AC3206E"/>
    <w:rsid w:val="7AC51215"/>
    <w:rsid w:val="7AE446F6"/>
    <w:rsid w:val="7AFF6ACD"/>
    <w:rsid w:val="7B0326A2"/>
    <w:rsid w:val="7B0F54EB"/>
    <w:rsid w:val="7B436E21"/>
    <w:rsid w:val="7B54666E"/>
    <w:rsid w:val="7B5B0429"/>
    <w:rsid w:val="7B615E02"/>
    <w:rsid w:val="7B6B795B"/>
    <w:rsid w:val="7BBC6B0F"/>
    <w:rsid w:val="7BF1357F"/>
    <w:rsid w:val="7C4A2065"/>
    <w:rsid w:val="7C796F1F"/>
    <w:rsid w:val="7C855349"/>
    <w:rsid w:val="7CAA6238"/>
    <w:rsid w:val="7CFE65CC"/>
    <w:rsid w:val="7D085F7C"/>
    <w:rsid w:val="7D404FB3"/>
    <w:rsid w:val="7D8C349D"/>
    <w:rsid w:val="7D8C697F"/>
    <w:rsid w:val="7DA02855"/>
    <w:rsid w:val="7DC73E5B"/>
    <w:rsid w:val="7DC73F51"/>
    <w:rsid w:val="7E0B1DFF"/>
    <w:rsid w:val="7E134C71"/>
    <w:rsid w:val="7E2352CD"/>
    <w:rsid w:val="7E2A3C98"/>
    <w:rsid w:val="7E5043EB"/>
    <w:rsid w:val="7E604231"/>
    <w:rsid w:val="7EB34E00"/>
    <w:rsid w:val="7EF2571C"/>
    <w:rsid w:val="7F107F87"/>
    <w:rsid w:val="7F210F90"/>
    <w:rsid w:val="7F3405C5"/>
    <w:rsid w:val="7F361298"/>
    <w:rsid w:val="7F837A13"/>
    <w:rsid w:val="7F9F2560"/>
    <w:rsid w:val="7FA24979"/>
    <w:rsid w:val="7FE14A90"/>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Normal Indent"/>
    <w:next w:val="8"/>
    <w:qFormat/>
    <w:uiPriority w:val="0"/>
    <w:pPr>
      <w:widowControl w:val="0"/>
      <w:spacing w:line="360" w:lineRule="auto"/>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8">
    <w:name w:val="图表文字居中"/>
    <w:qFormat/>
    <w:uiPriority w:val="0"/>
    <w:pPr>
      <w:widowControl w:val="0"/>
      <w:spacing w:line="240" w:lineRule="exact"/>
      <w:ind w:firstLine="200" w:firstLineChars="200"/>
      <w:jc w:val="center"/>
    </w:pPr>
    <w:rPr>
      <w:rFonts w:ascii="宋体" w:hAnsi="Times New Roman" w:eastAsia="宋体" w:cs="Times New Roman"/>
      <w:b/>
      <w:kern w:val="2"/>
      <w:sz w:val="21"/>
      <w:szCs w:val="24"/>
      <w:lang w:val="en-US" w:eastAsia="zh-CN" w:bidi="ar-SA"/>
    </w:rPr>
  </w:style>
  <w:style w:type="paragraph" w:styleId="9">
    <w:name w:val="annotation text"/>
    <w:basedOn w:val="1"/>
    <w:qFormat/>
    <w:uiPriority w:val="0"/>
    <w:pPr>
      <w:jc w:val="left"/>
    </w:pPr>
  </w:style>
  <w:style w:type="paragraph" w:styleId="10">
    <w:name w:val="Body Text"/>
    <w:basedOn w:val="1"/>
    <w:next w:val="1"/>
    <w:qFormat/>
    <w:uiPriority w:val="0"/>
    <w:pPr>
      <w:spacing w:after="120"/>
    </w:pPr>
  </w:style>
  <w:style w:type="paragraph" w:styleId="11">
    <w:name w:val="Body Text Indent"/>
    <w:basedOn w:val="1"/>
    <w:next w:val="12"/>
    <w:link w:val="41"/>
    <w:qFormat/>
    <w:uiPriority w:val="0"/>
    <w:pPr>
      <w:spacing w:after="120"/>
      <w:ind w:left="420" w:leftChars="200"/>
    </w:pPr>
  </w:style>
  <w:style w:type="paragraph" w:styleId="12">
    <w:name w:val="envelope return"/>
    <w:basedOn w:val="1"/>
    <w:unhideWhenUsed/>
    <w:qFormat/>
    <w:uiPriority w:val="99"/>
    <w:pPr>
      <w:snapToGrid w:val="0"/>
      <w:ind w:firstLine="200"/>
    </w:pPr>
    <w:rPr>
      <w:rFonts w:ascii="Arial" w:hAnsi="Arial" w:cs="Arial"/>
      <w:szCs w:val="20"/>
    </w:rPr>
  </w:style>
  <w:style w:type="paragraph" w:styleId="13">
    <w:name w:val="Plain Text"/>
    <w:basedOn w:val="1"/>
    <w:link w:val="42"/>
    <w:qFormat/>
    <w:uiPriority w:val="0"/>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next w:val="1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6">
    <w:name w:val="Quote"/>
    <w:basedOn w:val="1"/>
    <w:next w:val="1"/>
    <w:unhideWhenUsed/>
    <w:qFormat/>
    <w:uiPriority w:val="99"/>
    <w:pPr>
      <w:ind w:left="864" w:right="864"/>
      <w:jc w:val="center"/>
    </w:pPr>
    <w:rPr>
      <w:rFonts w:ascii="Times New Roman" w:hAnsi="Times New Roman"/>
      <w:i/>
      <w:iCs/>
      <w:color w:val="404040"/>
      <w:szCs w:val="21"/>
    </w:rPr>
  </w:style>
  <w:style w:type="paragraph" w:styleId="17">
    <w:name w:val="toc 1"/>
    <w:basedOn w:val="1"/>
    <w:next w:val="1"/>
    <w:qFormat/>
    <w:uiPriority w:val="0"/>
  </w:style>
  <w:style w:type="paragraph" w:styleId="18">
    <w:name w:val="footnote text"/>
    <w:basedOn w:val="1"/>
    <w:unhideWhenUsed/>
    <w:qFormat/>
    <w:uiPriority w:val="0"/>
    <w:pPr>
      <w:snapToGrid w:val="0"/>
      <w:jc w:val="left"/>
    </w:pPr>
    <w:rPr>
      <w:sz w:val="18"/>
      <w:szCs w:val="18"/>
    </w:rPr>
  </w:style>
  <w:style w:type="paragraph" w:styleId="19">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20">
    <w:name w:val="Title"/>
    <w:basedOn w:val="1"/>
    <w:next w:val="1"/>
    <w:qFormat/>
    <w:uiPriority w:val="0"/>
    <w:pPr>
      <w:tabs>
        <w:tab w:val="left" w:pos="450"/>
      </w:tabs>
      <w:ind w:left="450" w:hanging="450"/>
      <w:jc w:val="center"/>
    </w:pPr>
    <w:rPr>
      <w:rFonts w:ascii="黑体" w:eastAsia="黑体"/>
      <w:sz w:val="32"/>
      <w:szCs w:val="20"/>
    </w:rPr>
  </w:style>
  <w:style w:type="paragraph" w:styleId="21">
    <w:name w:val="Body Text First Indent"/>
    <w:basedOn w:val="10"/>
    <w:qFormat/>
    <w:uiPriority w:val="99"/>
    <w:pPr>
      <w:ind w:firstLine="420" w:firstLineChars="100"/>
    </w:pPr>
  </w:style>
  <w:style w:type="paragraph" w:styleId="22">
    <w:name w:val="Body Text First Indent 2"/>
    <w:basedOn w:val="11"/>
    <w:next w:val="1"/>
    <w:qFormat/>
    <w:uiPriority w:val="0"/>
    <w:pPr>
      <w:ind w:firstLine="420" w:firstLineChars="200"/>
    </w:pPr>
    <w:rPr>
      <w:rFonts w:ascii="Calibri" w:hAnsi="Calibri"/>
      <w:szCs w:val="22"/>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basedOn w:val="25"/>
    <w:qFormat/>
    <w:uiPriority w:val="0"/>
    <w:rPr>
      <w:color w:val="555555"/>
      <w:u w:val="none"/>
    </w:rPr>
  </w:style>
  <w:style w:type="character" w:styleId="28">
    <w:name w:val="Emphasis"/>
    <w:basedOn w:val="25"/>
    <w:qFormat/>
    <w:uiPriority w:val="0"/>
  </w:style>
  <w:style w:type="character" w:styleId="29">
    <w:name w:val="HTML Definition"/>
    <w:basedOn w:val="25"/>
    <w:qFormat/>
    <w:uiPriority w:val="0"/>
  </w:style>
  <w:style w:type="character" w:styleId="30">
    <w:name w:val="HTML Variable"/>
    <w:basedOn w:val="25"/>
    <w:qFormat/>
    <w:uiPriority w:val="0"/>
  </w:style>
  <w:style w:type="character" w:styleId="31">
    <w:name w:val="Hyperlink"/>
    <w:basedOn w:val="25"/>
    <w:unhideWhenUsed/>
    <w:qFormat/>
    <w:uiPriority w:val="99"/>
    <w:rPr>
      <w:rFonts w:ascii="Times New Roman" w:hAnsi="Times New Roman" w:eastAsia="宋体" w:cs="Times New Roman"/>
      <w:color w:val="0000FF"/>
      <w:kern w:val="2"/>
      <w:sz w:val="21"/>
      <w:szCs w:val="24"/>
      <w:u w:val="single"/>
      <w:lang w:eastAsia="zh-CN"/>
    </w:rPr>
  </w:style>
  <w:style w:type="character" w:styleId="32">
    <w:name w:val="HTML Cite"/>
    <w:basedOn w:val="25"/>
    <w:qFormat/>
    <w:uiPriority w:val="0"/>
  </w:style>
  <w:style w:type="character" w:styleId="33">
    <w:name w:val="footnote reference"/>
    <w:unhideWhenUsed/>
    <w:qFormat/>
    <w:uiPriority w:val="0"/>
    <w:rPr>
      <w:vertAlign w:val="superscript"/>
    </w:rPr>
  </w:style>
  <w:style w:type="paragraph" w:customStyle="1" w:styleId="34">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5">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6">
    <w:name w:val="WPSOffice手动目录 1"/>
    <w:qFormat/>
    <w:uiPriority w:val="0"/>
    <w:rPr>
      <w:rFonts w:asciiTheme="minorHAnsi" w:hAnsiTheme="minorHAnsi" w:eastAsiaTheme="minorEastAsia" w:cstheme="minorBidi"/>
      <w:lang w:val="en-US" w:eastAsia="zh-CN" w:bidi="ar-SA"/>
    </w:rPr>
  </w:style>
  <w:style w:type="character" w:customStyle="1" w:styleId="37">
    <w:name w:val="font61"/>
    <w:basedOn w:val="25"/>
    <w:qFormat/>
    <w:uiPriority w:val="0"/>
    <w:rPr>
      <w:rFonts w:hint="eastAsia" w:ascii="宋体" w:hAnsi="宋体" w:eastAsia="宋体" w:cs="宋体"/>
      <w:color w:val="000000"/>
      <w:sz w:val="20"/>
      <w:szCs w:val="20"/>
      <w:u w:val="none"/>
    </w:rPr>
  </w:style>
  <w:style w:type="character" w:customStyle="1" w:styleId="38">
    <w:name w:val="font141"/>
    <w:basedOn w:val="25"/>
    <w:qFormat/>
    <w:uiPriority w:val="0"/>
    <w:rPr>
      <w:rFonts w:hint="eastAsia" w:ascii="宋体" w:hAnsi="宋体" w:eastAsia="宋体" w:cs="宋体"/>
      <w:color w:val="000000"/>
      <w:sz w:val="24"/>
      <w:szCs w:val="24"/>
      <w:u w:val="none"/>
      <w:vertAlign w:val="superscript"/>
    </w:rPr>
  </w:style>
  <w:style w:type="paragraph" w:customStyle="1" w:styleId="39">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40">
    <w:name w:val="List Paragraph"/>
    <w:basedOn w:val="1"/>
    <w:qFormat/>
    <w:uiPriority w:val="1"/>
    <w:pPr>
      <w:ind w:left="235" w:hanging="527"/>
    </w:pPr>
    <w:rPr>
      <w:rFonts w:ascii="宋体" w:hAnsi="宋体" w:eastAsia="宋体" w:cs="宋体"/>
      <w:lang w:val="zh-CN" w:eastAsia="zh-CN" w:bidi="zh-CN"/>
    </w:rPr>
  </w:style>
  <w:style w:type="character" w:customStyle="1" w:styleId="41">
    <w:name w:val="正文文本缩进 Char"/>
    <w:link w:val="11"/>
    <w:qFormat/>
    <w:uiPriority w:val="0"/>
  </w:style>
  <w:style w:type="character" w:customStyle="1" w:styleId="42">
    <w:name w:val="纯文本 Char"/>
    <w:link w:val="13"/>
    <w:qFormat/>
    <w:uiPriority w:val="0"/>
    <w:rPr>
      <w:rFonts w:ascii="宋体" w:hAnsi="Courier New"/>
      <w:szCs w:val="20"/>
    </w:rPr>
  </w:style>
  <w:style w:type="paragraph" w:customStyle="1" w:styleId="43">
    <w:name w:val="Table Paragraph"/>
    <w:basedOn w:val="1"/>
    <w:qFormat/>
    <w:uiPriority w:val="1"/>
    <w:rPr>
      <w:rFonts w:ascii="宋体" w:hAnsi="宋体" w:eastAsia="宋体" w:cs="宋体"/>
    </w:rPr>
  </w:style>
  <w:style w:type="table" w:customStyle="1" w:styleId="44">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5">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6">
    <w:name w:val="font41"/>
    <w:basedOn w:val="25"/>
    <w:qFormat/>
    <w:uiPriority w:val="0"/>
    <w:rPr>
      <w:rFonts w:hint="eastAsia" w:ascii="宋体" w:hAnsi="宋体" w:eastAsia="宋体" w:cs="宋体"/>
      <w:color w:val="000000"/>
      <w:sz w:val="22"/>
      <w:szCs w:val="22"/>
      <w:u w:val="none"/>
    </w:rPr>
  </w:style>
  <w:style w:type="character" w:customStyle="1" w:styleId="47">
    <w:name w:val="font51"/>
    <w:basedOn w:val="25"/>
    <w:qFormat/>
    <w:uiPriority w:val="0"/>
    <w:rPr>
      <w:rFonts w:hint="eastAsia" w:ascii="宋体" w:hAnsi="宋体" w:eastAsia="宋体" w:cs="宋体"/>
      <w:color w:val="000000"/>
      <w:sz w:val="22"/>
      <w:szCs w:val="22"/>
      <w:u w:val="none"/>
    </w:rPr>
  </w:style>
  <w:style w:type="character" w:customStyle="1" w:styleId="48">
    <w:name w:val="font91"/>
    <w:basedOn w:val="25"/>
    <w:qFormat/>
    <w:uiPriority w:val="0"/>
    <w:rPr>
      <w:rFonts w:ascii="Arial" w:hAnsi="Arial" w:cs="Arial"/>
      <w:color w:val="000000"/>
      <w:sz w:val="22"/>
      <w:szCs w:val="22"/>
      <w:u w:val="none"/>
    </w:rPr>
  </w:style>
  <w:style w:type="character" w:customStyle="1" w:styleId="49">
    <w:name w:val="font121"/>
    <w:autoRedefine/>
    <w:qFormat/>
    <w:uiPriority w:val="0"/>
    <w:rPr>
      <w:rFonts w:hint="default" w:ascii="Calibri" w:hAnsi="Calibri" w:cs="Calibri"/>
      <w:color w:val="000000"/>
      <w:sz w:val="24"/>
      <w:szCs w:val="24"/>
      <w:u w:val="none"/>
    </w:rPr>
  </w:style>
  <w:style w:type="character" w:customStyle="1" w:styleId="50">
    <w:name w:val="font11"/>
    <w:basedOn w:val="25"/>
    <w:qFormat/>
    <w:uiPriority w:val="0"/>
    <w:rPr>
      <w:rFonts w:ascii="Arial" w:hAnsi="Arial" w:cs="Arial"/>
      <w:color w:val="000000"/>
      <w:sz w:val="20"/>
      <w:szCs w:val="20"/>
      <w:u w:val="none"/>
    </w:rPr>
  </w:style>
  <w:style w:type="character" w:customStyle="1" w:styleId="51">
    <w:name w:val="font21"/>
    <w:basedOn w:val="25"/>
    <w:qFormat/>
    <w:uiPriority w:val="0"/>
    <w:rPr>
      <w:rFonts w:hint="eastAsia" w:ascii="宋体" w:hAnsi="宋体" w:eastAsia="宋体" w:cs="宋体"/>
      <w:color w:val="000000"/>
      <w:sz w:val="20"/>
      <w:szCs w:val="20"/>
      <w:u w:val="none"/>
    </w:rPr>
  </w:style>
  <w:style w:type="character" w:customStyle="1" w:styleId="52">
    <w:name w:val="font31"/>
    <w:basedOn w:val="2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9373</Words>
  <Characters>10133</Characters>
  <Lines>1</Lines>
  <Paragraphs>1</Paragraphs>
  <TotalTime>0</TotalTime>
  <ScaleCrop>false</ScaleCrop>
  <LinksUpToDate>false</LinksUpToDate>
  <CharactersWithSpaces>10481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2025-02-20T10:47:00Z</cp:lastPrinted>
  <dcterms:modified xsi:type="dcterms:W3CDTF">2025-06-18T10:40:11Z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C09207401BDF43A58D1F265BAB1FAFC6_13</vt:lpwstr>
  </property>
  <property fmtid="{D5CDD505-2E9C-101B-9397-08002B2CF9AE}" pid="4" name="KSOTemplateDocerSaveRecord">
    <vt:lpwstr>eyJoZGlkIjoiYjQxMjg1NjViOTI2YzZhN2U4YmQyNzA3ZTU0NThhZGYiLCJ1c2VySWQiOiI0MDU4NDYwODgifQ==</vt:lpwstr>
  </property>
</Properties>
</file>