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7EE5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安徽交控集团2025年度服务区综合改造</w:t>
      </w:r>
    </w:p>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提升工程项目铝单板采购项目</w:t>
      </w:r>
    </w:p>
    <w:p w14:paraId="38A11D5F">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10"/>
        <w:rPr>
          <w:rFonts w:ascii="Times New Roman" w:hAnsi="Times New Roman" w:cs="Times New Roman"/>
          <w:color w:val="auto"/>
          <w:szCs w:val="21"/>
          <w:highlight w:val="none"/>
        </w:rPr>
      </w:pPr>
    </w:p>
    <w:p w14:paraId="6B3871F8">
      <w:pPr>
        <w:rPr>
          <w:color w:val="auto"/>
          <w:highlight w:val="none"/>
        </w:rPr>
      </w:pPr>
    </w:p>
    <w:p w14:paraId="28B17120">
      <w:pPr>
        <w:pStyle w:val="10"/>
        <w:rPr>
          <w:rFonts w:ascii="Times New Roman" w:hAnsi="Times New Roman" w:cs="Times New Roman"/>
          <w:color w:val="auto"/>
          <w:szCs w:val="21"/>
          <w:highlight w:val="none"/>
        </w:rPr>
      </w:pPr>
    </w:p>
    <w:p w14:paraId="3E23AC69">
      <w:pPr>
        <w:pStyle w:val="10"/>
        <w:rPr>
          <w:rFonts w:ascii="Times New Roman" w:hAnsi="Times New Roman" w:cs="Times New Roman"/>
          <w:color w:val="auto"/>
          <w:szCs w:val="21"/>
          <w:highlight w:val="none"/>
        </w:rPr>
      </w:pPr>
    </w:p>
    <w:p w14:paraId="33EC8FBC">
      <w:pPr>
        <w:pStyle w:val="15"/>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3A05B35C">
      <w:pPr>
        <w:spacing w:line="540" w:lineRule="exact"/>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rPr>
        <w:t>安徽</w:t>
      </w:r>
      <w:r>
        <w:rPr>
          <w:rFonts w:hint="eastAsia" w:ascii="黑体" w:hAnsi="黑体" w:eastAsia="黑体" w:cs="黑体"/>
          <w:color w:val="auto"/>
          <w:sz w:val="32"/>
          <w:szCs w:val="32"/>
          <w:highlight w:val="none"/>
          <w:u w:val="single"/>
          <w:lang w:val="en-US" w:eastAsia="zh-CN"/>
        </w:rPr>
        <w:t>省经工物资</w:t>
      </w:r>
      <w:r>
        <w:rPr>
          <w:rFonts w:hint="eastAsia" w:ascii="黑体" w:hAnsi="黑体" w:eastAsia="黑体" w:cs="黑体"/>
          <w:color w:val="auto"/>
          <w:sz w:val="32"/>
          <w:szCs w:val="32"/>
          <w:highlight w:val="none"/>
          <w:u w:val="single"/>
        </w:rPr>
        <w:t>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6</w:t>
      </w:r>
      <w:r>
        <w:rPr>
          <w:rFonts w:hint="eastAsia" w:ascii="黑体" w:hAnsi="黑体" w:eastAsia="黑体" w:cs="黑体"/>
          <w:color w:val="auto"/>
          <w:sz w:val="32"/>
          <w:szCs w:val="32"/>
          <w:highlight w:val="none"/>
        </w:rPr>
        <w:t>月</w:t>
      </w:r>
    </w:p>
    <w:p w14:paraId="709741F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FF0000"/>
          <w:sz w:val="32"/>
          <w:szCs w:val="32"/>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010899D8">
          <w:pPr>
            <w:pStyle w:val="17"/>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_Toc3489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_Toc3489 \h </w:instrText>
          </w:r>
          <w:r>
            <w:fldChar w:fldCharType="separate"/>
          </w:r>
          <w:r>
            <w:t>3</w:t>
          </w:r>
          <w:r>
            <w:fldChar w:fldCharType="end"/>
          </w:r>
          <w:r>
            <w:rPr>
              <w:rFonts w:hint="eastAsia" w:ascii="宋体" w:hAnsi="宋体" w:eastAsia="宋体" w:cs="宋体"/>
              <w:color w:val="auto"/>
              <w:szCs w:val="24"/>
              <w:highlight w:val="none"/>
            </w:rPr>
            <w:fldChar w:fldCharType="end"/>
          </w:r>
        </w:p>
        <w:p w14:paraId="56B25764">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_Toc28045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_Toc28045 \h </w:instrText>
          </w:r>
          <w:r>
            <w:fldChar w:fldCharType="separate"/>
          </w:r>
          <w:r>
            <w:t>7</w:t>
          </w:r>
          <w:r>
            <w:fldChar w:fldCharType="end"/>
          </w:r>
          <w:r>
            <w:rPr>
              <w:rFonts w:hint="eastAsia" w:ascii="宋体" w:hAnsi="宋体" w:eastAsia="宋体" w:cs="宋体"/>
              <w:color w:val="auto"/>
              <w:szCs w:val="24"/>
              <w:highlight w:val="none"/>
            </w:rPr>
            <w:fldChar w:fldCharType="end"/>
          </w:r>
        </w:p>
        <w:p w14:paraId="355A3394">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_Toc1090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_Toc1090 \h </w:instrText>
          </w:r>
          <w:r>
            <w:fldChar w:fldCharType="separate"/>
          </w:r>
          <w:r>
            <w:t>18</w:t>
          </w:r>
          <w:r>
            <w:fldChar w:fldCharType="end"/>
          </w:r>
          <w:r>
            <w:rPr>
              <w:rFonts w:hint="eastAsia" w:ascii="宋体" w:hAnsi="宋体" w:eastAsia="宋体" w:cs="宋体"/>
              <w:color w:val="auto"/>
              <w:szCs w:val="24"/>
              <w:highlight w:val="none"/>
            </w:rPr>
            <w:fldChar w:fldCharType="end"/>
          </w:r>
        </w:p>
        <w:p w14:paraId="0B77E0B2">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_Toc549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_Toc549 \h </w:instrText>
          </w:r>
          <w:r>
            <w:fldChar w:fldCharType="separate"/>
          </w:r>
          <w:r>
            <w:t>26</w:t>
          </w:r>
          <w:r>
            <w:fldChar w:fldCharType="end"/>
          </w:r>
          <w:r>
            <w:rPr>
              <w:rFonts w:hint="eastAsia" w:ascii="宋体" w:hAnsi="宋体" w:eastAsia="宋体" w:cs="宋体"/>
              <w:color w:val="auto"/>
              <w:szCs w:val="24"/>
              <w:highlight w:val="none"/>
            </w:rPr>
            <w:fldChar w:fldCharType="end"/>
          </w:r>
        </w:p>
        <w:p w14:paraId="53047E16">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_Toc21035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_Toc21035 \h </w:instrText>
          </w:r>
          <w:r>
            <w:fldChar w:fldCharType="separate"/>
          </w:r>
          <w:r>
            <w:t>40</w:t>
          </w:r>
          <w:r>
            <w:fldChar w:fldCharType="end"/>
          </w:r>
          <w:r>
            <w:rPr>
              <w:rFonts w:hint="eastAsia" w:ascii="宋体" w:hAnsi="宋体" w:eastAsia="宋体" w:cs="宋体"/>
              <w:color w:val="auto"/>
              <w:szCs w:val="24"/>
              <w:highlight w:val="none"/>
            </w:rPr>
            <w:fldChar w:fldCharType="end"/>
          </w:r>
        </w:p>
        <w:p w14:paraId="086153D6">
          <w:pPr>
            <w:pStyle w:val="17"/>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_Toc5627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_Toc5627 \h </w:instrText>
          </w:r>
          <w:r>
            <w:fldChar w:fldCharType="separate"/>
          </w:r>
          <w:r>
            <w:t>47</w:t>
          </w:r>
          <w:r>
            <w:fldChar w:fldCharType="end"/>
          </w:r>
          <w:r>
            <w:rPr>
              <w:rFonts w:hint="eastAsia" w:ascii="宋体" w:hAnsi="宋体" w:eastAsia="宋体" w:cs="宋体"/>
              <w:color w:val="auto"/>
              <w:szCs w:val="24"/>
              <w:highlight w:val="none"/>
            </w:rPr>
            <w:fldChar w:fldCharType="end"/>
          </w:r>
        </w:p>
        <w:p w14:paraId="4DE44593">
          <w:pPr>
            <w:pStyle w:val="17"/>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3489"/>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525632585"/>
      <w:bookmarkStart w:id="3" w:name="_Toc13871"/>
      <w:bookmarkStart w:id="4" w:name="_Toc12765"/>
      <w:bookmarkStart w:id="5" w:name="_Toc10395_WPSOffice_Level2"/>
      <w:bookmarkStart w:id="6" w:name="_Toc24354_WPSOffice_Level2"/>
      <w:bookmarkStart w:id="7" w:name="_Toc6496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1.1项目名称：</w:t>
      </w:r>
      <w:r>
        <w:rPr>
          <w:rFonts w:hint="eastAsia" w:ascii="Times New Roman" w:hAnsi="Times New Roman" w:eastAsia="宋体" w:cs="Times New Roman"/>
          <w:color w:val="000000" w:themeColor="text1"/>
          <w:sz w:val="21"/>
          <w:szCs w:val="21"/>
          <w:highlight w:val="none"/>
          <w:u w:val="single"/>
          <w:lang w:val="en-US" w:eastAsia="zh-CN"/>
          <w14:textFill>
            <w14:solidFill>
              <w14:schemeClr w14:val="tx1"/>
            </w14:solidFill>
          </w14:textFill>
        </w:rPr>
        <w:t>安徽交控集团2025年度服务区综合改造提升工程项目铝单板采购项目</w:t>
      </w:r>
      <w:r>
        <w:rPr>
          <w:rFonts w:hint="eastAsia" w:ascii="Times New Roman" w:hAnsi="Times New Roman" w:eastAsia="宋体" w:cs="Times New Roman"/>
          <w:color w:val="000000" w:themeColor="text1"/>
          <w:sz w:val="21"/>
          <w:szCs w:val="21"/>
          <w:highlight w:val="none"/>
          <w:u w:val="none"/>
          <w:lang w:val="en-US" w:eastAsia="zh-CN"/>
          <w14:textFill>
            <w14:solidFill>
              <w14:schemeClr w14:val="tx1"/>
            </w14:solidFill>
          </w14:textFill>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1.2 采 购 人：</w:t>
      </w:r>
      <w:r>
        <w:rPr>
          <w:rFonts w:hint="default" w:ascii="Times New Roman" w:hAnsi="Times New Roman" w:eastAsia="宋体" w:cs="Times New Roman"/>
          <w:color w:val="000000" w:themeColor="text1"/>
          <w:sz w:val="21"/>
          <w:szCs w:val="21"/>
          <w:highlight w:val="none"/>
          <w:u w:val="single"/>
          <w14:textFill>
            <w14:solidFill>
              <w14:schemeClr w14:val="tx1"/>
            </w14:solidFill>
          </w14:textFill>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1.3 项目概况：</w:t>
      </w:r>
      <w:r>
        <w:rPr>
          <w:rFonts w:hint="eastAsia" w:ascii="Times New Roman" w:hAnsi="Times New Roman" w:eastAsia="宋体" w:cs="Times New Roman"/>
          <w:color w:val="auto"/>
          <w:sz w:val="21"/>
          <w:szCs w:val="21"/>
          <w:highlight w:val="none"/>
          <w:u w:val="single"/>
          <w:lang w:val="en-US" w:eastAsia="zh-CN"/>
        </w:rPr>
        <w:t>驿达公司所辖服务区服务场所新建、建筑立面提升、室内装修改造、供电系统改造、屋面防水及给排水系统改造等内容</w:t>
      </w:r>
      <w:r>
        <w:rPr>
          <w:rFonts w:hint="default" w:ascii="Times New Roman" w:hAnsi="Times New Roman" w:eastAsia="宋体" w:cs="Times New Roman"/>
          <w:color w:val="000000" w:themeColor="text1"/>
          <w:kern w:val="0"/>
          <w:sz w:val="21"/>
          <w:szCs w:val="21"/>
          <w:highlight w:val="none"/>
          <w:u w:val="none"/>
          <w:lang w:eastAsia="zh-CN"/>
          <w14:textFill>
            <w14:solidFill>
              <w14:schemeClr w14:val="tx1"/>
            </w14:solidFill>
          </w14:textFill>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8" w:name="_Toc8128_WPSOffice_Level2"/>
      <w:bookmarkStart w:id="9" w:name="_Toc18453"/>
      <w:bookmarkStart w:id="10" w:name="_Toc525632586"/>
      <w:bookmarkStart w:id="11" w:name="_Toc23266_WPSOffice_Level2"/>
      <w:bookmarkStart w:id="12" w:name="_Toc10274"/>
      <w:bookmarkStart w:id="13" w:name="_Toc18367_WPSOffice_Level2"/>
      <w:bookmarkStart w:id="14" w:name="_Toc17858_WPSOffice_Level2"/>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bookmarkStart w:id="15" w:name="_Toc4489_WPSOffice_Level3"/>
      <w:r>
        <w:rPr>
          <w:rFonts w:hint="default" w:ascii="Times New Roman" w:hAnsi="Times New Roman" w:eastAsia="宋体" w:cs="Times New Roman"/>
          <w:color w:val="000000" w:themeColor="text1"/>
          <w:szCs w:val="21"/>
          <w:highlight w:val="none"/>
          <w14:textFill>
            <w14:solidFill>
              <w14:schemeClr w14:val="tx1"/>
            </w14:solidFill>
          </w14:textFill>
        </w:rPr>
        <w:t>2.1 采购方式：</w:t>
      </w:r>
      <w:bookmarkEnd w:id="15"/>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询比采购</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bookmarkStart w:id="16" w:name="_Toc23266_WPSOffice_Level3"/>
      <w:r>
        <w:rPr>
          <w:rFonts w:hint="default" w:ascii="Times New Roman" w:hAnsi="Times New Roman" w:eastAsia="宋体" w:cs="Times New Roman"/>
          <w:color w:val="000000" w:themeColor="text1"/>
          <w:szCs w:val="21"/>
          <w:highlight w:val="none"/>
          <w14:textFill>
            <w14:solidFill>
              <w14:schemeClr w14:val="tx1"/>
            </w14:solidFill>
          </w14:textFill>
        </w:rPr>
        <w:t>2.2 资金来源及比例：</w:t>
      </w:r>
      <w:bookmarkEnd w:id="16"/>
      <w:bookmarkStart w:id="17" w:name="_Toc22379_WPSOffice_Level3"/>
      <w:r>
        <w:rPr>
          <w:rFonts w:hint="default" w:ascii="Times New Roman" w:hAnsi="Times New Roman" w:eastAsia="宋体" w:cs="Times New Roman"/>
          <w:color w:val="000000" w:themeColor="text1"/>
          <w:szCs w:val="21"/>
          <w:highlight w:val="none"/>
          <w:u w:val="single"/>
          <w14:textFill>
            <w14:solidFill>
              <w14:schemeClr w14:val="tx1"/>
            </w14:solidFill>
          </w14:textFill>
        </w:rPr>
        <w:t>100%来自企业自筹</w:t>
      </w:r>
      <w:r>
        <w:rPr>
          <w:rFonts w:hint="eastAsia" w:ascii="Times New Roman" w:hAnsi="Times New Roman" w:eastAsia="宋体" w:cs="Times New Roman"/>
          <w:color w:val="000000" w:themeColor="text1"/>
          <w:szCs w:val="21"/>
          <w:highlight w:val="none"/>
          <w:u w:val="single"/>
          <w:lang w:eastAsia="zh-CN"/>
          <w14:textFill>
            <w14:solidFill>
              <w14:schemeClr w14:val="tx1"/>
            </w14:solidFill>
          </w14:textFill>
        </w:rPr>
        <w:t>。</w:t>
      </w:r>
    </w:p>
    <w:p w14:paraId="4424F77A">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2.3 采购范围：</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具体详见第五章供货要求及清单。</w:t>
      </w:r>
    </w:p>
    <w:p w14:paraId="38AFF0E8">
      <w:pPr>
        <w:keepNext w:val="0"/>
        <w:keepLines w:val="0"/>
        <w:widowControl/>
        <w:suppressLineNumbers w:val="0"/>
        <w:ind w:firstLine="420" w:firstLineChars="200"/>
        <w:jc w:val="left"/>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2.4 品牌范围：</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2.5 合同包划分：</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2个</w:t>
      </w:r>
      <w:r>
        <w:rPr>
          <w:rFonts w:hint="default" w:ascii="Times New Roman" w:hAnsi="Times New Roman" w:eastAsia="宋体" w:cs="Times New Roman"/>
          <w:color w:val="000000" w:themeColor="text1"/>
          <w:szCs w:val="21"/>
          <w:highlight w:val="none"/>
          <w:u w:val="single"/>
          <w:lang w:val="en-US" w:eastAsia="zh-CN"/>
          <w14:textFill>
            <w14:solidFill>
              <w14:schemeClr w14:val="tx1"/>
            </w14:solidFill>
          </w14:textFill>
        </w:rPr>
        <w:t>采购包</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段</w:t>
      </w:r>
      <w:r>
        <w:rPr>
          <w:rFonts w:hint="default" w:ascii="Times New Roman" w:hAnsi="Times New Roman" w:eastAsia="宋体" w:cs="Times New Roman"/>
          <w:color w:val="000000" w:themeColor="text1"/>
          <w:szCs w:val="21"/>
          <w:highlight w:val="none"/>
          <w:u w:val="none"/>
          <w:lang w:val="en-US" w:eastAsia="zh-CN"/>
          <w14:textFill>
            <w14:solidFill>
              <w14:schemeClr w14:val="tx1"/>
            </w14:solidFill>
          </w14:textFill>
        </w:rPr>
        <w:t>。</w:t>
      </w:r>
    </w:p>
    <w:p w14:paraId="2AC0E46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FF0000"/>
          <w:szCs w:val="21"/>
          <w:highlight w:val="none"/>
          <w:u w:val="single"/>
          <w:lang w:val="en-US" w:eastAsia="zh-CN"/>
        </w:rPr>
      </w:pPr>
      <w:r>
        <w:rPr>
          <w:rFonts w:hint="default" w:ascii="Times New Roman" w:hAnsi="Times New Roman" w:eastAsia="宋体" w:cs="Times New Roman"/>
          <w:color w:val="000000" w:themeColor="text1"/>
          <w:szCs w:val="21"/>
          <w:highlight w:val="none"/>
          <w14:textFill>
            <w14:solidFill>
              <w14:schemeClr w14:val="tx1"/>
            </w14:solidFill>
          </w14:textFill>
        </w:rPr>
        <w:t>2.</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Cs w:val="21"/>
          <w:highlight w:val="none"/>
          <w14:textFill>
            <w14:solidFill>
              <w14:schemeClr w14:val="tx1"/>
            </w14:solidFill>
          </w14:textFill>
        </w:rPr>
        <w:t xml:space="preserve"> 最高限</w:t>
      </w:r>
      <w:r>
        <w:rPr>
          <w:rFonts w:hint="default" w:ascii="Times New Roman" w:hAnsi="Times New Roman" w:eastAsia="宋体" w:cs="Times New Roman"/>
          <w:color w:val="000000" w:themeColor="text1"/>
          <w:szCs w:val="21"/>
          <w:highlight w:val="yellow"/>
          <w14:textFill>
            <w14:solidFill>
              <w14:schemeClr w14:val="tx1"/>
            </w14:solidFill>
          </w14:textFill>
        </w:rPr>
        <w:t>价</w:t>
      </w:r>
      <w:bookmarkEnd w:id="17"/>
      <w:r>
        <w:rPr>
          <w:rFonts w:hint="default" w:ascii="Times New Roman" w:hAnsi="Times New Roman" w:eastAsia="宋体" w:cs="Times New Roman"/>
          <w:color w:val="000000" w:themeColor="text1"/>
          <w:szCs w:val="21"/>
          <w:highlight w:val="yellow"/>
          <w14:textFill>
            <w14:solidFill>
              <w14:schemeClr w14:val="tx1"/>
            </w14:solidFill>
          </w14:textFill>
        </w:rPr>
        <w:t>：</w:t>
      </w:r>
      <w:r>
        <w:rPr>
          <w:rFonts w:hint="eastAsia" w:ascii="Times New Roman" w:hAnsi="Times New Roman" w:cs="Times New Roman"/>
          <w:color w:val="000000" w:themeColor="text1"/>
          <w:szCs w:val="22"/>
          <w:highlight w:val="yellow"/>
          <w:u w:val="single"/>
          <w:lang w:val="en-US" w:eastAsia="zh-CN"/>
          <w14:textFill>
            <w14:solidFill>
              <w14:schemeClr w14:val="tx1"/>
            </w14:solidFill>
          </w14:textFill>
        </w:rPr>
        <w:t>01包陈埠</w:t>
      </w:r>
      <w:r>
        <w:rPr>
          <w:rFonts w:hint="eastAsia" w:ascii="Times New Roman" w:hAnsi="Times New Roman" w:eastAsia="宋体" w:cs="Times New Roman"/>
          <w:b w:val="0"/>
          <w:bCs w:val="0"/>
          <w:color w:val="000000" w:themeColor="text1"/>
          <w:szCs w:val="21"/>
          <w:highlight w:val="yellow"/>
          <w:u w:val="single"/>
          <w:lang w:val="en-US" w:eastAsia="zh-CN"/>
          <w14:textFill>
            <w14:solidFill>
              <w14:schemeClr w14:val="tx1"/>
            </w14:solidFill>
          </w14:textFill>
        </w:rPr>
        <w:t>东区</w:t>
      </w:r>
      <w:r>
        <w:rPr>
          <w:rFonts w:hint="eastAsia" w:ascii="Times New Roman" w:hAnsi="Times New Roman" w:cs="Times New Roman"/>
          <w:color w:val="000000" w:themeColor="text1"/>
          <w:szCs w:val="22"/>
          <w:highlight w:val="yellow"/>
          <w:u w:val="single"/>
          <w:lang w:val="en-US" w:eastAsia="zh-CN"/>
          <w14:textFill>
            <w14:solidFill>
              <w14:schemeClr w14:val="tx1"/>
            </w14:solidFill>
          </w14:textFill>
        </w:rPr>
        <w:t>人民币241万元，02包陈埠</w:t>
      </w:r>
      <w:r>
        <w:rPr>
          <w:rFonts w:hint="eastAsia" w:ascii="Times New Roman" w:hAnsi="Times New Roman" w:eastAsia="宋体" w:cs="Times New Roman"/>
          <w:b w:val="0"/>
          <w:bCs w:val="0"/>
          <w:color w:val="000000" w:themeColor="text1"/>
          <w:szCs w:val="21"/>
          <w:highlight w:val="yellow"/>
          <w:u w:val="single"/>
          <w:lang w:val="en-US" w:eastAsia="zh-CN"/>
          <w14:textFill>
            <w14:solidFill>
              <w14:schemeClr w14:val="tx1"/>
            </w14:solidFill>
          </w14:textFill>
        </w:rPr>
        <w:t>西区</w:t>
      </w:r>
      <w:r>
        <w:rPr>
          <w:rFonts w:hint="eastAsia" w:ascii="Times New Roman" w:hAnsi="Times New Roman" w:cs="Times New Roman"/>
          <w:color w:val="000000" w:themeColor="text1"/>
          <w:szCs w:val="22"/>
          <w:highlight w:val="yellow"/>
          <w:u w:val="single"/>
          <w:lang w:val="en-US" w:eastAsia="zh-CN"/>
          <w14:textFill>
            <w14:solidFill>
              <w14:schemeClr w14:val="tx1"/>
            </w14:solidFill>
          </w14:textFill>
        </w:rPr>
        <w:t>人民币241万元</w:t>
      </w:r>
      <w:r>
        <w:rPr>
          <w:rFonts w:hint="eastAsia" w:ascii="宋体" w:hAnsi="宋体" w:eastAsia="宋体" w:cs="宋体"/>
          <w:b w:val="0"/>
          <w:bCs w:val="0"/>
          <w:color w:val="000000" w:themeColor="text1"/>
          <w:szCs w:val="21"/>
          <w:highlight w:val="yellow"/>
          <w:u w:val="single"/>
          <w:lang w:val="en-US" w:eastAsia="zh-CN"/>
          <w14:textFill>
            <w14:solidFill>
              <w14:schemeClr w14:val="tx1"/>
            </w14:solidFill>
          </w14:textFill>
        </w:rPr>
        <w:t>。</w:t>
      </w:r>
    </w:p>
    <w:p w14:paraId="393F9CA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val="0"/>
          <w:bCs w:val="0"/>
          <w:color w:val="FF0000"/>
          <w:szCs w:val="21"/>
          <w:highlight w:val="none"/>
          <w:u w:val="single"/>
          <w:lang w:val="en-US" w:eastAsia="zh-CN"/>
        </w:rPr>
      </w:pPr>
      <w:r>
        <w:rPr>
          <w:rFonts w:hint="eastAsia" w:ascii="宋体" w:hAnsi="宋体" w:eastAsia="宋体" w:cs="宋体"/>
          <w:b/>
          <w:bCs/>
          <w:szCs w:val="21"/>
          <w:highlight w:val="none"/>
          <w:lang w:val="en-US" w:eastAsia="zh-CN"/>
        </w:rPr>
        <w:t>注：本项目中不同的包段,供应商均可以参与。多包段的成交原则：一家供应商原则上只允许承接一个包段，如某一供应商同时在多个包段排名第一，优先中标造价最高的包段（多包段造价一样的，优先中标01包），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default" w:ascii="Times New Roman" w:hAnsi="Times New Roman" w:eastAsia="宋体" w:cs="Times New Roman"/>
          <w:color w:val="000000" w:themeColor="text1"/>
          <w:szCs w:val="21"/>
          <w:highlight w:val="yellow"/>
          <w14:textFill>
            <w14:solidFill>
              <w14:schemeClr w14:val="tx1"/>
            </w14:solidFill>
          </w14:textFill>
        </w:rPr>
        <w:t>2.</w:t>
      </w:r>
      <w:r>
        <w:rPr>
          <w:rFonts w:hint="default" w:ascii="Times New Roman" w:hAnsi="Times New Roman" w:eastAsia="宋体" w:cs="Times New Roman"/>
          <w:color w:val="000000" w:themeColor="text1"/>
          <w:szCs w:val="21"/>
          <w:highlight w:val="yellow"/>
          <w:lang w:val="en-US" w:eastAsia="zh-CN"/>
          <w14:textFill>
            <w14:solidFill>
              <w14:schemeClr w14:val="tx1"/>
            </w14:solidFill>
          </w14:textFill>
        </w:rPr>
        <w:t>7</w:t>
      </w:r>
      <w:r>
        <w:rPr>
          <w:rFonts w:hint="default" w:ascii="Times New Roman" w:hAnsi="Times New Roman" w:eastAsia="宋体" w:cs="Times New Roman"/>
          <w:color w:val="000000" w:themeColor="text1"/>
          <w:szCs w:val="21"/>
          <w:highlight w:val="yellow"/>
          <w14:textFill>
            <w14:solidFill>
              <w14:schemeClr w14:val="tx1"/>
            </w14:solidFill>
          </w14:textFill>
        </w:rPr>
        <w:t xml:space="preserve"> </w:t>
      </w:r>
      <w:r>
        <w:rPr>
          <w:rFonts w:hint="default" w:ascii="Times New Roman" w:hAnsi="Times New Roman" w:eastAsia="宋体" w:cs="Times New Roman"/>
          <w:color w:val="000000" w:themeColor="text1"/>
          <w:szCs w:val="21"/>
          <w:highlight w:val="yellow"/>
          <w:lang w:val="en-US" w:eastAsia="zh-CN"/>
          <w14:textFill>
            <w14:solidFill>
              <w14:schemeClr w14:val="tx1"/>
            </w14:solidFill>
          </w14:textFill>
        </w:rPr>
        <w:t>交货期</w:t>
      </w:r>
      <w:r>
        <w:rPr>
          <w:rFonts w:hint="default" w:ascii="Times New Roman" w:hAnsi="Times New Roman" w:eastAsia="宋体" w:cs="Times New Roman"/>
          <w:color w:val="000000" w:themeColor="text1"/>
          <w:szCs w:val="21"/>
          <w:highlight w:val="yellow"/>
          <w14:textFill>
            <w14:solidFill>
              <w14:schemeClr w14:val="tx1"/>
            </w14:solidFill>
          </w14:textFill>
        </w:rPr>
        <w:t>：</w:t>
      </w:r>
      <w:r>
        <w:rPr>
          <w:rFonts w:hint="eastAsia" w:ascii="宋体" w:hAnsi="宋体" w:eastAsia="宋体" w:cs="宋体"/>
          <w:b/>
          <w:bCs/>
          <w:color w:val="000000" w:themeColor="text1"/>
          <w:szCs w:val="21"/>
          <w:highlight w:val="yellow"/>
          <w:u w:val="single"/>
          <w:lang w:val="en-US" w:eastAsia="zh-CN"/>
          <w14:textFill>
            <w14:solidFill>
              <w14:schemeClr w14:val="tx1"/>
            </w14:solidFill>
          </w14:textFill>
        </w:rPr>
        <w:t>各工作面出来后，15天内铝板到场</w:t>
      </w:r>
      <w:r>
        <w:rPr>
          <w:rFonts w:hint="eastAsia" w:ascii="宋体" w:hAnsi="宋体" w:eastAsia="宋体" w:cs="宋体"/>
          <w:b/>
          <w:bCs/>
          <w:color w:val="000000" w:themeColor="text1"/>
          <w:kern w:val="0"/>
          <w:sz w:val="21"/>
          <w:szCs w:val="21"/>
          <w:highlight w:val="yellow"/>
          <w:u w:val="single"/>
          <w:lang w:val="en-US" w:eastAsia="zh-CN"/>
          <w14:textFill>
            <w14:solidFill>
              <w14:schemeClr w14:val="tx1"/>
            </w14:solidFill>
          </w14:textFill>
        </w:rPr>
        <w:t>（具体根据实际情况安排进度）；本项目有大量异形铝板，铝板厂家必须安排技术人员驻场</w:t>
      </w:r>
      <w:r>
        <w:rPr>
          <w:rFonts w:hint="eastAsia" w:ascii="宋体" w:hAnsi="宋体" w:eastAsia="宋体" w:cs="宋体"/>
          <w:color w:val="000000" w:themeColor="text1"/>
          <w:kern w:val="0"/>
          <w:sz w:val="21"/>
          <w:szCs w:val="21"/>
          <w:highlight w:val="yellow"/>
          <w:u w:val="none"/>
          <w:lang w:eastAsia="zh-CN"/>
          <w14:textFill>
            <w14:solidFill>
              <w14:schemeClr w14:val="tx1"/>
            </w14:solidFill>
          </w14:textFill>
        </w:rPr>
        <w:t>。</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14:paraId="1908B3BB">
      <w:pPr>
        <w:keepNext w:val="0"/>
        <w:keepLines w:val="0"/>
        <w:pageBreakBefore w:val="0"/>
        <w:widowControl/>
        <w:suppressLineNumbers w:val="0"/>
        <w:kinsoku/>
        <w:wordWrap/>
        <w:overflowPunct/>
        <w:topLinePunct w:val="0"/>
        <w:autoSpaceDE/>
        <w:autoSpaceDN/>
        <w:bidi w:val="0"/>
        <w:adjustRightInd/>
        <w:spacing w:line="440" w:lineRule="exact"/>
        <w:ind w:firstLine="420" w:firstLineChars="200"/>
        <w:jc w:val="left"/>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2.8交货地点：</w:t>
      </w:r>
      <w:r>
        <w:rPr>
          <w:rFonts w:hint="eastAsia" w:ascii="Times New Roman" w:hAnsi="Times New Roman" w:eastAsia="宋体" w:cs="Times New Roman"/>
          <w:b w:val="0"/>
          <w:bCs w:val="0"/>
          <w:color w:val="000000" w:themeColor="text1"/>
          <w:szCs w:val="21"/>
          <w:highlight w:val="none"/>
          <w:u w:val="single"/>
          <w:lang w:val="en-US" w:eastAsia="zh-CN"/>
          <w14:textFill>
            <w14:solidFill>
              <w14:schemeClr w14:val="tx1"/>
            </w14:solidFill>
          </w14:textFill>
        </w:rPr>
        <w:t>安徽省庐江县合安高速陈埠服务区，</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具体详细交货地点根据实际情况安排</w:t>
      </w:r>
      <w:r>
        <w:rPr>
          <w:rFonts w:hint="eastAsia" w:ascii="Times New Roman" w:hAnsi="Times New Roman" w:eastAsia="宋体" w:cs="Times New Roman"/>
          <w:color w:val="000000" w:themeColor="text1"/>
          <w:szCs w:val="21"/>
          <w:highlight w:val="none"/>
          <w:u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eastAsia"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 xml:space="preserve"> </w:t>
      </w: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3.1 本次采购要求供应商须同时具备：</w:t>
      </w:r>
    </w:p>
    <w:p w14:paraId="7ED83F0D">
      <w:pPr>
        <w:snapToGrid w:val="0"/>
        <w:spacing w:beforeLines="0" w:afterLines="0" w:line="400" w:lineRule="exact"/>
        <w:ind w:firstLine="420" w:firstLineChars="200"/>
        <w:rPr>
          <w:rFonts w:hint="eastAsia" w:ascii="宋体" w:hAnsi="宋体" w:cs="宋体"/>
          <w:color w:val="000000" w:themeColor="text1"/>
          <w:sz w:val="21"/>
          <w:szCs w:val="22"/>
          <w:highlight w:val="none"/>
          <w14:textFill>
            <w14:solidFill>
              <w14:schemeClr w14:val="tx1"/>
            </w14:solidFill>
          </w14:textFill>
        </w:rPr>
      </w:pPr>
      <w:r>
        <w:rPr>
          <w:rFonts w:hint="eastAsia" w:ascii="Times New Roman" w:hAnsi="Times New Roman"/>
          <w:color w:val="000000" w:themeColor="text1"/>
          <w:sz w:val="21"/>
          <w:szCs w:val="22"/>
          <w:highlight w:val="none"/>
          <w14:textFill>
            <w14:solidFill>
              <w14:schemeClr w14:val="tx1"/>
            </w14:solidFill>
          </w14:textFill>
        </w:rPr>
        <w:t>（1）</w:t>
      </w:r>
      <w:r>
        <w:rPr>
          <w:rFonts w:hint="eastAsia" w:ascii="宋体" w:hAnsi="宋体" w:cs="宋体"/>
          <w:color w:val="000000" w:themeColor="text1"/>
          <w:sz w:val="21"/>
          <w:szCs w:val="22"/>
          <w:highlight w:val="none"/>
          <w14:textFill>
            <w14:solidFill>
              <w14:schemeClr w14:val="tx1"/>
            </w14:solidFill>
          </w14:textFill>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000000" w:themeColor="text1"/>
          <w:sz w:val="21"/>
          <w:szCs w:val="22"/>
          <w:highlight w:val="none"/>
          <w:lang w:val="en-US" w:eastAsia="zh-CN"/>
          <w14:textFill>
            <w14:solidFill>
              <w14:schemeClr w14:val="tx1"/>
            </w14:solidFill>
          </w14:textFill>
        </w:rPr>
      </w:pPr>
      <w:r>
        <w:rPr>
          <w:rFonts w:hint="eastAsia" w:ascii="宋体" w:hAnsi="宋体" w:cs="宋体"/>
          <w:color w:val="000000" w:themeColor="text1"/>
          <w:sz w:val="21"/>
          <w:szCs w:val="22"/>
          <w:highlight w:val="none"/>
          <w14:textFill>
            <w14:solidFill>
              <w14:schemeClr w14:val="tx1"/>
            </w14:solidFill>
          </w14:textFill>
        </w:rPr>
        <w:t xml:space="preserve">具备独立法人资格，持有有效的营业执照。 </w:t>
      </w:r>
      <w:r>
        <w:rPr>
          <w:rFonts w:hint="eastAsia" w:ascii="宋体" w:hAnsi="宋体" w:cs="宋体"/>
          <w:color w:val="000000" w:themeColor="text1"/>
          <w:sz w:val="21"/>
          <w:szCs w:val="22"/>
          <w:highlight w:val="none"/>
          <w:lang w:val="en-US" w:eastAsia="zh-CN"/>
          <w14:textFill>
            <w14:solidFill>
              <w14:schemeClr w14:val="tx1"/>
            </w14:solidFill>
          </w14:textFill>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业绩最低要求：</w:t>
      </w:r>
    </w:p>
    <w:p w14:paraId="4CFF6869">
      <w:pPr>
        <w:pStyle w:val="10"/>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000000" w:themeColor="text1"/>
          <w:highlight w:val="yellow"/>
          <w:u w:val="single"/>
          <w:lang w:val="en-US" w:eastAsia="zh-CN"/>
          <w14:textFill>
            <w14:solidFill>
              <w14:schemeClr w14:val="tx1"/>
            </w14:solidFill>
          </w14:textFill>
        </w:rPr>
      </w:pPr>
      <w:r>
        <w:rPr>
          <w:rFonts w:hint="default" w:ascii="Times New Roman" w:hAnsi="Times New Roman" w:cs="Times New Roman" w:eastAsiaTheme="minorEastAsia"/>
          <w:b w:val="0"/>
          <w:bCs w:val="0"/>
          <w:color w:val="000000" w:themeColor="text1"/>
          <w:highlight w:val="yellow"/>
          <w:u w:val="single"/>
          <w:lang w:val="en-US" w:eastAsia="zh-CN"/>
          <w14:textFill>
            <w14:solidFill>
              <w14:schemeClr w14:val="tx1"/>
            </w14:solidFill>
          </w14:textFill>
        </w:rPr>
        <w:t>至少提供1个自202</w:t>
      </w:r>
      <w:r>
        <w:rPr>
          <w:rFonts w:hint="eastAsia" w:ascii="Times New Roman" w:hAnsi="Times New Roman" w:cs="Times New Roman"/>
          <w:b w:val="0"/>
          <w:bCs w:val="0"/>
          <w:color w:val="000000" w:themeColor="text1"/>
          <w:highlight w:val="yellow"/>
          <w:u w:val="single"/>
          <w:lang w:val="en-US" w:eastAsia="zh-CN"/>
          <w14:textFill>
            <w14:solidFill>
              <w14:schemeClr w14:val="tx1"/>
            </w14:solidFill>
          </w14:textFill>
        </w:rPr>
        <w:t>2</w:t>
      </w:r>
      <w:r>
        <w:rPr>
          <w:rFonts w:hint="default" w:ascii="Times New Roman" w:hAnsi="Times New Roman" w:cs="Times New Roman" w:eastAsiaTheme="minorEastAsia"/>
          <w:b w:val="0"/>
          <w:bCs w:val="0"/>
          <w:color w:val="000000" w:themeColor="text1"/>
          <w:highlight w:val="yellow"/>
          <w:u w:val="single"/>
          <w:lang w:val="en-US" w:eastAsia="zh-CN"/>
          <w14:textFill>
            <w14:solidFill>
              <w14:schemeClr w14:val="tx1"/>
            </w14:solidFill>
          </w14:textFill>
        </w:rPr>
        <w:t>年1月1日以来，单项合同额不低于</w:t>
      </w:r>
      <w:r>
        <w:rPr>
          <w:rFonts w:hint="eastAsia" w:ascii="Times New Roman" w:hAnsi="Times New Roman" w:cs="Times New Roman"/>
          <w:b w:val="0"/>
          <w:bCs w:val="0"/>
          <w:color w:val="000000" w:themeColor="text1"/>
          <w:highlight w:val="yellow"/>
          <w:u w:val="single"/>
          <w:lang w:val="en-US" w:eastAsia="zh-CN"/>
          <w14:textFill>
            <w14:solidFill>
              <w14:schemeClr w14:val="tx1"/>
            </w14:solidFill>
          </w14:textFill>
        </w:rPr>
        <w:t>200</w:t>
      </w:r>
      <w:r>
        <w:rPr>
          <w:rFonts w:hint="default" w:ascii="Times New Roman" w:hAnsi="Times New Roman" w:cs="Times New Roman" w:eastAsiaTheme="minorEastAsia"/>
          <w:b w:val="0"/>
          <w:bCs w:val="0"/>
          <w:color w:val="000000" w:themeColor="text1"/>
          <w:highlight w:val="yellow"/>
          <w:u w:val="single"/>
          <w:lang w:val="en-US" w:eastAsia="zh-CN"/>
          <w14:textFill>
            <w14:solidFill>
              <w14:schemeClr w14:val="tx1"/>
            </w14:solidFill>
          </w14:textFill>
        </w:rPr>
        <w:t>万元的</w:t>
      </w:r>
      <w:r>
        <w:rPr>
          <w:rFonts w:hint="eastAsia" w:ascii="Times New Roman" w:hAnsi="Times New Roman" w:cs="Times New Roman"/>
          <w:b w:val="0"/>
          <w:bCs w:val="0"/>
          <w:color w:val="000000" w:themeColor="text1"/>
          <w:highlight w:val="yellow"/>
          <w:u w:val="single"/>
          <w:lang w:val="en-US" w:eastAsia="zh-CN"/>
          <w14:textFill>
            <w14:solidFill>
              <w14:schemeClr w14:val="tx1"/>
            </w14:solidFill>
          </w14:textFill>
        </w:rPr>
        <w:t>铝单板</w:t>
      </w:r>
      <w:r>
        <w:rPr>
          <w:rFonts w:hint="default" w:ascii="Times New Roman" w:hAnsi="Times New Roman" w:cs="Times New Roman" w:eastAsiaTheme="minorEastAsia"/>
          <w:b w:val="0"/>
          <w:bCs w:val="0"/>
          <w:color w:val="000000" w:themeColor="text1"/>
          <w:highlight w:val="yellow"/>
          <w:u w:val="single"/>
          <w:lang w:val="en-US" w:eastAsia="zh-CN"/>
          <w14:textFill>
            <w14:solidFill>
              <w14:schemeClr w14:val="tx1"/>
            </w14:solidFill>
          </w14:textFill>
        </w:rPr>
        <w:t>供应</w:t>
      </w:r>
      <w:r>
        <w:rPr>
          <w:rFonts w:hint="default" w:ascii="Times New Roman" w:hAnsi="Times New Roman" w:cs="Times New Roman" w:eastAsiaTheme="minorEastAsia"/>
          <w:b w:val="0"/>
          <w:bCs w:val="0"/>
          <w:color w:val="000000" w:themeColor="text1"/>
          <w:szCs w:val="21"/>
          <w:highlight w:val="yellow"/>
          <w:u w:val="single"/>
          <w:lang w:val="en-US" w:eastAsia="zh-CN"/>
          <w14:textFill>
            <w14:solidFill>
              <w14:schemeClr w14:val="tx1"/>
            </w14:solidFill>
          </w14:textFill>
        </w:rPr>
        <w:t>合同业绩（</w:t>
      </w:r>
      <w:r>
        <w:rPr>
          <w:rFonts w:hint="eastAsia" w:ascii="Times New Roman" w:hAnsi="Times New Roman" w:cs="Times New Roman"/>
          <w:b w:val="0"/>
          <w:bCs w:val="0"/>
          <w:color w:val="000000" w:themeColor="text1"/>
          <w:szCs w:val="21"/>
          <w:highlight w:val="yellow"/>
          <w:u w:val="single"/>
          <w:lang w:val="en-US" w:eastAsia="zh-CN"/>
          <w14:textFill>
            <w14:solidFill>
              <w14:schemeClr w14:val="tx1"/>
            </w14:solidFill>
          </w14:textFill>
        </w:rPr>
        <w:t>每个业绩至少提供不低于合同金额50%的增值税发票或收到业主转账的收款凭证，未提供，该业绩无效</w:t>
      </w:r>
      <w:r>
        <w:rPr>
          <w:rFonts w:hint="default" w:ascii="Times New Roman" w:hAnsi="Times New Roman" w:cs="Times New Roman" w:eastAsiaTheme="minorEastAsia"/>
          <w:b w:val="0"/>
          <w:bCs w:val="0"/>
          <w:color w:val="000000" w:themeColor="text1"/>
          <w:szCs w:val="21"/>
          <w:highlight w:val="yellow"/>
          <w:u w:val="single"/>
          <w:lang w:val="en-US" w:eastAsia="zh-CN"/>
          <w14:textFill>
            <w14:solidFill>
              <w14:schemeClr w14:val="tx1"/>
            </w14:solidFill>
          </w14:textFill>
        </w:rPr>
        <w:t>）</w:t>
      </w:r>
      <w:r>
        <w:rPr>
          <w:rFonts w:hint="eastAsia" w:ascii="Times New Roman" w:hAnsi="Times New Roman" w:cs="Times New Roman"/>
          <w:b w:val="0"/>
          <w:bCs w:val="0"/>
          <w:color w:val="000000" w:themeColor="text1"/>
          <w:szCs w:val="21"/>
          <w:highlight w:val="yellow"/>
          <w:u w:val="single"/>
          <w:lang w:val="en-US" w:eastAsia="zh-CN"/>
          <w14:textFill>
            <w14:solidFill>
              <w14:schemeClr w14:val="tx1"/>
            </w14:solidFill>
          </w14:textFill>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业绩证明材料要求：</w:t>
      </w:r>
    </w:p>
    <w:p w14:paraId="7DE2D19D">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①合同协议书复印件；</w:t>
      </w:r>
    </w:p>
    <w:p w14:paraId="3FCCA2B9">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②若合同协议书中不能明确反映出采购文件所要求内容的（如合同金额、合同签订时间、供货内容等），则须提供业主单位（甲方）出具加盖公章的证明材料复印件。</w:t>
      </w:r>
    </w:p>
    <w:p w14:paraId="4D67D860">
      <w:pPr>
        <w:pStyle w:val="22"/>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4"/>
          <w:highlight w:val="none"/>
          <w:lang w:val="en-US" w:eastAsia="zh-CN" w:bidi="ar-SA"/>
          <w14:textFill>
            <w14:solidFill>
              <w14:schemeClr w14:val="tx1"/>
            </w14:solidFill>
          </w14:textFill>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3</w:t>
      </w:r>
      <w:r>
        <w:rPr>
          <w:rFonts w:hint="default" w:ascii="Times New Roman" w:hAnsi="Times New Roman" w:cs="Times New Roman" w:eastAsiaTheme="minorEastAsia"/>
          <w:color w:val="000000" w:themeColor="text1"/>
          <w:szCs w:val="22"/>
          <w:highlight w:val="none"/>
          <w14:textFill>
            <w14:solidFill>
              <w14:schemeClr w14:val="tx1"/>
            </w14:solidFill>
          </w14:textFill>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Cs w:val="22"/>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⑤在近三年内（自响应文件递交截止之日向前追溯3年）供应商或其法定代表人、拟委任的项目经理</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lang w:val="en-US" w:eastAsia="zh-CN"/>
          <w14:textFill>
            <w14:solidFill>
              <w14:schemeClr w14:val="tx1"/>
            </w14:solidFill>
          </w14:textFill>
        </w:rPr>
        <w:t>如有</w:t>
      </w:r>
      <w:r>
        <w:rPr>
          <w:rFonts w:hint="default" w:ascii="Times New Roman" w:hAnsi="Times New Roman" w:cs="Times New Roman" w:eastAsiaTheme="minorEastAsia"/>
          <w:color w:val="000000" w:themeColor="text1"/>
          <w:szCs w:val="22"/>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Cs w:val="22"/>
          <w:highlight w:val="none"/>
          <w14:textFill>
            <w14:solidFill>
              <w14:schemeClr w14:val="tx1"/>
            </w14:solidFill>
          </w14:textFill>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⑥其他要求：</w:t>
      </w:r>
      <w:r>
        <w:rPr>
          <w:rFonts w:hint="default" w:ascii="Times New Roman" w:hAnsi="Times New Roman" w:cs="Times New Roman" w:eastAsiaTheme="minorEastAsia"/>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highlight w:val="none"/>
          <w14:textFill>
            <w14:solidFill>
              <w14:schemeClr w14:val="tx1"/>
            </w14:solidFill>
          </w14:textFill>
        </w:rPr>
        <w:t>。</w:t>
      </w:r>
    </w:p>
    <w:p w14:paraId="680CD85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60" w:lineRule="exact"/>
        <w:ind w:firstLine="420" w:firstLineChars="200"/>
        <w:textAlignment w:val="auto"/>
        <w:rPr>
          <w:rFonts w:hint="eastAsia" w:ascii="Times New Roman" w:hAnsi="Times New Roman"/>
          <w:color w:val="auto"/>
          <w:sz w:val="21"/>
          <w:szCs w:val="24"/>
          <w:highlight w:val="yellow"/>
        </w:rPr>
      </w:pP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lang w:val="en-US" w:eastAsia="zh-CN"/>
        </w:rPr>
        <w:t>4</w:t>
      </w:r>
      <w:r>
        <w:rPr>
          <w:rFonts w:hint="eastAsia" w:ascii="Times New Roman" w:hAnsi="Times New Roman"/>
          <w:color w:val="auto"/>
          <w:sz w:val="21"/>
          <w:szCs w:val="24"/>
          <w:highlight w:val="yellow"/>
          <w:lang w:eastAsia="zh-CN"/>
        </w:rPr>
        <w:t>）</w:t>
      </w:r>
      <w:r>
        <w:rPr>
          <w:rFonts w:hint="eastAsia" w:ascii="Times New Roman" w:hAnsi="Times New Roman"/>
          <w:color w:val="auto"/>
          <w:sz w:val="21"/>
          <w:szCs w:val="24"/>
          <w:highlight w:val="yellow"/>
        </w:rPr>
        <w:t>送样要求：</w:t>
      </w:r>
    </w:p>
    <w:p w14:paraId="4ABE0EA4">
      <w:pPr>
        <w:snapToGrid w:val="0"/>
        <w:spacing w:beforeLines="0" w:afterLines="0" w:line="460" w:lineRule="exact"/>
        <w:ind w:firstLine="420" w:firstLineChars="200"/>
        <w:rPr>
          <w:rFonts w:hint="eastAsia" w:ascii="Times New Roman" w:hAnsi="Times New Roman"/>
          <w:b w:val="0"/>
          <w:bCs w:val="0"/>
          <w:color w:val="auto"/>
          <w:sz w:val="21"/>
          <w:szCs w:val="24"/>
          <w:highlight w:val="yellow"/>
        </w:rPr>
      </w:pPr>
      <w:r>
        <w:rPr>
          <w:rFonts w:hint="eastAsia" w:ascii="Times New Roman" w:hAnsi="Times New Roman"/>
          <w:b w:val="0"/>
          <w:bCs w:val="0"/>
          <w:color w:val="auto"/>
          <w:sz w:val="21"/>
          <w:szCs w:val="24"/>
          <w:highlight w:val="yellow"/>
        </w:rPr>
        <w:t>①</w:t>
      </w:r>
      <w:r>
        <w:rPr>
          <w:rFonts w:hint="eastAsia" w:ascii="Times New Roman" w:hAnsi="Times New Roman"/>
          <w:b w:val="0"/>
          <w:bCs w:val="0"/>
          <w:color w:val="auto"/>
          <w:sz w:val="21"/>
          <w:szCs w:val="24"/>
          <w:highlight w:val="yellow"/>
          <w:lang w:val="en-US" w:eastAsia="zh-CN"/>
        </w:rPr>
        <w:t>拟中标人响应采购人需求，根据图纸、清单、品牌要求、质量参数等，须进行标后送样，在采购人通知之日起3日内送样并经采购人确认、封样。</w:t>
      </w:r>
    </w:p>
    <w:p w14:paraId="4836006A">
      <w:pPr>
        <w:snapToGrid w:val="0"/>
        <w:spacing w:beforeLines="0" w:afterLines="0" w:line="460" w:lineRule="exact"/>
        <w:ind w:firstLine="420" w:firstLineChars="200"/>
        <w:rPr>
          <w:rFonts w:hint="eastAsia" w:ascii="Times New Roman" w:hAnsi="Times New Roman" w:eastAsia="Times New Roman"/>
          <w:b w:val="0"/>
          <w:bCs w:val="0"/>
          <w:color w:val="auto"/>
          <w:sz w:val="21"/>
          <w:szCs w:val="24"/>
          <w:highlight w:val="yellow"/>
        </w:rPr>
      </w:pPr>
      <w:r>
        <w:rPr>
          <w:rFonts w:hint="eastAsia" w:ascii="Times New Roman" w:hAnsi="Times New Roman"/>
          <w:b w:val="0"/>
          <w:bCs w:val="0"/>
          <w:color w:val="auto"/>
          <w:sz w:val="21"/>
          <w:szCs w:val="24"/>
          <w:highlight w:val="yellow"/>
          <w:lang w:val="en-US" w:eastAsia="zh-CN"/>
        </w:rPr>
        <w:t>②</w:t>
      </w:r>
      <w:r>
        <w:rPr>
          <w:rFonts w:hint="eastAsia" w:ascii="Times New Roman" w:hAnsi="Times New Roman"/>
          <w:b w:val="0"/>
          <w:bCs w:val="0"/>
          <w:color w:val="auto"/>
          <w:sz w:val="21"/>
          <w:szCs w:val="24"/>
          <w:highlight w:val="yellow"/>
        </w:rPr>
        <w:t>样品表面须贴标签，标签内容：单位名称、样品型号、规格、参数等信息。</w:t>
      </w:r>
    </w:p>
    <w:p w14:paraId="14093194">
      <w:pPr>
        <w:snapToGrid w:val="0"/>
        <w:spacing w:beforeLines="0" w:afterLines="0" w:line="460" w:lineRule="exact"/>
        <w:ind w:firstLine="420" w:firstLineChars="200"/>
        <w:rPr>
          <w:rFonts w:hint="eastAsia" w:ascii="Times New Roman" w:hAnsi="Times New Roman"/>
          <w:b w:val="0"/>
          <w:bCs w:val="0"/>
          <w:color w:val="auto"/>
          <w:sz w:val="21"/>
          <w:szCs w:val="24"/>
          <w:highlight w:val="yellow"/>
        </w:rPr>
      </w:pPr>
      <w:r>
        <w:rPr>
          <w:rFonts w:hint="eastAsia" w:ascii="Times New Roman" w:hAnsi="Times New Roman"/>
          <w:b w:val="0"/>
          <w:bCs w:val="0"/>
          <w:color w:val="auto"/>
          <w:sz w:val="21"/>
          <w:szCs w:val="24"/>
          <w:highlight w:val="yellow"/>
          <w:lang w:val="en-US" w:eastAsia="zh-CN"/>
        </w:rPr>
        <w:t>③</w:t>
      </w:r>
      <w:r>
        <w:rPr>
          <w:rFonts w:hint="eastAsia" w:ascii="Times New Roman" w:hAnsi="Times New Roman"/>
          <w:b w:val="0"/>
          <w:bCs w:val="0"/>
          <w:color w:val="auto"/>
          <w:sz w:val="21"/>
          <w:szCs w:val="24"/>
          <w:highlight w:val="yellow"/>
        </w:rPr>
        <w:t>样品递交至安徽省庐江县合安高速陈埠服务区（联系人：</w:t>
      </w:r>
      <w:r>
        <w:rPr>
          <w:rFonts w:hint="eastAsia" w:ascii="Times New Roman" w:hAnsi="Times New Roman"/>
          <w:b w:val="0"/>
          <w:bCs w:val="0"/>
          <w:color w:val="auto"/>
          <w:sz w:val="21"/>
          <w:szCs w:val="24"/>
          <w:highlight w:val="yellow"/>
          <w:lang w:val="en-US" w:eastAsia="zh-CN"/>
        </w:rPr>
        <w:t>刘义17856007563</w:t>
      </w:r>
      <w:r>
        <w:rPr>
          <w:rFonts w:hint="eastAsia" w:ascii="Times New Roman" w:hAnsi="Times New Roman"/>
          <w:b w:val="0"/>
          <w:bCs w:val="0"/>
          <w:color w:val="auto"/>
          <w:sz w:val="21"/>
          <w:szCs w:val="24"/>
          <w:highlight w:val="yellow"/>
        </w:rPr>
        <w:t>）</w:t>
      </w:r>
    </w:p>
    <w:p w14:paraId="12049F29">
      <w:pPr>
        <w:snapToGrid w:val="0"/>
        <w:spacing w:beforeLines="0" w:afterLines="0" w:line="460" w:lineRule="exact"/>
        <w:ind w:firstLine="420" w:firstLineChars="200"/>
        <w:rPr>
          <w:rFonts w:hint="eastAsia" w:ascii="Times New Roman" w:hAnsi="Times New Roman" w:eastAsiaTheme="minorEastAsia"/>
          <w:b w:val="0"/>
          <w:bCs w:val="0"/>
          <w:color w:val="auto"/>
          <w:sz w:val="21"/>
          <w:szCs w:val="24"/>
          <w:highlight w:val="red"/>
          <w:lang w:val="en-US" w:eastAsia="zh-CN"/>
        </w:rPr>
      </w:pPr>
      <w:r>
        <w:rPr>
          <w:rFonts w:hint="eastAsia" w:ascii="Times New Roman" w:hAnsi="Times New Roman"/>
          <w:b w:val="0"/>
          <w:bCs w:val="0"/>
          <w:color w:val="auto"/>
          <w:sz w:val="21"/>
          <w:szCs w:val="24"/>
          <w:highlight w:val="yellow"/>
          <w:lang w:val="en-US" w:eastAsia="zh-CN"/>
        </w:rPr>
        <w:t>④</w:t>
      </w:r>
      <w:r>
        <w:rPr>
          <w:rFonts w:hint="eastAsia" w:ascii="Times New Roman" w:hAnsi="Times New Roman" w:eastAsia="宋体" w:cs="Times New Roman"/>
          <w:color w:val="000000" w:themeColor="text1"/>
          <w:szCs w:val="21"/>
          <w:highlight w:val="yellow"/>
          <w:lang w:val="en-US" w:eastAsia="zh-CN"/>
          <w14:textFill>
            <w14:solidFill>
              <w14:schemeClr w14:val="tx1"/>
            </w14:solidFill>
          </w14:textFill>
        </w:rPr>
        <w:t>如所送样品不符合要求，采购人有权没收投标保证金，按中标候选人排序重新确定成交人；或重新组织采购。</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000000" w:themeColor="text1"/>
          <w:sz w:val="18"/>
          <w:szCs w:val="21"/>
          <w:highlight w:val="none"/>
          <w14:textFill>
            <w14:solidFill>
              <w14:schemeClr w14:val="tx1"/>
            </w14:solidFill>
          </w14:textFill>
        </w:rPr>
      </w:pPr>
      <w:r>
        <w:rPr>
          <w:rFonts w:hint="default" w:ascii="Times New Roman" w:hAnsi="Times New Roman" w:cs="Times New Roman" w:eastAsiaTheme="minorEastAsia"/>
          <w:color w:val="000000" w:themeColor="text1"/>
          <w:szCs w:val="22"/>
          <w:highlight w:val="none"/>
          <w14:textFill>
            <w14:solidFill>
              <w14:schemeClr w14:val="tx1"/>
            </w14:solidFill>
          </w14:textFill>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bookmarkStart w:id="18" w:name="_Toc25666_WPSOffice_Level2"/>
      <w:bookmarkStart w:id="19" w:name="_Toc2996_WPSOffice_Level2"/>
      <w:bookmarkStart w:id="20" w:name="_Toc4109_WPSOffice_Level2"/>
      <w:bookmarkStart w:id="21" w:name="_Toc29452_WPSOffice_Level2"/>
      <w:bookmarkStart w:id="22" w:name="_Toc4751"/>
      <w:bookmarkStart w:id="23" w:name="_Toc1994"/>
      <w:bookmarkStart w:id="24" w:name="_Toc525632588"/>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000000" w:themeColor="text1"/>
          <w:sz w:val="21"/>
          <w:szCs w:val="22"/>
          <w:highlight w:val="none"/>
          <w14:textFill>
            <w14:solidFill>
              <w14:schemeClr w14:val="tx1"/>
            </w14:solidFill>
          </w14:textFill>
        </w:rPr>
      </w:pPr>
      <w:bookmarkStart w:id="25" w:name="_Toc525632589"/>
      <w:bookmarkStart w:id="26" w:name="_Toc726"/>
      <w:r>
        <w:rPr>
          <w:rFonts w:hint="eastAsia" w:ascii="Times New Roman" w:hAnsi="Times New Roman"/>
          <w:color w:val="000000" w:themeColor="text1"/>
          <w:sz w:val="21"/>
          <w:szCs w:val="22"/>
          <w:highlight w:val="none"/>
          <w14:textFill>
            <w14:solidFill>
              <w14:schemeClr w14:val="tx1"/>
            </w14:solidFill>
          </w14:textFill>
        </w:rPr>
        <w:t>供应商须在“安徽交控建设工程集团</w:t>
      </w:r>
      <w:r>
        <w:rPr>
          <w:rFonts w:hint="eastAsia" w:ascii="Times New Roman" w:hAnsi="Times New Roman"/>
          <w:color w:val="000000" w:themeColor="text1"/>
          <w:sz w:val="21"/>
          <w:szCs w:val="22"/>
          <w:highlight w:val="none"/>
          <w:lang w:val="en-US" w:eastAsia="zh-CN"/>
          <w14:textFill>
            <w14:solidFill>
              <w14:schemeClr w14:val="tx1"/>
            </w14:solidFill>
          </w14:textFill>
        </w:rPr>
        <w:t>有限公司</w:t>
      </w:r>
      <w:r>
        <w:rPr>
          <w:rFonts w:hint="eastAsia" w:ascii="Times New Roman" w:hAnsi="Times New Roman"/>
          <w:color w:val="000000" w:themeColor="text1"/>
          <w:sz w:val="21"/>
          <w:szCs w:val="22"/>
          <w:highlight w:val="none"/>
          <w14:textFill>
            <w14:solidFill>
              <w14:schemeClr w14:val="tx1"/>
            </w14:solidFill>
          </w14:textFill>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000000" w:themeColor="text1"/>
          <w:kern w:val="2"/>
          <w:sz w:val="21"/>
          <w:szCs w:val="22"/>
          <w:highlight w:val="none"/>
          <w:u w:val="none"/>
          <w:lang w:val="en-US" w:eastAsia="zh-CN" w:bidi="ar-SA"/>
          <w14:textFill>
            <w14:solidFill>
              <w14:schemeClr w14:val="tx1"/>
            </w14:solidFill>
          </w14:textFill>
        </w:rPr>
      </w:pPr>
      <w:bookmarkStart w:id="27" w:name="_Toc525632591"/>
      <w:bookmarkStart w:id="28" w:name="_Toc22719"/>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响应文件递交的截止时间为</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2025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年</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6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月</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25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日</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14  </w:t>
      </w:r>
      <w:r>
        <w:rPr>
          <w:rFonts w:hint="default" w:ascii="Times New Roman" w:hAnsi="Times New Roman" w:eastAsia="宋体" w:cs="Times New Roman"/>
          <w:b/>
          <w:bCs/>
          <w:color w:val="000000" w:themeColor="text1"/>
          <w:kern w:val="0"/>
          <w:sz w:val="21"/>
          <w:szCs w:val="21"/>
          <w:highlight w:val="yellow"/>
          <w:lang w:val="en-US" w:eastAsia="zh-CN" w:bidi="ar-SA"/>
          <w14:textFill>
            <w14:solidFill>
              <w14:schemeClr w14:val="tx1"/>
            </w14:solidFill>
          </w14:textFill>
        </w:rPr>
        <w:t>时</w:t>
      </w:r>
      <w:r>
        <w:rPr>
          <w:rFonts w:hint="eastAsia" w:ascii="Times New Roman" w:hAnsi="Times New Roman" w:eastAsia="宋体" w:cs="Times New Roman"/>
          <w:b/>
          <w:bCs/>
          <w:color w:val="000000" w:themeColor="text1"/>
          <w:kern w:val="0"/>
          <w:sz w:val="21"/>
          <w:szCs w:val="21"/>
          <w:highlight w:val="yellow"/>
          <w:u w:val="single"/>
          <w:lang w:val="en-US" w:eastAsia="zh-CN" w:bidi="ar-SA"/>
          <w14:textFill>
            <w14:solidFill>
              <w14:schemeClr w14:val="tx1"/>
            </w14:solidFill>
          </w14:textFill>
        </w:rPr>
        <w:t xml:space="preserve">  30 </w:t>
      </w:r>
      <w:r>
        <w:rPr>
          <w:rFonts w:hint="default" w:ascii="Times New Roman" w:hAnsi="Times New Roman" w:eastAsia="宋体" w:cs="Times New Roman"/>
          <w:b/>
          <w:bCs/>
          <w:color w:val="000000" w:themeColor="text1"/>
          <w:kern w:val="0"/>
          <w:sz w:val="21"/>
          <w:szCs w:val="21"/>
          <w:highlight w:val="none"/>
          <w:lang w:val="en-US" w:eastAsia="zh-CN" w:bidi="ar-SA"/>
          <w14:textFill>
            <w14:solidFill>
              <w14:schemeClr w14:val="tx1"/>
            </w14:solidFill>
          </w14:textFill>
        </w:rPr>
        <w:t>分</w:t>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，供应商的法定代表人或其授权代理人应在文件递交截止时间前，将响应文件递交</w:t>
      </w:r>
      <w:r>
        <w:rPr>
          <w:rFonts w:hint="default" w:ascii="Times New Roman" w:hAnsi="Times New Roman" w:eastAsia="宋体" w:cs="Times New Roman"/>
          <w:color w:val="000000" w:themeColor="text1"/>
          <w:kern w:val="0"/>
          <w:sz w:val="21"/>
          <w:szCs w:val="21"/>
          <w:highlight w:val="none"/>
          <w:u w:val="none"/>
          <w:lang w:val="en-US" w:eastAsia="zh-CN" w:bidi="ar-SA"/>
          <w14:textFill>
            <w14:solidFill>
              <w14:schemeClr w14:val="tx1"/>
            </w14:solidFill>
          </w14:textFill>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w:t>
      </w:r>
      <w:r>
        <w:rPr>
          <w:rFonts w:hint="eastAsia" w:ascii="Times New Roman" w:hAnsi="Times New Roman" w:eastAsia="宋体" w:cs="Times New Roman"/>
          <w:color w:val="auto"/>
          <w:kern w:val="2"/>
          <w:sz w:val="21"/>
          <w:szCs w:val="21"/>
          <w:highlight w:val="none"/>
          <w:u w:val="single"/>
          <w:lang w:val="en-US" w:eastAsia="zh-CN" w:bidi="ar-SA"/>
        </w:rPr>
        <w:t>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6666418">
      <w:pPr>
        <w:spacing w:line="400" w:lineRule="exact"/>
        <w:ind w:firstLine="420" w:firstLineChars="200"/>
        <w:rPr>
          <w:rFonts w:ascii="Times New Roman" w:hAnsi="Times New Roman" w:eastAsia="宋体" w:cs="Times New Roman"/>
          <w:b/>
          <w:bCs/>
          <w:szCs w:val="22"/>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22"/>
          <w:szCs w:val="15"/>
          <w:highlight w:val="none"/>
          <w:lang w:val="en-US" w:eastAsia="zh-CN"/>
          <w14:textFill>
            <w14:solidFill>
              <w14:schemeClr w14:val="tx1"/>
            </w14:solidFill>
          </w14:textFill>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响应保证金的金额：</w:t>
      </w:r>
    </w:p>
    <w:p w14:paraId="772B406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本项目</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01包</w:t>
      </w:r>
      <w:r>
        <w:rPr>
          <w:rFonts w:hint="default"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响应保证金：</w:t>
      </w:r>
      <w:r>
        <w:rPr>
          <w:rFonts w:hint="eastAsia" w:ascii="Times New Roman" w:hAnsi="Times New Roman" w:eastAsia="宋体" w:cs="Times New Roman"/>
          <w:b w:val="0"/>
          <w:bCs w:val="0"/>
          <w:color w:val="000000" w:themeColor="text1"/>
          <w:kern w:val="2"/>
          <w:sz w:val="21"/>
          <w:szCs w:val="21"/>
          <w:highlight w:val="yellow"/>
          <w:u w:val="single"/>
          <w:lang w:val="en-US" w:eastAsia="zh-CN" w:bidi="ar-SA"/>
          <w14:textFill>
            <w14:solidFill>
              <w14:schemeClr w14:val="tx1"/>
            </w14:solidFill>
          </w14:textFill>
        </w:rPr>
        <w:t xml:space="preserve"> 2000  </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元（大写：</w:t>
      </w:r>
      <w:r>
        <w:rPr>
          <w:rFonts w:hint="eastAsia" w:ascii="Times New Roman" w:hAnsi="Times New Roman" w:eastAsia="宋体" w:cs="Times New Roman"/>
          <w:b w:val="0"/>
          <w:bCs w:val="0"/>
          <w:color w:val="000000" w:themeColor="text1"/>
          <w:kern w:val="2"/>
          <w:sz w:val="21"/>
          <w:szCs w:val="21"/>
          <w:highlight w:val="yellow"/>
          <w:u w:val="single"/>
          <w:lang w:val="en-US" w:eastAsia="zh-CN" w:bidi="ar-SA"/>
          <w14:textFill>
            <w14:solidFill>
              <w14:schemeClr w14:val="tx1"/>
            </w14:solidFill>
          </w14:textFill>
        </w:rPr>
        <w:t xml:space="preserve"> 贰仟元整</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w:t>
      </w:r>
    </w:p>
    <w:p w14:paraId="5C115EE2">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本项目</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02包</w:t>
      </w:r>
      <w:r>
        <w:rPr>
          <w:rFonts w:hint="default"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响应保证金：</w:t>
      </w:r>
      <w:r>
        <w:rPr>
          <w:rFonts w:hint="eastAsia" w:ascii="Times New Roman" w:hAnsi="Times New Roman" w:eastAsia="宋体" w:cs="Times New Roman"/>
          <w:b w:val="0"/>
          <w:bCs w:val="0"/>
          <w:color w:val="000000" w:themeColor="text1"/>
          <w:kern w:val="2"/>
          <w:sz w:val="21"/>
          <w:szCs w:val="21"/>
          <w:highlight w:val="yellow"/>
          <w:u w:val="single"/>
          <w:lang w:val="en-US" w:eastAsia="zh-CN" w:bidi="ar-SA"/>
          <w14:textFill>
            <w14:solidFill>
              <w14:schemeClr w14:val="tx1"/>
            </w14:solidFill>
          </w14:textFill>
        </w:rPr>
        <w:t xml:space="preserve"> 2100  </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元（大写：</w:t>
      </w:r>
      <w:r>
        <w:rPr>
          <w:rFonts w:hint="eastAsia" w:ascii="Times New Roman" w:hAnsi="Times New Roman" w:eastAsia="宋体" w:cs="Times New Roman"/>
          <w:b w:val="0"/>
          <w:bCs w:val="0"/>
          <w:color w:val="000000" w:themeColor="text1"/>
          <w:kern w:val="2"/>
          <w:sz w:val="21"/>
          <w:szCs w:val="21"/>
          <w:highlight w:val="yellow"/>
          <w:u w:val="single"/>
          <w:lang w:val="en-US" w:eastAsia="zh-CN" w:bidi="ar-SA"/>
          <w14:textFill>
            <w14:solidFill>
              <w14:schemeClr w14:val="tx1"/>
            </w14:solidFill>
          </w14:textFill>
        </w:rPr>
        <w:t xml:space="preserve"> 贰仟壹佰元整</w:t>
      </w:r>
      <w:r>
        <w:rPr>
          <w:rFonts w:hint="eastAsia" w:ascii="Times New Roman" w:hAnsi="Times New Roman" w:eastAsia="宋体" w:cs="Times New Roman"/>
          <w:b w:val="0"/>
          <w:bCs w:val="0"/>
          <w:color w:val="000000" w:themeColor="text1"/>
          <w:kern w:val="2"/>
          <w:sz w:val="21"/>
          <w:szCs w:val="21"/>
          <w:highlight w:val="yellow"/>
          <w:lang w:val="en-US" w:eastAsia="zh-CN" w:bidi="ar-SA"/>
          <w14:textFill>
            <w14:solidFill>
              <w14:schemeClr w14:val="tx1"/>
            </w14:solidFill>
          </w14:textFill>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若采用电汇（转账）形式，响应保证金必须由供应商的</w:t>
      </w:r>
      <w:r>
        <w:rPr>
          <w:rFonts w:hint="eastAsia" w:ascii="宋体" w:hAnsi="宋体" w:cs="宋体"/>
          <w:color w:val="000000" w:themeColor="text1"/>
          <w:sz w:val="21"/>
          <w:szCs w:val="21"/>
          <w:highlight w:val="none"/>
          <w:lang w:val="en-US" w:eastAsia="zh-CN" w:bidi="ar"/>
          <w14:textFill>
            <w14:solidFill>
              <w14:schemeClr w14:val="tx1"/>
            </w14:solidFill>
          </w14:textFill>
        </w:rPr>
        <w:t>银行</w:t>
      </w:r>
      <w:r>
        <w:rPr>
          <w:rFonts w:hint="eastAsia" w:ascii="宋体" w:hAnsi="宋体" w:cs="宋体"/>
          <w:color w:val="000000" w:themeColor="text1"/>
          <w:sz w:val="21"/>
          <w:szCs w:val="21"/>
          <w:highlight w:val="none"/>
          <w:lang w:bidi="ar"/>
          <w14:textFill>
            <w14:solidFill>
              <w14:schemeClr w14:val="tx1"/>
            </w14:solidFill>
          </w14:textFill>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响应保证金的账户信息：</w:t>
      </w:r>
    </w:p>
    <w:p w14:paraId="737C81BC">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户</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名：</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安徽省经工物资有限公司</w:t>
      </w:r>
    </w:p>
    <w:p w14:paraId="28E6678A">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开户银行：</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工行合肥蜀山支行</w:t>
      </w:r>
    </w:p>
    <w:p w14:paraId="036ABDAF">
      <w:pPr>
        <w:spacing w:beforeLines="0" w:afterLines="0" w:line="440" w:lineRule="exact"/>
        <w:ind w:firstLine="420"/>
        <w:rPr>
          <w:rFonts w:hint="eastAsia"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账</w:t>
      </w:r>
      <w:r>
        <w:rPr>
          <w:rFonts w:hint="eastAsia" w:ascii="Times New Roman" w:hAnsi="Times New Roman"/>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t>号：</w:t>
      </w:r>
      <w:r>
        <w:rPr>
          <w:rFonts w:hint="default" w:ascii="Times New Roman" w:hAnsi="Times New Roman"/>
          <w:color w:val="000000" w:themeColor="text1"/>
          <w:sz w:val="21"/>
          <w:szCs w:val="21"/>
          <w:highlight w:val="none"/>
          <w:lang w:bidi="ar"/>
          <w14:textFill>
            <w14:solidFill>
              <w14:schemeClr w14:val="tx1"/>
            </w14:solidFill>
          </w14:textFill>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付款备注：铝单板响应保证金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4A51787">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2C0ACECA">
      <w:pPr>
        <w:numPr>
          <w:ilvl w:val="0"/>
          <w:numId w:val="3"/>
        </w:numPr>
        <w:spacing w:line="440" w:lineRule="exact"/>
        <w:ind w:firstLine="420"/>
        <w:rPr>
          <w:rFonts w:hint="eastAsia" w:ascii="宋体" w:hAnsi="宋体" w:cs="宋体"/>
          <w:color w:val="auto"/>
          <w:sz w:val="21"/>
          <w:szCs w:val="21"/>
          <w:highlight w:val="none"/>
          <w:lang w:bidi="ar"/>
        </w:rPr>
      </w:pPr>
      <w:r>
        <w:rPr>
          <w:rFonts w:hint="eastAsia" w:ascii="宋体" w:hAnsi="宋体" w:cs="宋体"/>
          <w:color w:val="auto"/>
          <w:sz w:val="21"/>
          <w:szCs w:val="21"/>
          <w:highlight w:val="yellow"/>
          <w:lang w:bidi="ar"/>
        </w:rPr>
        <w:t>履约保证金:中标公示后，在合同签订前，乙方需向甲方支付合同总价 10%的履约保证金或提供合同总价 10%的见索即付银行保函。</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26829"/>
      <w:bookmarkStart w:id="30" w:name="_Toc14943_WPSOffice_Level2"/>
      <w:bookmarkStart w:id="31" w:name="_Toc321_WPSOffice_Level2"/>
      <w:bookmarkStart w:id="32" w:name="_Toc28571_WPSOffice_Level2"/>
      <w:bookmarkStart w:id="33" w:name="_Toc20572_WPSOffice_Level2"/>
      <w:bookmarkStart w:id="34" w:name="_Toc525632592"/>
      <w:bookmarkStart w:id="35" w:name="_Toc8501"/>
      <w:r>
        <w:rPr>
          <w:rFonts w:hint="eastAsia" w:ascii="Times New Roman" w:hAnsi="Times New Roman"/>
          <w:color w:val="auto"/>
          <w:sz w:val="21"/>
          <w:szCs w:val="22"/>
          <w:highlight w:val="none"/>
        </w:rPr>
        <w:t>本次采购公告在“ 安徽交控建设工程集团</w:t>
      </w:r>
      <w:r>
        <w:rPr>
          <w:rFonts w:hint="eastAsia" w:ascii="Times New Roman" w:hAnsi="Times New Roman"/>
          <w:color w:val="auto"/>
          <w:sz w:val="21"/>
          <w:szCs w:val="22"/>
          <w:highlight w:val="none"/>
          <w:lang w:val="en-US" w:eastAsia="zh-CN"/>
        </w:rPr>
        <w:t>有限公司</w:t>
      </w:r>
      <w:r>
        <w:rPr>
          <w:rFonts w:hint="eastAsia" w:ascii="Times New Roman" w:hAnsi="Times New Roman"/>
          <w:color w:val="auto"/>
          <w:sz w:val="21"/>
          <w:szCs w:val="22"/>
          <w:highlight w:val="none"/>
        </w:rPr>
        <w:t>”（网址：http://www.ahjggroup.com）“招标公告”栏目中发布。</w:t>
      </w:r>
    </w:p>
    <w:p w14:paraId="59565F43">
      <w:pPr>
        <w:snapToGrid w:val="0"/>
        <w:spacing w:beforeLines="0" w:afterLines="0" w:line="440" w:lineRule="exact"/>
        <w:ind w:firstLine="420" w:firstLineChars="200"/>
        <w:rPr>
          <w:rFonts w:hint="eastAsia" w:ascii="Times New Roman" w:hAnsi="Times New Roman"/>
          <w:color w:val="auto"/>
          <w:sz w:val="21"/>
          <w:szCs w:val="22"/>
          <w:highlight w:val="none"/>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10"/>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5"/>
        <w:jc w:val="both"/>
        <w:rPr>
          <w:rFonts w:hint="eastAsia" w:ascii="宋体" w:hAnsi="宋体" w:eastAsia="宋体" w:cs="宋体"/>
          <w:color w:val="auto"/>
          <w:sz w:val="21"/>
          <w:szCs w:val="21"/>
          <w:highlight w:val="none"/>
        </w:rPr>
      </w:pPr>
    </w:p>
    <w:p w14:paraId="64659C16">
      <w:pPr>
        <w:pStyle w:val="35"/>
        <w:jc w:val="both"/>
        <w:rPr>
          <w:rFonts w:hint="eastAsia" w:ascii="宋体" w:hAnsi="宋体" w:eastAsia="宋体" w:cs="宋体"/>
          <w:color w:val="auto"/>
          <w:sz w:val="21"/>
          <w:szCs w:val="21"/>
          <w:highlight w:val="none"/>
        </w:rPr>
      </w:pPr>
    </w:p>
    <w:p w14:paraId="07C64947">
      <w:pPr>
        <w:pStyle w:val="35"/>
        <w:jc w:val="both"/>
        <w:rPr>
          <w:rFonts w:hint="eastAsia" w:ascii="宋体" w:hAnsi="宋体" w:eastAsia="宋体" w:cs="宋体"/>
          <w:color w:val="auto"/>
          <w:sz w:val="21"/>
          <w:szCs w:val="21"/>
          <w:highlight w:val="none"/>
        </w:rPr>
      </w:pPr>
    </w:p>
    <w:p w14:paraId="34DA6046">
      <w:pPr>
        <w:pStyle w:val="35"/>
        <w:jc w:val="both"/>
        <w:rPr>
          <w:rFonts w:hint="eastAsia" w:ascii="宋体" w:hAnsi="宋体" w:eastAsia="宋体" w:cs="宋体"/>
          <w:color w:val="auto"/>
          <w:sz w:val="21"/>
          <w:szCs w:val="21"/>
          <w:highlight w:val="none"/>
        </w:rPr>
      </w:pPr>
    </w:p>
    <w:p w14:paraId="29E08280">
      <w:pPr>
        <w:pStyle w:val="35"/>
        <w:jc w:val="both"/>
        <w:rPr>
          <w:rFonts w:hint="eastAsia" w:ascii="宋体" w:hAnsi="宋体" w:eastAsia="宋体" w:cs="宋体"/>
          <w:color w:val="auto"/>
          <w:sz w:val="21"/>
          <w:szCs w:val="21"/>
          <w:highlight w:val="none"/>
        </w:rPr>
      </w:pPr>
    </w:p>
    <w:p w14:paraId="3585E9B0">
      <w:pPr>
        <w:pStyle w:val="35"/>
        <w:jc w:val="both"/>
        <w:rPr>
          <w:rFonts w:hint="eastAsia" w:ascii="宋体" w:hAnsi="宋体" w:eastAsia="宋体" w:cs="宋体"/>
          <w:color w:val="auto"/>
          <w:sz w:val="21"/>
          <w:szCs w:val="21"/>
          <w:highlight w:val="none"/>
        </w:rPr>
      </w:pPr>
    </w:p>
    <w:p w14:paraId="4649E476">
      <w:pPr>
        <w:pStyle w:val="35"/>
        <w:jc w:val="both"/>
        <w:rPr>
          <w:rFonts w:hint="eastAsia" w:ascii="宋体" w:hAnsi="宋体" w:eastAsia="宋体" w:cs="宋体"/>
          <w:color w:val="auto"/>
          <w:sz w:val="21"/>
          <w:szCs w:val="21"/>
          <w:highlight w:val="none"/>
        </w:rPr>
      </w:pPr>
    </w:p>
    <w:p w14:paraId="2198F814">
      <w:pPr>
        <w:pStyle w:val="35"/>
        <w:jc w:val="both"/>
        <w:rPr>
          <w:rFonts w:hint="eastAsia" w:ascii="宋体" w:hAnsi="宋体" w:eastAsia="宋体" w:cs="宋体"/>
          <w:color w:val="auto"/>
          <w:sz w:val="21"/>
          <w:szCs w:val="21"/>
          <w:highlight w:val="none"/>
        </w:rPr>
      </w:pPr>
    </w:p>
    <w:p w14:paraId="388D5946">
      <w:pPr>
        <w:pStyle w:val="35"/>
        <w:jc w:val="both"/>
        <w:rPr>
          <w:rFonts w:hint="eastAsia" w:ascii="宋体" w:hAnsi="宋体" w:eastAsia="宋体" w:cs="宋体"/>
          <w:color w:val="auto"/>
          <w:sz w:val="21"/>
          <w:szCs w:val="21"/>
          <w:highlight w:val="none"/>
        </w:rPr>
      </w:pPr>
    </w:p>
    <w:p w14:paraId="507D6DE9">
      <w:pPr>
        <w:pStyle w:val="35"/>
        <w:jc w:val="both"/>
        <w:rPr>
          <w:rFonts w:hint="eastAsia" w:ascii="宋体" w:hAnsi="宋体" w:eastAsia="宋体" w:cs="宋体"/>
          <w:color w:val="auto"/>
          <w:sz w:val="21"/>
          <w:szCs w:val="21"/>
          <w:highlight w:val="none"/>
        </w:rPr>
      </w:pPr>
    </w:p>
    <w:p w14:paraId="0F7AB1C8">
      <w:pPr>
        <w:pStyle w:val="35"/>
        <w:jc w:val="both"/>
        <w:rPr>
          <w:rFonts w:hint="eastAsia" w:ascii="宋体" w:hAnsi="宋体" w:eastAsia="宋体" w:cs="宋体"/>
          <w:color w:val="auto"/>
          <w:sz w:val="21"/>
          <w:szCs w:val="21"/>
          <w:highlight w:val="none"/>
        </w:rPr>
      </w:pPr>
    </w:p>
    <w:p w14:paraId="77F64585">
      <w:pPr>
        <w:pStyle w:val="35"/>
        <w:jc w:val="both"/>
        <w:rPr>
          <w:rFonts w:hint="eastAsia" w:ascii="宋体" w:hAnsi="宋体" w:eastAsia="宋体" w:cs="宋体"/>
          <w:color w:val="auto"/>
          <w:sz w:val="21"/>
          <w:szCs w:val="21"/>
          <w:highlight w:val="none"/>
        </w:rPr>
      </w:pPr>
    </w:p>
    <w:p w14:paraId="2F35C518">
      <w:pPr>
        <w:pStyle w:val="35"/>
        <w:jc w:val="both"/>
        <w:rPr>
          <w:rFonts w:hint="eastAsia" w:ascii="宋体" w:hAnsi="宋体" w:eastAsia="宋体" w:cs="宋体"/>
          <w:color w:val="auto"/>
          <w:sz w:val="21"/>
          <w:szCs w:val="21"/>
          <w:highlight w:val="none"/>
        </w:rPr>
      </w:pPr>
    </w:p>
    <w:p w14:paraId="5B955243">
      <w:pPr>
        <w:pStyle w:val="35"/>
        <w:jc w:val="both"/>
        <w:rPr>
          <w:rFonts w:hint="eastAsia" w:ascii="宋体" w:hAnsi="宋体" w:eastAsia="宋体" w:cs="宋体"/>
          <w:color w:val="auto"/>
          <w:sz w:val="21"/>
          <w:szCs w:val="21"/>
          <w:highlight w:val="none"/>
        </w:rPr>
      </w:pPr>
    </w:p>
    <w:p w14:paraId="178BF362">
      <w:pPr>
        <w:pStyle w:val="35"/>
        <w:jc w:val="both"/>
        <w:rPr>
          <w:rFonts w:hint="eastAsia" w:ascii="宋体" w:hAnsi="宋体" w:eastAsia="宋体" w:cs="宋体"/>
          <w:color w:val="auto"/>
          <w:sz w:val="21"/>
          <w:szCs w:val="21"/>
          <w:highlight w:val="none"/>
        </w:rPr>
      </w:pPr>
    </w:p>
    <w:p w14:paraId="6615E05D">
      <w:pPr>
        <w:pStyle w:val="35"/>
        <w:jc w:val="both"/>
        <w:rPr>
          <w:rFonts w:hint="eastAsia" w:ascii="宋体" w:hAnsi="宋体" w:eastAsia="宋体" w:cs="宋体"/>
          <w:color w:val="auto"/>
          <w:sz w:val="21"/>
          <w:szCs w:val="21"/>
          <w:highlight w:val="none"/>
        </w:rPr>
      </w:pPr>
    </w:p>
    <w:p w14:paraId="1300C25D">
      <w:pPr>
        <w:pStyle w:val="35"/>
        <w:jc w:val="both"/>
        <w:rPr>
          <w:rFonts w:hint="eastAsia" w:ascii="宋体" w:hAnsi="宋体" w:eastAsia="宋体" w:cs="宋体"/>
          <w:color w:val="auto"/>
          <w:sz w:val="21"/>
          <w:szCs w:val="21"/>
          <w:highlight w:val="none"/>
        </w:rPr>
      </w:pPr>
    </w:p>
    <w:p w14:paraId="778E82CA">
      <w:pPr>
        <w:pStyle w:val="35"/>
        <w:jc w:val="both"/>
        <w:rPr>
          <w:rFonts w:hint="eastAsia" w:ascii="宋体" w:hAnsi="宋体" w:eastAsia="宋体" w:cs="宋体"/>
          <w:color w:val="auto"/>
          <w:sz w:val="21"/>
          <w:szCs w:val="21"/>
          <w:highlight w:val="none"/>
        </w:rPr>
      </w:pPr>
    </w:p>
    <w:p w14:paraId="36C0BA1D">
      <w:pPr>
        <w:pStyle w:val="35"/>
        <w:jc w:val="both"/>
        <w:rPr>
          <w:rFonts w:hint="eastAsia" w:ascii="宋体" w:hAnsi="宋体" w:eastAsia="宋体" w:cs="宋体"/>
          <w:color w:val="auto"/>
          <w:sz w:val="21"/>
          <w:szCs w:val="21"/>
          <w:highlight w:val="none"/>
        </w:rPr>
      </w:pPr>
    </w:p>
    <w:p w14:paraId="125E65BB">
      <w:pPr>
        <w:pStyle w:val="35"/>
        <w:jc w:val="both"/>
        <w:rPr>
          <w:rFonts w:hint="eastAsia" w:ascii="宋体" w:hAnsi="宋体" w:eastAsia="宋体" w:cs="宋体"/>
          <w:color w:val="auto"/>
          <w:sz w:val="21"/>
          <w:szCs w:val="21"/>
          <w:highlight w:val="none"/>
        </w:rPr>
      </w:pPr>
    </w:p>
    <w:p w14:paraId="698BE024">
      <w:pPr>
        <w:pStyle w:val="35"/>
        <w:jc w:val="both"/>
        <w:rPr>
          <w:rFonts w:hint="eastAsia" w:ascii="宋体" w:hAnsi="宋体" w:eastAsia="宋体" w:cs="宋体"/>
          <w:color w:val="auto"/>
          <w:sz w:val="21"/>
          <w:szCs w:val="21"/>
          <w:highlight w:val="none"/>
        </w:rPr>
      </w:pPr>
    </w:p>
    <w:p w14:paraId="18638F2E">
      <w:pPr>
        <w:pStyle w:val="35"/>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8045"/>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6069"/>
      <w:bookmarkStart w:id="38" w:name="_Toc55466811"/>
      <w:bookmarkStart w:id="39" w:name="_Toc19501"/>
      <w:bookmarkStart w:id="40" w:name="_Toc29381_WPSOffice_Level2"/>
      <w:bookmarkStart w:id="41" w:name="_Toc26656928"/>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3"/>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1755"/>
        <w:gridCol w:w="6785"/>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1755"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785"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1755"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785"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1755"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785"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1755"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785"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1755"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785"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1755"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785"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1755"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785"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1755"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785"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1755"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785"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1755"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785"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1755"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785"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1755"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785"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1755"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785"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1755"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785"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1755"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785"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1755"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785"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1755"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785"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1755"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785"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9"/>
                <w:rFonts w:hint="eastAsia" w:ascii="宋体" w:hAnsi="宋体" w:eastAsia="宋体" w:cs="宋体"/>
                <w:bCs/>
                <w:color w:val="auto"/>
                <w:sz w:val="22"/>
                <w:szCs w:val="22"/>
                <w:highlight w:val="none"/>
                <w:lang w:bidi="ar"/>
              </w:rPr>
              <w:t>允许有利于</w:t>
            </w:r>
            <w:r>
              <w:rPr>
                <w:rStyle w:val="49"/>
                <w:rFonts w:hint="eastAsia" w:ascii="宋体" w:hAnsi="宋体" w:eastAsia="宋体" w:cs="宋体"/>
                <w:bCs/>
                <w:color w:val="auto"/>
                <w:sz w:val="22"/>
                <w:szCs w:val="22"/>
                <w:highlight w:val="none"/>
                <w:lang w:eastAsia="zh-CN" w:bidi="ar"/>
              </w:rPr>
              <w:t>采购人</w:t>
            </w:r>
            <w:r>
              <w:rPr>
                <w:rStyle w:val="49"/>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1755"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785"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1755"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785" w:type="dxa"/>
            <w:vAlign w:val="center"/>
          </w:tcPr>
          <w:p w14:paraId="580C117B">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1755"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785" w:type="dxa"/>
            <w:vAlign w:val="center"/>
          </w:tcPr>
          <w:p w14:paraId="652E8F59">
            <w:pPr>
              <w:pStyle w:val="43"/>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1755"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785"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w:t>
            </w:r>
            <w:r>
              <w:rPr>
                <w:rFonts w:hint="eastAsia" w:ascii="宋体" w:hAnsi="宋体" w:eastAsia="宋体"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1755"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785" w:type="dxa"/>
            <w:vAlign w:val="center"/>
          </w:tcPr>
          <w:p w14:paraId="042C5927">
            <w:pPr>
              <w:pStyle w:val="43"/>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1755" w:type="dxa"/>
            <w:vAlign w:val="center"/>
          </w:tcPr>
          <w:p w14:paraId="14017135">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785" w:type="dxa"/>
            <w:vAlign w:val="center"/>
          </w:tcPr>
          <w:p w14:paraId="59DC1050">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1755" w:type="dxa"/>
            <w:vAlign w:val="center"/>
          </w:tcPr>
          <w:p w14:paraId="0AF0B06A">
            <w:pPr>
              <w:pStyle w:val="43"/>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yellow"/>
                <w:lang w:eastAsia="zh-CN"/>
              </w:rPr>
            </w:pPr>
            <w:r>
              <w:rPr>
                <w:rFonts w:hint="eastAsia"/>
                <w:color w:val="auto"/>
                <w:sz w:val="22"/>
                <w:szCs w:val="22"/>
                <w:highlight w:val="yellow"/>
                <w:lang w:eastAsia="zh-CN"/>
              </w:rPr>
              <w:t>装订包封要求</w:t>
            </w:r>
          </w:p>
        </w:tc>
        <w:tc>
          <w:tcPr>
            <w:tcW w:w="6785" w:type="dxa"/>
            <w:vAlign w:val="center"/>
          </w:tcPr>
          <w:p w14:paraId="78587EFE">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9"/>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yellow"/>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1755"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785"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1755"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785"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1755"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785"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1755"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785"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1755"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785"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1755"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785"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1755"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785"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1755"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785"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1755"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785"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1755"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785"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1755"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785" w:type="dxa"/>
            <w:vAlign w:val="center"/>
          </w:tcPr>
          <w:p w14:paraId="15C9ADEC">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1755"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785" w:type="dxa"/>
            <w:vAlign w:val="center"/>
          </w:tcPr>
          <w:p w14:paraId="668A9EEB">
            <w:pPr>
              <w:pStyle w:val="43"/>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1755"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785"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1755"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785"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1755"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785"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1755"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785"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1755"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785"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1755"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785"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1755"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785"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1755"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785" w:type="dxa"/>
            <w:vAlign w:val="center"/>
          </w:tcPr>
          <w:p w14:paraId="61C35264">
            <w:pPr>
              <w:pStyle w:val="43"/>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val="en-US" w:eastAsia="zh-CN"/>
              </w:rPr>
              <w:t>有限公司</w:t>
            </w:r>
            <w:r>
              <w:rPr>
                <w:rFonts w:hint="eastAsia" w:ascii="宋体" w:hAnsi="宋体" w:eastAsia="宋体" w:cs="宋体"/>
                <w:color w:val="auto"/>
                <w:sz w:val="22"/>
                <w:szCs w:val="22"/>
                <w:highlight w:val="none"/>
              </w:rPr>
              <w:t>”（网址：http://www.ahjggroup.com）“招标公告”栏目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1755"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785"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1755"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785"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1755"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785"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1755"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785"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1755"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785"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1755"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785"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000000" w:themeColor="text1"/>
                <w:kern w:val="2"/>
                <w:sz w:val="22"/>
                <w:szCs w:val="21"/>
                <w:highlight w:val="yellow"/>
                <w:lang w:val="en-US" w:eastAsia="zh-CN" w:bidi="ar-SA"/>
                <w14:textFill>
                  <w14:solidFill>
                    <w14:schemeClr w14:val="tx1"/>
                  </w14:solidFill>
                </w14:textFill>
              </w:rPr>
            </w:pPr>
            <w:r>
              <w:rPr>
                <w:rFonts w:hint="eastAsia" w:cstheme="minorBidi"/>
                <w:color w:val="000000" w:themeColor="text1"/>
                <w:kern w:val="2"/>
                <w:sz w:val="22"/>
                <w:szCs w:val="21"/>
                <w:highlight w:val="yellow"/>
                <w:lang w:val="en-US" w:eastAsia="zh-CN" w:bidi="ar-SA"/>
                <w14:textFill>
                  <w14:solidFill>
                    <w14:schemeClr w14:val="tx1"/>
                  </w14:solidFill>
                </w14:textFill>
              </w:rPr>
              <w:t>50</w:t>
            </w:r>
          </w:p>
        </w:tc>
        <w:tc>
          <w:tcPr>
            <w:tcW w:w="1755"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pPr>
            <w:r>
              <w:rPr>
                <w:rFonts w:hint="eastAsia" w:ascii="宋体" w:hAnsi="宋体" w:eastAsia="宋体" w:cs="宋体"/>
                <w:b/>
                <w:color w:val="000000" w:themeColor="text1"/>
                <w:kern w:val="0"/>
                <w:sz w:val="22"/>
                <w:szCs w:val="22"/>
                <w:highlight w:val="yellow"/>
                <w:lang w:val="en-US" w:eastAsia="zh-CN" w:bidi="ar"/>
                <w14:textFill>
                  <w14:solidFill>
                    <w14:schemeClr w14:val="tx1"/>
                  </w14:solidFill>
                </w14:textFill>
              </w:rPr>
              <w:t>标后送样</w:t>
            </w:r>
          </w:p>
        </w:tc>
        <w:tc>
          <w:tcPr>
            <w:tcW w:w="6785" w:type="dxa"/>
            <w:shd w:val="clear" w:color="auto" w:fill="auto"/>
            <w:vAlign w:val="center"/>
          </w:tcPr>
          <w:p w14:paraId="0F38A65E">
            <w:pPr>
              <w:keepNext w:val="0"/>
              <w:keepLines w:val="0"/>
              <w:widowControl/>
              <w:suppressLineNumbers w:val="0"/>
              <w:spacing w:before="0" w:beforeLines="0" w:beforeAutospacing="0" w:after="0" w:afterLines="0" w:afterAutospacing="0"/>
              <w:ind w:left="0" w:leftChars="0" w:right="0" w:rightChars="0" w:firstLine="42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Times New Roman" w:hAnsi="Times New Roman"/>
                <w:b/>
                <w:bCs/>
                <w:color w:val="auto"/>
                <w:sz w:val="21"/>
                <w:szCs w:val="24"/>
                <w:highlight w:val="yellow"/>
                <w:lang w:val="en-US" w:eastAsia="zh-CN"/>
              </w:rPr>
              <w:t>拟中标人须在采购人通知之日起3日内送样并经采购人确认、封样</w:t>
            </w: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。如所送样品不符合要求，采购人有权没收投标保证金，按中标候选人排序重新确定成交人；或重新组织采购。</w:t>
            </w:r>
          </w:p>
          <w:p w14:paraId="1DABFAE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如中标人在供应过程中所供铝单板不符合封样标准的：</w:t>
            </w:r>
          </w:p>
          <w:p w14:paraId="0E13982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1）采购人有权终止合同，没收履约保证金。</w:t>
            </w:r>
          </w:p>
          <w:p w14:paraId="61965FD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2）采购人有权依据合同约定进行处罚。</w:t>
            </w:r>
          </w:p>
          <w:p w14:paraId="050AE56E">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000000" w:themeColor="text1"/>
                <w:kern w:val="2"/>
                <w:sz w:val="22"/>
                <w:szCs w:val="22"/>
                <w:highlight w:val="yellow"/>
                <w:lang w:val="en-US" w:eastAsia="zh-CN" w:bidi="ar-SA"/>
                <w14:textFill>
                  <w14:solidFill>
                    <w14:schemeClr w14:val="tx1"/>
                  </w14:solidFill>
                </w14:textFill>
              </w:rPr>
            </w:pPr>
            <w:r>
              <w:rPr>
                <w:rFonts w:hint="eastAsia" w:ascii="宋体" w:hAnsi="宋体" w:eastAsia="宋体" w:cs="宋体"/>
                <w:b/>
                <w:bCs/>
                <w:color w:val="000000" w:themeColor="text1"/>
                <w:sz w:val="22"/>
                <w:szCs w:val="22"/>
                <w:highlight w:val="yellow"/>
                <w:u w:val="none"/>
                <w:lang w:val="en-US" w:eastAsia="zh-CN"/>
                <w14:textFill>
                  <w14:solidFill>
                    <w14:schemeClr w14:val="tx1"/>
                  </w14:solidFill>
                </w14:textFill>
              </w:rPr>
              <w:t>3）采购人有权将未完成的供货部分移交给第三方实施，供应商应无条件配合相关移交工作。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14201207"/>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964ED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799" w:hRule="atLeast"/>
          <w:jc w:val="center"/>
        </w:trPr>
        <w:tc>
          <w:tcPr>
            <w:tcW w:w="827" w:type="dxa"/>
            <w:vAlign w:val="center"/>
          </w:tcPr>
          <w:p w14:paraId="1635BBCD">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282F4E8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本项目有大量异形铝板，铝板厂家必须安排技术人员驻场。</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54</w:t>
            </w:r>
          </w:p>
        </w:tc>
        <w:tc>
          <w:tcPr>
            <w:tcW w:w="8540" w:type="dxa"/>
            <w:gridSpan w:val="2"/>
            <w:vAlign w:val="center"/>
          </w:tcPr>
          <w:p w14:paraId="5ABB791A">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2DF1137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3EE2A9C7">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10"/>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none"/>
                <w:lang w:val="en-US" w:eastAsia="zh-CN"/>
              </w:rPr>
              <w:t>200</w:t>
            </w:r>
            <w:r>
              <w:rPr>
                <w:rFonts w:hint="eastAsia"/>
                <w:color w:val="auto"/>
                <w:highlight w:val="none"/>
                <w:lang w:val="en-US" w:eastAsia="zh-CN"/>
              </w:rPr>
              <w:t>万元的铝单板供应合同业绩（每个业绩至少提供不低于合同金额50%的增值税发票或收到业主转账的收款凭证，未提供，该业绩无效）。</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3"/>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0A064618">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不允许分包。</w:t>
      </w:r>
    </w:p>
    <w:p w14:paraId="1DBA1C2B">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1.</w:t>
      </w:r>
      <w:r>
        <w:rPr>
          <w:rFonts w:hint="eastAsia" w:ascii="Times New Roman" w:hAnsi="Times New Roman" w:eastAsia="黑体" w:cs="Times New Roman"/>
          <w:bCs/>
          <w:color w:val="000000" w:themeColor="text1"/>
          <w:sz w:val="24"/>
          <w:szCs w:val="32"/>
          <w:highlight w:val="none"/>
          <w14:textFill>
            <w14:solidFill>
              <w14:schemeClr w14:val="tx1"/>
            </w14:solidFill>
          </w14:textFill>
        </w:rPr>
        <w:t>8</w:t>
      </w:r>
      <w:r>
        <w:rPr>
          <w:rFonts w:ascii="Times New Roman" w:hAnsi="Times New Roman" w:eastAsia="黑体" w:cs="Times New Roman"/>
          <w:bCs/>
          <w:color w:val="000000" w:themeColor="text1"/>
          <w:sz w:val="24"/>
          <w:szCs w:val="32"/>
          <w:highlight w:val="none"/>
          <w14:textFill>
            <w14:solidFill>
              <w14:schemeClr w14:val="tx1"/>
            </w14:solidFill>
          </w14:textFill>
        </w:rPr>
        <w:t xml:space="preserve"> 偏</w:t>
      </w:r>
      <w:r>
        <w:rPr>
          <w:rFonts w:hint="eastAsia" w:ascii="Times New Roman" w:hAnsi="Times New Roman" w:eastAsia="黑体" w:cs="Times New Roman"/>
          <w:bCs/>
          <w:color w:val="000000" w:themeColor="text1"/>
          <w:sz w:val="24"/>
          <w:szCs w:val="32"/>
          <w:highlight w:val="none"/>
          <w14:textFill>
            <w14:solidFill>
              <w14:schemeClr w14:val="tx1"/>
            </w14:solidFill>
          </w14:textFill>
        </w:rPr>
        <w:t>差</w:t>
      </w:r>
    </w:p>
    <w:p w14:paraId="3D3ED44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偏差包括重大偏差和细微偏差。</w:t>
      </w:r>
    </w:p>
    <w:p w14:paraId="673725B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8</w:t>
      </w:r>
      <w:r>
        <w:rPr>
          <w:rFonts w:ascii="Times New Roman" w:hAnsi="Times New Roman" w:cs="Times New Roman"/>
          <w:color w:val="000000" w:themeColor="text1"/>
          <w:highlight w:val="none"/>
          <w14:textFill>
            <w14:solidFill>
              <w14:schemeClr w14:val="tx1"/>
            </w14:solidFill>
          </w14:textFill>
        </w:rPr>
        <w:t>.2 响应文件存在“评审办法”中所列任一否决</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情形的，均属于存在重大偏差</w:t>
      </w:r>
      <w:r>
        <w:rPr>
          <w:rFonts w:hint="eastAsia" w:ascii="Times New Roman" w:hAnsi="Times New Roman" w:cs="Times New Roman"/>
          <w:color w:val="000000" w:themeColor="text1"/>
          <w:highlight w:val="none"/>
          <w14:textFill>
            <w14:solidFill>
              <w14:schemeClr w14:val="tx1"/>
            </w14:solidFill>
          </w14:textFill>
        </w:rPr>
        <w:t>，响应文件将被否决</w:t>
      </w:r>
      <w:r>
        <w:rPr>
          <w:rFonts w:ascii="Times New Roman" w:hAnsi="Times New Roman" w:cs="Times New Roman"/>
          <w:color w:val="000000" w:themeColor="text1"/>
          <w:highlight w:val="none"/>
          <w14:textFill>
            <w14:solidFill>
              <w14:schemeClr w14:val="tx1"/>
            </w14:solidFill>
          </w14:textFill>
        </w:rPr>
        <w:t>。</w:t>
      </w:r>
    </w:p>
    <w:p w14:paraId="0A4E3786">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 询比文件</w:t>
      </w:r>
    </w:p>
    <w:p w14:paraId="6B8D058C">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2.1 询比文件的组成</w:t>
      </w:r>
    </w:p>
    <w:p w14:paraId="459FA22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本询比文件包括：</w:t>
      </w:r>
    </w:p>
    <w:p w14:paraId="72491CED">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采购公告</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1A876D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（2）供应商须知；</w:t>
      </w:r>
    </w:p>
    <w:p w14:paraId="34D2404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（3）评审办法；</w:t>
      </w:r>
    </w:p>
    <w:p w14:paraId="5653FBF4">
      <w:pPr>
        <w:spacing w:line="440" w:lineRule="exact"/>
        <w:ind w:firstLine="420"/>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（4）合同内容</w:t>
      </w:r>
      <w:r>
        <w:rPr>
          <w:rFonts w:hint="eastAsia" w:ascii="Times New Roman" w:hAnsi="Times New Roman" w:eastAsia="宋体" w:cs="Times New Roman"/>
          <w:color w:val="000000" w:themeColor="text1"/>
          <w:highlight w:val="none"/>
          <w:lang w:eastAsia="zh-CN"/>
          <w14:textFill>
            <w14:solidFill>
              <w14:schemeClr w14:val="tx1"/>
            </w14:solidFill>
          </w14:textFill>
        </w:rPr>
        <w:t>；</w:t>
      </w:r>
    </w:p>
    <w:p w14:paraId="1405627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供货要求</w:t>
      </w:r>
      <w:r>
        <w:rPr>
          <w:rFonts w:ascii="Times New Roman" w:hAnsi="Times New Roman" w:cs="Times New Roman"/>
          <w:color w:val="000000" w:themeColor="text1"/>
          <w:highlight w:val="none"/>
          <w14:textFill>
            <w14:solidFill>
              <w14:schemeClr w14:val="tx1"/>
            </w14:solidFill>
          </w14:textFill>
        </w:rPr>
        <w:t>；</w:t>
      </w:r>
    </w:p>
    <w:p w14:paraId="5673F0D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）采购需求及清单；</w:t>
      </w:r>
    </w:p>
    <w:p w14:paraId="2ACE918C">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7</w:t>
      </w:r>
      <w:r>
        <w:rPr>
          <w:rFonts w:ascii="Times New Roman" w:hAnsi="Times New Roman" w:cs="Times New Roman"/>
          <w:color w:val="000000" w:themeColor="text1"/>
          <w:highlight w:val="none"/>
          <w14:textFill>
            <w14:solidFill>
              <w14:schemeClr w14:val="tx1"/>
            </w14:solidFill>
          </w14:textFill>
        </w:rPr>
        <w:t>）响应文件格式</w:t>
      </w:r>
      <w:r>
        <w:rPr>
          <w:rFonts w:hint="eastAsia" w:ascii="Times New Roman" w:hAnsi="Times New Roman" w:cs="Times New Roman"/>
          <w:color w:val="000000" w:themeColor="text1"/>
          <w:highlight w:val="none"/>
          <w14:textFill>
            <w14:solidFill>
              <w14:schemeClr w14:val="tx1"/>
            </w14:solidFill>
          </w14:textFill>
        </w:rPr>
        <w:t>。</w:t>
      </w:r>
    </w:p>
    <w:p w14:paraId="4D3C148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根据本章对询比文件所作的澄清、修改，构成询比文件的组成部分。</w:t>
      </w:r>
    </w:p>
    <w:p w14:paraId="0EEC05B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2.2 询比文件的澄清</w:t>
      </w:r>
      <w:r>
        <w:rPr>
          <w:rFonts w:hint="eastAsia" w:ascii="Times New Roman" w:hAnsi="Times New Roman" w:eastAsia="黑体" w:cs="Times New Roman"/>
          <w:bCs/>
          <w:color w:val="000000" w:themeColor="text1"/>
          <w:sz w:val="24"/>
          <w:szCs w:val="32"/>
          <w:highlight w:val="none"/>
          <w14:textFill>
            <w14:solidFill>
              <w14:schemeClr w14:val="tx1"/>
            </w14:solidFill>
          </w14:textFill>
        </w:rPr>
        <w:t>与修改</w:t>
      </w:r>
    </w:p>
    <w:p w14:paraId="7D1E9CF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供应商如有疑问，应在递交</w:t>
      </w:r>
      <w:r>
        <w:rPr>
          <w:rFonts w:hint="eastAsia" w:ascii="Times New Roman" w:hAnsi="Times New Roman" w:cs="Times New Roman"/>
          <w:color w:val="000000" w:themeColor="text1"/>
          <w:highlight w:val="none"/>
          <w14:textFill>
            <w14:solidFill>
              <w14:schemeClr w14:val="tx1"/>
            </w14:solidFill>
          </w14:textFill>
        </w:rPr>
        <w:t>响应</w:t>
      </w:r>
      <w:r>
        <w:rPr>
          <w:rFonts w:ascii="Times New Roman" w:hAnsi="Times New Roman" w:cs="Times New Roman"/>
          <w:color w:val="000000" w:themeColor="text1"/>
          <w:highlight w:val="none"/>
          <w14:textFill>
            <w14:solidFill>
              <w14:schemeClr w14:val="tx1"/>
            </w14:solidFill>
          </w14:textFill>
        </w:rPr>
        <w:t>文件的截止时间</w:t>
      </w:r>
      <w:r>
        <w:rPr>
          <w:rFonts w:hint="eastAsia" w:ascii="Times New Roman" w:hAnsi="Times New Roman" w:cs="Times New Roman"/>
          <w:color w:val="000000" w:themeColor="text1"/>
          <w:highlight w:val="none"/>
          <w14:textFill>
            <w14:solidFill>
              <w14:schemeClr w14:val="tx1"/>
            </w14:solidFill>
          </w14:textFill>
        </w:rPr>
        <w:t>前3日</w:t>
      </w:r>
      <w:r>
        <w:rPr>
          <w:rFonts w:hint="eastAsia" w:ascii="Times New Roman" w:hAnsi="Times New Roman" w:cs="Times New Roman"/>
          <w:color w:val="000000" w:themeColor="text1"/>
          <w:highlight w:val="none"/>
          <w:lang w:val="en-US" w:eastAsia="zh-CN"/>
          <w14:textFill>
            <w14:solidFill>
              <w14:schemeClr w14:val="tx1"/>
            </w14:solidFill>
          </w14:textFill>
        </w:rPr>
        <w:t>内</w:t>
      </w:r>
      <w:r>
        <w:rPr>
          <w:rFonts w:hint="eastAsia" w:ascii="Times New Roman" w:hAnsi="Times New Roman" w:cs="Times New Roman"/>
          <w:color w:val="000000" w:themeColor="text1"/>
          <w:highlight w:val="none"/>
          <w14:textFill>
            <w14:solidFill>
              <w14:schemeClr w14:val="tx1"/>
            </w14:solidFill>
          </w14:textFill>
        </w:rPr>
        <w:t>通过</w:t>
      </w:r>
      <w:r>
        <w:rPr>
          <w:rFonts w:hint="eastAsia" w:ascii="Times New Roman" w:hAnsi="Times New Roman" w:cs="Times New Roman"/>
          <w:color w:val="000000" w:themeColor="text1"/>
          <w:highlight w:val="none"/>
          <w:lang w:val="en-US" w:eastAsia="zh-CN"/>
          <w14:textFill>
            <w14:solidFill>
              <w14:schemeClr w14:val="tx1"/>
            </w14:solidFill>
          </w14:textFill>
        </w:rPr>
        <w:t>公告中的联系方式联系采购人</w:t>
      </w:r>
      <w:r>
        <w:rPr>
          <w:rFonts w:ascii="Times New Roman" w:hAnsi="Times New Roman" w:cs="Times New Roman"/>
          <w:color w:val="000000" w:themeColor="text1"/>
          <w:highlight w:val="none"/>
          <w14:textFill>
            <w14:solidFill>
              <w14:schemeClr w14:val="tx1"/>
            </w14:solidFill>
          </w14:textFill>
        </w:rPr>
        <w:t>对询比文件予以澄清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w:t>
      </w:r>
    </w:p>
    <w:p w14:paraId="4F4B5C2A">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2.2.</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 xml:space="preserve"> 除非采购人认为确有必要答复，否则，采购人有权拒绝回复供应商在本章第2.2.1项规定的时间后提出的任何澄清</w:t>
      </w:r>
      <w:r>
        <w:rPr>
          <w:rFonts w:hint="eastAsia" w:ascii="Times New Roman" w:hAnsi="Times New Roman" w:cs="Times New Roman"/>
          <w:color w:val="000000" w:themeColor="text1"/>
          <w:highlight w:val="none"/>
          <w14:textFill>
            <w14:solidFill>
              <w14:schemeClr w14:val="tx1"/>
            </w14:solidFill>
          </w14:textFill>
        </w:rPr>
        <w:t>或修改</w:t>
      </w:r>
      <w:r>
        <w:rPr>
          <w:rFonts w:ascii="Times New Roman" w:hAnsi="Times New Roman" w:cs="Times New Roman"/>
          <w:color w:val="000000" w:themeColor="text1"/>
          <w:highlight w:val="none"/>
          <w14:textFill>
            <w14:solidFill>
              <w14:schemeClr w14:val="tx1"/>
            </w14:solidFill>
          </w14:textFill>
        </w:rPr>
        <w:t>要求。</w:t>
      </w:r>
    </w:p>
    <w:p w14:paraId="4812FE20">
      <w:pPr>
        <w:keepNext/>
        <w:keepLines/>
        <w:spacing w:before="156" w:beforeLines="50" w:after="156" w:afterLines="50"/>
        <w:outlineLvl w:val="1"/>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 响应文件</w:t>
      </w:r>
    </w:p>
    <w:p w14:paraId="06236155">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3.1响应文件的组成</w:t>
      </w:r>
    </w:p>
    <w:p w14:paraId="3B8667E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响应文件应包括下列内容：</w:t>
      </w:r>
    </w:p>
    <w:p w14:paraId="3A53D988">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商务技术文件应包括下列内容：</w:t>
      </w:r>
    </w:p>
    <w:p w14:paraId="71EC1205">
      <w:pPr>
        <w:spacing w:line="440" w:lineRule="exact"/>
        <w:ind w:firstLine="42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响应函；</w:t>
      </w:r>
    </w:p>
    <w:p w14:paraId="6B5CBC33">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）法定代表人身份证明及授权委托书；</w:t>
      </w:r>
    </w:p>
    <w:p w14:paraId="58031DBA">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）供应商基本情况；</w:t>
      </w:r>
    </w:p>
    <w:p w14:paraId="3CB294D4">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）近年类似业绩情况；</w:t>
      </w:r>
    </w:p>
    <w:p w14:paraId="47C953A1">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）信誉情况；</w:t>
      </w:r>
    </w:p>
    <w:p w14:paraId="4B6C2BFB">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企业实力</w:t>
      </w:r>
      <w:r>
        <w:rPr>
          <w:rFonts w:hint="eastAsia" w:ascii="宋体" w:hAnsi="宋体" w:eastAsia="宋体" w:cs="宋体"/>
          <w:color w:val="000000" w:themeColor="text1"/>
          <w:highlight w:val="none"/>
          <w14:textFill>
            <w14:solidFill>
              <w14:schemeClr w14:val="tx1"/>
            </w14:solidFill>
          </w14:textFill>
        </w:rPr>
        <w:t>；</w:t>
      </w:r>
    </w:p>
    <w:p w14:paraId="60BB8235">
      <w:pPr>
        <w:spacing w:line="440" w:lineRule="exac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生产体系认证；</w:t>
      </w:r>
    </w:p>
    <w:p w14:paraId="623BF354">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）供货方案</w:t>
      </w:r>
      <w:r>
        <w:rPr>
          <w:rFonts w:hint="eastAsia" w:ascii="宋体" w:hAnsi="宋体" w:eastAsia="宋体" w:cs="宋体"/>
          <w:color w:val="000000" w:themeColor="text1"/>
          <w:highlight w:val="none"/>
          <w:lang w:eastAsia="zh-CN"/>
          <w14:textFill>
            <w14:solidFill>
              <w14:schemeClr w14:val="tx1"/>
            </w14:solidFill>
          </w14:textFill>
        </w:rPr>
        <w:t>；</w:t>
      </w:r>
    </w:p>
    <w:p w14:paraId="26AACF9D">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）售后服务方案</w:t>
      </w:r>
      <w:r>
        <w:rPr>
          <w:rFonts w:hint="eastAsia" w:ascii="宋体" w:hAnsi="宋体" w:eastAsia="宋体" w:cs="宋体"/>
          <w:color w:val="000000" w:themeColor="text1"/>
          <w:highlight w:val="none"/>
          <w:lang w:eastAsia="zh-CN"/>
          <w14:textFill>
            <w14:solidFill>
              <w14:schemeClr w14:val="tx1"/>
            </w14:solidFill>
          </w14:textFill>
        </w:rPr>
        <w:t>；</w:t>
      </w:r>
    </w:p>
    <w:p w14:paraId="2FE62E28">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承诺书</w:t>
      </w:r>
      <w:r>
        <w:rPr>
          <w:rFonts w:hint="eastAsia" w:ascii="宋体" w:hAnsi="宋体" w:eastAsia="宋体" w:cs="宋体"/>
          <w:color w:val="000000" w:themeColor="text1"/>
          <w:highlight w:val="none"/>
          <w:lang w:eastAsia="zh-CN"/>
          <w14:textFill>
            <w14:solidFill>
              <w14:schemeClr w14:val="tx1"/>
            </w14:solidFill>
          </w14:textFill>
        </w:rPr>
        <w:t>；</w:t>
      </w:r>
    </w:p>
    <w:p w14:paraId="0593F931">
      <w:pPr>
        <w:spacing w:line="44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其他材料。</w:t>
      </w:r>
    </w:p>
    <w:p w14:paraId="6E291C06">
      <w:pPr>
        <w:spacing w:line="440" w:lineRule="exact"/>
        <w:ind w:firstLine="42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报价文件包括以下内容：</w:t>
      </w:r>
    </w:p>
    <w:p w14:paraId="1E28237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响应函</w:t>
      </w:r>
      <w:r>
        <w:rPr>
          <w:rFonts w:hint="eastAsia" w:ascii="宋体" w:hAnsi="宋体" w:eastAsia="宋体" w:cs="宋体"/>
          <w:color w:val="000000" w:themeColor="text1"/>
          <w:highlight w:val="none"/>
          <w14:textFill>
            <w14:solidFill>
              <w14:schemeClr w14:val="tx1"/>
            </w14:solidFill>
          </w14:textFill>
        </w:rPr>
        <w:t>；</w:t>
      </w:r>
    </w:p>
    <w:p w14:paraId="6D123A2F">
      <w:pPr>
        <w:spacing w:line="440" w:lineRule="exact"/>
        <w:ind w:firstLine="4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已标价的工程量清单</w:t>
      </w:r>
      <w:r>
        <w:rPr>
          <w:rFonts w:hint="eastAsia" w:ascii="宋体" w:hAnsi="宋体" w:eastAsia="宋体" w:cs="宋体"/>
          <w:color w:val="000000" w:themeColor="text1"/>
          <w:highlight w:val="none"/>
          <w14:textFill>
            <w14:solidFill>
              <w14:schemeClr w14:val="tx1"/>
            </w14:solidFill>
          </w14:textFill>
        </w:rPr>
        <w:t>；</w:t>
      </w:r>
    </w:p>
    <w:p w14:paraId="625EE505">
      <w:pPr>
        <w:spacing w:line="440" w:lineRule="exact"/>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响应报价需要说明的其他资料。（如有）</w:t>
      </w:r>
    </w:p>
    <w:p w14:paraId="483DBC9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 xml:space="preserve">3.2 报价要求 </w:t>
      </w:r>
    </w:p>
    <w:p w14:paraId="10975D6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3.2.1 报价应包括国家规定的增值税税金。</w:t>
      </w:r>
    </w:p>
    <w:p w14:paraId="371123B0">
      <w:pPr>
        <w:spacing w:line="440" w:lineRule="exact"/>
        <w:ind w:firstLine="420"/>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3.2.2 </w:t>
      </w:r>
      <w:r>
        <w:rPr>
          <w:rFonts w:ascii="Times New Roman" w:hAnsi="Times New Roman" w:cs="Times New Roman"/>
          <w:color w:val="000000" w:themeColor="text1"/>
          <w:highlight w:val="none"/>
          <w14:textFill>
            <w14:solidFill>
              <w14:schemeClr w14:val="tx1"/>
            </w14:solidFill>
          </w14:textFill>
        </w:rPr>
        <w:t>供应商应按第六章“响应文件格式”的要求在报价函中进行报价并填写工程量清单相应表格</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087A9C7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3</w:t>
      </w:r>
      <w:r>
        <w:rPr>
          <w:rFonts w:ascii="Times New Roman" w:hAnsi="Times New Roman" w:cs="Times New Roman"/>
          <w:color w:val="000000" w:themeColor="text1"/>
          <w:highlight w:val="none"/>
          <w14:textFill>
            <w14:solidFill>
              <w14:schemeClr w14:val="tx1"/>
            </w14:solidFill>
          </w14:textFill>
        </w:rPr>
        <w:t xml:space="preserve"> 采购人设有最高限价的，供应商的报价不得超过最高限价，</w:t>
      </w:r>
      <w:r>
        <w:rPr>
          <w:rFonts w:hint="eastAsia" w:ascii="Times New Roman" w:hAnsi="Times New Roman" w:cs="Times New Roman"/>
          <w:color w:val="000000" w:themeColor="text1"/>
          <w:highlight w:val="none"/>
          <w14:textFill>
            <w14:solidFill>
              <w14:schemeClr w14:val="tx1"/>
            </w14:solidFill>
          </w14:textFill>
        </w:rPr>
        <w:t>否则其报价将被否决，</w:t>
      </w:r>
      <w:r>
        <w:rPr>
          <w:rFonts w:ascii="Times New Roman" w:hAnsi="Times New Roman" w:cs="Times New Roman"/>
          <w:color w:val="000000" w:themeColor="text1"/>
          <w:highlight w:val="none"/>
          <w14:textFill>
            <w14:solidFill>
              <w14:schemeClr w14:val="tx1"/>
            </w14:solidFill>
          </w14:textFill>
        </w:rPr>
        <w:t>最高限价</w:t>
      </w:r>
      <w:r>
        <w:rPr>
          <w:rFonts w:hint="eastAsia" w:ascii="Times New Roman" w:hAnsi="Times New Roman" w:cs="Times New Roman"/>
          <w:color w:val="000000" w:themeColor="text1"/>
          <w:highlight w:val="none"/>
          <w14:textFill>
            <w14:solidFill>
              <w14:schemeClr w14:val="tx1"/>
            </w14:solidFill>
          </w14:textFill>
        </w:rPr>
        <w:t>见第一章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p>
    <w:p w14:paraId="56ABAAD1">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3.2.4</w:t>
      </w:r>
      <w:r>
        <w:rPr>
          <w:rFonts w:ascii="Times New Roman" w:hAnsi="Times New Roman" w:cs="Times New Roman"/>
          <w:color w:val="000000" w:themeColor="text1"/>
          <w:highlight w:val="none"/>
          <w14:textFill>
            <w14:solidFill>
              <w14:schemeClr w14:val="tx1"/>
            </w14:solidFill>
          </w14:textFill>
        </w:rPr>
        <w:t>本项目的报价方式</w:t>
      </w:r>
      <w:r>
        <w:rPr>
          <w:rFonts w:hint="eastAsia" w:ascii="Times New Roman" w:hAnsi="Times New Roman" w:cs="Times New Roman"/>
          <w:color w:val="000000" w:themeColor="text1"/>
          <w:highlight w:val="none"/>
          <w14:textFill>
            <w14:solidFill>
              <w14:schemeClr w14:val="tx1"/>
            </w14:solidFill>
          </w14:textFill>
        </w:rPr>
        <w:t>为</w:t>
      </w:r>
      <w:r>
        <w:rPr>
          <w:rFonts w:hint="eastAsia" w:ascii="Times New Roman" w:hAnsi="Times New Roman" w:cs="Times New Roman"/>
          <w:color w:val="000000" w:themeColor="text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6623A5B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3.2.</w:t>
      </w:r>
      <w:r>
        <w:rPr>
          <w:rFonts w:hint="eastAsia" w:ascii="Times New Roman" w:hAnsi="Times New Roman" w:cs="Times New Roman"/>
          <w:color w:val="000000" w:themeColor="text1"/>
          <w:highlight w:val="none"/>
          <w14:textFill>
            <w14:solidFill>
              <w14:schemeClr w14:val="tx1"/>
            </w14:solidFill>
          </w14:textFill>
        </w:rPr>
        <w:t>5</w:t>
      </w:r>
      <w:r>
        <w:rPr>
          <w:rFonts w:ascii="Times New Roman" w:hAnsi="Times New Roman" w:cs="Times New Roman"/>
          <w:color w:val="000000" w:themeColor="text1"/>
          <w:highlight w:val="none"/>
          <w14:textFill>
            <w14:solidFill>
              <w14:schemeClr w14:val="tx1"/>
            </w14:solidFill>
          </w14:textFill>
        </w:rPr>
        <w:t xml:space="preserve"> 报价的其他要求</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u w:val="single"/>
          <w14:textFill>
            <w14:solidFill>
              <w14:schemeClr w14:val="tx1"/>
            </w14:solidFill>
          </w14:textFill>
        </w:rPr>
        <w:t>见供应商须知前附表</w:t>
      </w:r>
      <w:r>
        <w:rPr>
          <w:rFonts w:ascii="Times New Roman" w:hAnsi="Times New Roman" w:cs="Times New Roman"/>
          <w:color w:val="000000" w:themeColor="text1"/>
          <w:highlight w:val="none"/>
          <w14:textFill>
            <w14:solidFill>
              <w14:schemeClr w14:val="tx1"/>
            </w14:solidFill>
          </w14:textFill>
        </w:rPr>
        <w:t>。</w:t>
      </w:r>
    </w:p>
    <w:p w14:paraId="4CB7B67E">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3.3响应有效期</w:t>
      </w:r>
    </w:p>
    <w:p w14:paraId="52862C95">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3.3.1 响应有效期为</w:t>
      </w:r>
      <w:r>
        <w:rPr>
          <w:rFonts w:ascii="Times New Roman" w:hAnsi="Times New Roman" w:eastAsia="宋体" w:cs="Times New Roman"/>
          <w:color w:val="000000" w:themeColor="text1"/>
          <w:szCs w:val="21"/>
          <w:highlight w:val="none"/>
          <w14:textFill>
            <w14:solidFill>
              <w14:schemeClr w14:val="tx1"/>
            </w14:solidFill>
          </w14:textFill>
        </w:rPr>
        <w:t>自供应商递交响应文件截止之日起计算</w:t>
      </w:r>
      <w:r>
        <w:rPr>
          <w:rFonts w:hint="eastAsia" w:ascii="Times New Roman" w:hAnsi="Times New Roman" w:eastAsia="宋体" w:cs="Times New Roman"/>
          <w:color w:val="000000" w:themeColor="text1"/>
          <w:szCs w:val="21"/>
          <w:highlight w:val="none"/>
          <w14:textFill>
            <w14:solidFill>
              <w14:schemeClr w14:val="tx1"/>
            </w14:solidFill>
          </w14:textFill>
        </w:rPr>
        <w:t>9</w:t>
      </w:r>
      <w:r>
        <w:rPr>
          <w:rFonts w:ascii="Times New Roman" w:hAnsi="Times New Roman" w:eastAsia="宋体" w:cs="Times New Roman"/>
          <w:color w:val="000000" w:themeColor="text1"/>
          <w:szCs w:val="21"/>
          <w:highlight w:val="none"/>
          <w14:textFill>
            <w14:solidFill>
              <w14:schemeClr w14:val="tx1"/>
            </w14:solidFill>
          </w14:textFill>
        </w:rPr>
        <w:t>0</w:t>
      </w:r>
      <w:r>
        <w:rPr>
          <w:rFonts w:ascii="Times New Roman" w:hAnsi="Times New Roman" w:cs="Times New Roman"/>
          <w:color w:val="000000" w:themeColor="text1"/>
          <w:highlight w:val="none"/>
          <w14:textFill>
            <w14:solidFill>
              <w14:schemeClr w14:val="tx1"/>
            </w14:solidFill>
          </w14:textFill>
        </w:rPr>
        <w:t>日。</w:t>
      </w:r>
    </w:p>
    <w:p w14:paraId="51F4431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3.4响应保证金</w:t>
      </w:r>
    </w:p>
    <w:p w14:paraId="078C90F4">
      <w:pPr>
        <w:spacing w:line="440" w:lineRule="exact"/>
        <w:ind w:firstLine="420"/>
        <w:rPr>
          <w:rFonts w:ascii="Times New Roman" w:hAnsi="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3.4.1 供应商在递交响应文件的同时，应按</w:t>
      </w:r>
      <w:r>
        <w:rPr>
          <w:rFonts w:hint="eastAsia" w:ascii="Times New Roman" w:hAnsi="Times New Roman" w:cs="Times New Roman"/>
          <w:color w:val="000000" w:themeColor="text1"/>
          <w:highlight w:val="none"/>
          <w14:textFill>
            <w14:solidFill>
              <w14:schemeClr w14:val="tx1"/>
            </w14:solidFill>
          </w14:textFill>
        </w:rPr>
        <w:t>第一章</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采购公告</w:t>
      </w:r>
      <w:r>
        <w:rPr>
          <w:rFonts w:ascii="Times New Roman" w:hAnsi="Times New Roman" w:cs="Times New Roman"/>
          <w:color w:val="000000" w:themeColor="text1"/>
          <w:szCs w:val="21"/>
          <w:highlight w:val="none"/>
          <w14:textFill>
            <w14:solidFill>
              <w14:schemeClr w14:val="tx1"/>
            </w14:solidFill>
          </w14:textFill>
        </w:rPr>
        <w:t>/</w:t>
      </w:r>
      <w:r>
        <w:rPr>
          <w:rFonts w:hint="eastAsia" w:ascii="Times New Roman" w:hAnsi="Times New Roman" w:cs="Times New Roman"/>
          <w:color w:val="000000" w:themeColor="text1"/>
          <w:szCs w:val="21"/>
          <w:highlight w:val="none"/>
          <w14:textFill>
            <w14:solidFill>
              <w14:schemeClr w14:val="tx1"/>
            </w14:solidFill>
          </w14:textFill>
        </w:rPr>
        <w:t>采购邀请书</w:t>
      </w:r>
      <w:r>
        <w:rPr>
          <w:rFonts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的要求</w:t>
      </w:r>
      <w:r>
        <w:rPr>
          <w:rFonts w:ascii="Times New Roman" w:hAnsi="Times New Roman" w:cs="Times New Roman"/>
          <w:color w:val="000000" w:themeColor="text1"/>
          <w:highlight w:val="none"/>
          <w14:textFill>
            <w14:solidFill>
              <w14:schemeClr w14:val="tx1"/>
            </w14:solidFill>
          </w14:textFill>
        </w:rPr>
        <w:t>递交响应保证金，并作为其响应文件的组成部分。</w:t>
      </w:r>
    </w:p>
    <w:p w14:paraId="79CBA47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无论采取何种形式的响应保证金，响应保证金有效期均应与响应有效期一致。</w:t>
      </w:r>
    </w:p>
    <w:p w14:paraId="522DB684">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3.4.2 供应商不按本章第3.4.1项要求提交响应保证金的，</w:t>
      </w:r>
      <w:r>
        <w:rPr>
          <w:rFonts w:hint="eastAsia" w:ascii="Times New Roman" w:hAnsi="Times New Roman" w:cs="Times New Roman"/>
          <w:color w:val="000000" w:themeColor="text1"/>
          <w:highlight w:val="none"/>
          <w14:textFill>
            <w14:solidFill>
              <w14:schemeClr w14:val="tx1"/>
            </w14:solidFill>
          </w14:textFill>
        </w:rPr>
        <w:t>评审小组</w:t>
      </w:r>
      <w:r>
        <w:rPr>
          <w:rFonts w:ascii="Times New Roman" w:hAnsi="Times New Roman" w:cs="Times New Roman"/>
          <w:color w:val="000000" w:themeColor="text1"/>
          <w:highlight w:val="none"/>
          <w14:textFill>
            <w14:solidFill>
              <w14:schemeClr w14:val="tx1"/>
            </w14:solidFill>
          </w14:textFill>
        </w:rPr>
        <w:t>将否决其</w:t>
      </w:r>
      <w:r>
        <w:rPr>
          <w:rFonts w:hint="eastAsia" w:ascii="Times New Roman" w:hAnsi="Times New Roman" w:cs="Times New Roman"/>
          <w:color w:val="000000" w:themeColor="text1"/>
          <w:highlight w:val="none"/>
          <w14:textFill>
            <w14:solidFill>
              <w14:schemeClr w14:val="tx1"/>
            </w14:solidFill>
          </w14:textFill>
        </w:rPr>
        <w:t>响应文件</w:t>
      </w:r>
      <w:r>
        <w:rPr>
          <w:rFonts w:ascii="Times New Roman" w:hAnsi="Times New Roman" w:cs="Times New Roman"/>
          <w:color w:val="000000" w:themeColor="text1"/>
          <w:highlight w:val="none"/>
          <w14:textFill>
            <w14:solidFill>
              <w14:schemeClr w14:val="tx1"/>
            </w14:solidFill>
          </w14:textFill>
        </w:rPr>
        <w:t>。</w:t>
      </w:r>
    </w:p>
    <w:p w14:paraId="572C7A2A">
      <w:pPr>
        <w:spacing w:line="440" w:lineRule="exact"/>
        <w:ind w:firstLine="420"/>
        <w:rPr>
          <w:rFonts w:ascii="Times New Roman" w:hAnsi="Times New Roman" w:cs="Times New Roman"/>
          <w:color w:val="000000" w:themeColor="text1"/>
          <w:highlight w:val="yellow"/>
          <w14:textFill>
            <w14:solidFill>
              <w14:schemeClr w14:val="tx1"/>
            </w14:solidFill>
          </w14:textFill>
        </w:rPr>
      </w:pPr>
      <w:r>
        <w:rPr>
          <w:rFonts w:ascii="Times New Roman" w:hAnsi="Times New Roman" w:cs="Times New Roman"/>
          <w:color w:val="000000" w:themeColor="text1"/>
          <w:highlight w:val="yellow"/>
          <w14:textFill>
            <w14:solidFill>
              <w14:schemeClr w14:val="tx1"/>
            </w14:solidFill>
          </w14:textFill>
        </w:rPr>
        <w:t>3.4.3 采购人在与成交人签订合同后5日内</w:t>
      </w:r>
      <w:r>
        <w:rPr>
          <w:rFonts w:hint="eastAsia" w:ascii="Times New Roman" w:hAnsi="Times New Roman" w:cs="Times New Roman"/>
          <w:color w:val="000000" w:themeColor="text1"/>
          <w:highlight w:val="yellow"/>
          <w:lang w:val="en-US" w:eastAsia="zh-CN"/>
          <w14:textFill>
            <w14:solidFill>
              <w14:schemeClr w14:val="tx1"/>
            </w14:solidFill>
          </w14:textFill>
        </w:rPr>
        <w:t>向投标人办理</w:t>
      </w:r>
      <w:r>
        <w:rPr>
          <w:rFonts w:ascii="Times New Roman" w:hAnsi="Times New Roman" w:cs="Times New Roman"/>
          <w:color w:val="000000" w:themeColor="text1"/>
          <w:highlight w:val="yellow"/>
          <w14:textFill>
            <w14:solidFill>
              <w14:schemeClr w14:val="tx1"/>
            </w14:solidFill>
          </w14:textFill>
        </w:rPr>
        <w:t>退还响应保证金手续。</w:t>
      </w:r>
    </w:p>
    <w:p w14:paraId="5FCC4612">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3.4.4 有下列情形之一的，响应保证金将不予退还：</w:t>
      </w:r>
    </w:p>
    <w:p w14:paraId="695F4B00">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（1）供应商在规定的响应有效期内撤销其响应文件；</w:t>
      </w:r>
    </w:p>
    <w:p w14:paraId="0C6EA527">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szCs w:val="21"/>
          <w:highlight w:val="none"/>
          <w14:textFill>
            <w14:solidFill>
              <w14:schemeClr w14:val="tx1"/>
            </w14:solidFill>
          </w14:textFill>
        </w:rPr>
        <w:t>供应商须知前附表规定的</w:t>
      </w:r>
      <w:r>
        <w:rPr>
          <w:rFonts w:ascii="Times New Roman" w:hAnsi="Times New Roman" w:cs="Times New Roman"/>
          <w:color w:val="000000" w:themeColor="text1"/>
          <w:szCs w:val="21"/>
          <w:highlight w:val="none"/>
          <w14:textFill>
            <w14:solidFill>
              <w14:schemeClr w14:val="tx1"/>
            </w14:solidFill>
          </w14:textFill>
        </w:rPr>
        <w:t>其他情形</w:t>
      </w:r>
      <w:r>
        <w:rPr>
          <w:rFonts w:ascii="Times New Roman" w:hAnsi="Times New Roman" w:cs="Times New Roman"/>
          <w:color w:val="000000" w:themeColor="text1"/>
          <w:highlight w:val="none"/>
          <w14:textFill>
            <w14:solidFill>
              <w14:schemeClr w14:val="tx1"/>
            </w14:solidFill>
          </w14:textFill>
        </w:rPr>
        <w:t>。</w:t>
      </w:r>
    </w:p>
    <w:p w14:paraId="3DF896D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3.5资格审查资料</w:t>
      </w:r>
    </w:p>
    <w:p w14:paraId="1857BB49">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供应商应按“响应文件格式”</w:t>
      </w:r>
      <w:r>
        <w:rPr>
          <w:rFonts w:hint="eastAsia" w:ascii="Times New Roman" w:hAnsi="Times New Roman" w:cs="Times New Roman"/>
          <w:color w:val="000000" w:themeColor="text1"/>
          <w:highlight w:val="none"/>
          <w14:textFill>
            <w14:solidFill>
              <w14:schemeClr w14:val="tx1"/>
            </w14:solidFill>
          </w14:textFill>
        </w:rPr>
        <w:t>的</w:t>
      </w:r>
      <w:r>
        <w:rPr>
          <w:rFonts w:ascii="Times New Roman" w:hAnsi="Times New Roman" w:cs="Times New Roman"/>
          <w:color w:val="000000" w:themeColor="text1"/>
          <w:highlight w:val="none"/>
          <w14:textFill>
            <w14:solidFill>
              <w14:schemeClr w14:val="tx1"/>
            </w14:solidFill>
          </w14:textFill>
        </w:rPr>
        <w:t>规定提供资格审查资料，以证明其满足本章第1.</w:t>
      </w:r>
      <w:r>
        <w:rPr>
          <w:rFonts w:hint="eastAsia" w:ascii="Times New Roman" w:hAnsi="Times New Roman"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款规定的资质、</w:t>
      </w:r>
      <w:r>
        <w:rPr>
          <w:rFonts w:hint="eastAsia" w:ascii="Times New Roman" w:hAnsi="Times New Roman" w:cs="Times New Roman"/>
          <w:color w:val="000000" w:themeColor="text1"/>
          <w:highlight w:val="none"/>
          <w14:textFill>
            <w14:solidFill>
              <w14:schemeClr w14:val="tx1"/>
            </w14:solidFill>
          </w14:textFill>
        </w:rPr>
        <w:t>能力、</w:t>
      </w:r>
      <w:r>
        <w:rPr>
          <w:rFonts w:ascii="Times New Roman" w:hAnsi="Times New Roman" w:cs="Times New Roman"/>
          <w:color w:val="000000" w:themeColor="text1"/>
          <w:highlight w:val="none"/>
          <w14:textFill>
            <w14:solidFill>
              <w14:schemeClr w14:val="tx1"/>
            </w14:solidFill>
          </w14:textFill>
        </w:rPr>
        <w:t>信誉等要求。</w:t>
      </w:r>
    </w:p>
    <w:p w14:paraId="65ECD3E0">
      <w:pPr>
        <w:keepNext/>
        <w:keepLines/>
        <w:spacing w:before="120" w:after="120"/>
        <w:outlineLvl w:val="2"/>
        <w:rPr>
          <w:rFonts w:ascii="Times New Roman" w:hAnsi="Times New Roman" w:eastAsia="黑体" w:cs="Times New Roman"/>
          <w:bCs/>
          <w:color w:val="000000" w:themeColor="text1"/>
          <w:sz w:val="24"/>
          <w:szCs w:val="32"/>
          <w:highlight w:val="none"/>
          <w14:textFill>
            <w14:solidFill>
              <w14:schemeClr w14:val="tx1"/>
            </w14:solidFill>
          </w14:textFill>
        </w:rPr>
      </w:pPr>
      <w:r>
        <w:rPr>
          <w:rFonts w:ascii="Times New Roman" w:hAnsi="Times New Roman" w:eastAsia="黑体" w:cs="Times New Roman"/>
          <w:bCs/>
          <w:color w:val="000000" w:themeColor="text1"/>
          <w:sz w:val="24"/>
          <w:szCs w:val="32"/>
          <w:highlight w:val="none"/>
          <w14:textFill>
            <w14:solidFill>
              <w14:schemeClr w14:val="tx1"/>
            </w14:solidFill>
          </w14:textFill>
        </w:rPr>
        <w:t>3.</w:t>
      </w:r>
      <w:r>
        <w:rPr>
          <w:rFonts w:hint="eastAsia" w:ascii="Times New Roman" w:hAnsi="Times New Roman" w:eastAsia="黑体" w:cs="Times New Roman"/>
          <w:bCs/>
          <w:color w:val="000000" w:themeColor="text1"/>
          <w:sz w:val="24"/>
          <w:szCs w:val="32"/>
          <w:highlight w:val="none"/>
          <w14:textFill>
            <w14:solidFill>
              <w14:schemeClr w14:val="tx1"/>
            </w14:solidFill>
          </w14:textFill>
        </w:rPr>
        <w:t>6</w:t>
      </w:r>
      <w:r>
        <w:rPr>
          <w:rFonts w:ascii="Times New Roman" w:hAnsi="Times New Roman" w:eastAsia="黑体" w:cs="Times New Roman"/>
          <w:bCs/>
          <w:color w:val="000000" w:themeColor="text1"/>
          <w:sz w:val="24"/>
          <w:szCs w:val="32"/>
          <w:highlight w:val="none"/>
          <w14:textFill>
            <w14:solidFill>
              <w14:schemeClr w14:val="tx1"/>
            </w14:solidFill>
          </w14:textFill>
        </w:rPr>
        <w:t>响应文件的编制</w:t>
      </w:r>
    </w:p>
    <w:p w14:paraId="3027999F">
      <w:pPr>
        <w:spacing w:line="440" w:lineRule="exact"/>
        <w:ind w:firstLine="42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14:textFill>
            <w14:solidFill>
              <w14:schemeClr w14:val="tx1"/>
            </w14:solidFill>
          </w14:textFill>
        </w:rPr>
        <w:t>6</w:t>
      </w:r>
      <w:r>
        <w:rPr>
          <w:rFonts w:ascii="Times New Roman" w:hAnsi="Times New Roman" w:cs="Times New Roman"/>
          <w:color w:val="000000" w:themeColor="text1"/>
          <w:highlight w:val="none"/>
          <w14:textFill>
            <w14:solidFill>
              <w14:schemeClr w14:val="tx1"/>
            </w14:solidFill>
          </w14:textFill>
        </w:rPr>
        <w:t>.1</w:t>
      </w:r>
      <w:r>
        <w:rPr>
          <w:rFonts w:hint="eastAsia" w:ascii="Times New Roman" w:hAnsi="Times New Roman" w:cs="Times New Roman"/>
          <w:color w:val="000000" w:themeColor="text1"/>
          <w:highlight w:val="none"/>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numPr>
          <w:ilvl w:val="0"/>
          <w:numId w:val="3"/>
        </w:numPr>
        <w:spacing w:line="440" w:lineRule="exact"/>
        <w:ind w:firstLine="420"/>
        <w:rPr>
          <w:rFonts w:hint="default" w:ascii="Times New Roman" w:hAnsi="Times New Roman" w:cs="Times New Roman"/>
          <w:color w:val="000000" w:themeColor="text1"/>
          <w:highlight w:val="yellow"/>
          <w:lang w:val="en-US" w:eastAsia="zh-CN"/>
          <w14:textFill>
            <w14:solidFill>
              <w14:schemeClr w14:val="tx1"/>
            </w14:solidFill>
          </w14:textFill>
        </w:rPr>
      </w:pPr>
      <w:r>
        <w:rPr>
          <w:rFonts w:ascii="Times New Roman" w:hAnsi="Times New Roman" w:cs="Times New Roman"/>
          <w:color w:val="000000" w:themeColor="text1"/>
          <w:highlight w:val="yellow"/>
          <w14:textFill>
            <w14:solidFill>
              <w14:schemeClr w14:val="tx1"/>
            </w14:solidFill>
          </w14:textFill>
        </w:rPr>
        <w:t>7.4.1</w:t>
      </w:r>
      <w:r>
        <w:rPr>
          <w:rFonts w:hint="eastAsia" w:ascii="宋体" w:hAnsi="宋体" w:cs="宋体"/>
          <w:color w:val="auto"/>
          <w:sz w:val="21"/>
          <w:szCs w:val="21"/>
          <w:highlight w:val="yellow"/>
          <w:lang w:bidi="ar"/>
        </w:rPr>
        <w:t>中标公示后，在合同签订前，乙方需向甲方支付合同总价 10%的履约保证金或提供合同总价 10%的见索即付银行保函。</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10"/>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26656988"/>
      <w:bookmarkStart w:id="48" w:name="_Toc9067727"/>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w:t>
      </w:r>
      <w:r>
        <w:rPr>
          <w:rFonts w:hint="eastAsia" w:ascii="Times New Roman" w:hAnsi="Times New Roman"/>
          <w:color w:val="auto"/>
          <w:sz w:val="21"/>
          <w:szCs w:val="24"/>
          <w:highlight w:val="none"/>
          <w:u w:val="single"/>
        </w:rPr>
        <w:t>/_</w:t>
      </w:r>
      <w:r>
        <w:rPr>
          <w:rFonts w:hint="eastAsia" w:ascii="Times New Roman" w:hAnsi="Times New Roman"/>
          <w:color w:val="auto"/>
          <w:sz w:val="21"/>
          <w:szCs w:val="24"/>
          <w:highlight w:val="none"/>
        </w:rPr>
        <w:t>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9067731"/>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w:t>
      </w:r>
      <w:r>
        <w:rPr>
          <w:rFonts w:hint="eastAsia" w:ascii="Times New Roman" w:hAnsi="Times New Roman"/>
          <w:color w:val="auto"/>
          <w:sz w:val="21"/>
          <w:szCs w:val="24"/>
          <w:highlight w:val="none"/>
          <w:u w:val="single"/>
        </w:rPr>
        <w:t>_/_</w:t>
      </w:r>
      <w:r>
        <w:rPr>
          <w:rFonts w:hint="eastAsia" w:ascii="Times New Roman" w:hAnsi="Times New Roman"/>
          <w:color w:val="auto"/>
          <w:sz w:val="21"/>
          <w:szCs w:val="24"/>
          <w:highlight w:val="none"/>
        </w:rPr>
        <w:t>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3BBEED5F">
      <w:pPr>
        <w:spacing w:line="440" w:lineRule="exact"/>
        <w:ind w:firstLine="420"/>
        <w:rPr>
          <w:rFonts w:hint="eastAsia" w:ascii="Times New Roman" w:hAnsi="Times New Roman"/>
          <w:color w:val="auto"/>
          <w:sz w:val="21"/>
          <w:szCs w:val="24"/>
          <w:highlight w:val="none"/>
        </w:rPr>
      </w:pPr>
    </w:p>
    <w:p w14:paraId="148FEB49">
      <w:pPr>
        <w:spacing w:line="440" w:lineRule="exact"/>
        <w:ind w:firstLine="420"/>
        <w:rPr>
          <w:rFonts w:hint="eastAsia" w:ascii="Times New Roman" w:hAnsi="Times New Roman"/>
          <w:color w:val="auto"/>
          <w:sz w:val="21"/>
          <w:szCs w:val="24"/>
          <w:highlight w:val="none"/>
        </w:rPr>
      </w:pPr>
    </w:p>
    <w:p w14:paraId="2235200D">
      <w:pPr>
        <w:spacing w:line="440" w:lineRule="exact"/>
        <w:ind w:firstLine="420"/>
        <w:rPr>
          <w:rFonts w:hint="eastAsia" w:ascii="Times New Roman" w:hAnsi="Times New Roman"/>
          <w:color w:val="auto"/>
          <w:sz w:val="21"/>
          <w:szCs w:val="24"/>
          <w:highlight w:val="none"/>
        </w:rPr>
      </w:pPr>
    </w:p>
    <w:p w14:paraId="112D5A45">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1090"/>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9"/>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5528"/>
      <w:bookmarkStart w:id="57" w:name="_Toc457482536"/>
      <w:bookmarkStart w:id="58" w:name="_Toc14847"/>
      <w:bookmarkStart w:id="59" w:name="_Toc144974496"/>
      <w:bookmarkStart w:id="60" w:name="_Toc152042304"/>
      <w:bookmarkStart w:id="61" w:name="_Toc447808662"/>
      <w:bookmarkStart w:id="62" w:name="_Toc3834"/>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3"/>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3"/>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10"/>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4"/>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3"/>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yellow"/>
                <w:lang w:val="en-US" w:eastAsia="zh-CN" w:bidi="ar"/>
              </w:rPr>
            </w:pPr>
            <w:r>
              <w:rPr>
                <w:rFonts w:hint="eastAsia" w:asciiTheme="minorEastAsia" w:hAnsiTheme="minorEastAsia" w:cstheme="minorEastAsia"/>
                <w:b/>
                <w:bCs/>
                <w:color w:val="auto"/>
                <w:kern w:val="0"/>
                <w:sz w:val="21"/>
                <w:szCs w:val="21"/>
                <w:highlight w:val="yellow"/>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yellow"/>
                <w:lang w:val="en-US" w:eastAsia="zh-CN" w:bidi="ar"/>
              </w:rPr>
              <w:t>（7）未放置电子版的报价清单（EXCEL版）。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9"/>
        <w:numPr>
          <w:ilvl w:val="0"/>
          <w:numId w:val="0"/>
        </w:numPr>
        <w:spacing w:before="0"/>
        <w:outlineLvl w:val="9"/>
        <w:rPr>
          <w:rFonts w:hint="eastAsia" w:ascii="宋体" w:hAnsi="宋体" w:eastAsia="宋体" w:cs="宋体"/>
          <w:b/>
          <w:bCs/>
          <w:color w:val="auto"/>
          <w:szCs w:val="28"/>
          <w:highlight w:val="none"/>
        </w:rPr>
      </w:pPr>
    </w:p>
    <w:p w14:paraId="0ADDC629">
      <w:pPr>
        <w:pStyle w:val="39"/>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企业业绩：</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5</w:t>
            </w:r>
            <w:r>
              <w:rPr>
                <w:rFonts w:hint="eastAsia" w:ascii="宋体" w:hAnsi="宋体" w:cs="宋体"/>
                <w:color w:val="000000" w:themeColor="text1"/>
                <w:sz w:val="21"/>
                <w:szCs w:val="24"/>
                <w:highlight w:val="none"/>
                <w:u w:val="single"/>
                <w14:textFill>
                  <w14:solidFill>
                    <w14:schemeClr w14:val="tx1"/>
                  </w14:solidFill>
                </w14:textFill>
              </w:rPr>
              <w:t xml:space="preserve">0  </w:t>
            </w:r>
            <w:r>
              <w:rPr>
                <w:rFonts w:hint="eastAsia" w:ascii="宋体" w:hAnsi="宋体" w:cs="宋体"/>
                <w:color w:val="000000" w:themeColor="text1"/>
                <w:sz w:val="21"/>
                <w:szCs w:val="24"/>
                <w:highlight w:val="none"/>
                <w14:textFill>
                  <w14:solidFill>
                    <w14:schemeClr w14:val="tx1"/>
                  </w14:solidFill>
                </w14:textFill>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企业实力：</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u w:val="single"/>
                <w:lang w:val="en-US" w:eastAsia="zh-CN"/>
                <w14:textFill>
                  <w14:solidFill>
                    <w14:schemeClr w14:val="tx1"/>
                  </w14:solidFill>
                </w14:textFill>
              </w:rPr>
              <w:t>24</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生产体系认证：</w:t>
            </w:r>
            <w:r>
              <w:rPr>
                <w:rFonts w:hint="eastAsia" w:ascii="宋体" w:hAnsi="宋体" w:cs="宋体"/>
                <w:color w:val="000000" w:themeColor="text1"/>
                <w:sz w:val="21"/>
                <w:szCs w:val="24"/>
                <w:highlight w:val="none"/>
                <w:u w:val="single"/>
                <w14:textFill>
                  <w14:solidFill>
                    <w14:schemeClr w14:val="tx1"/>
                  </w14:solidFill>
                </w14:textFill>
              </w:rPr>
              <w:t xml:space="preserve">  6  </w:t>
            </w:r>
            <w:r>
              <w:rPr>
                <w:rFonts w:hint="eastAsia" w:ascii="宋体" w:hAnsi="宋体" w:cs="宋体"/>
                <w:color w:val="000000" w:themeColor="text1"/>
                <w:sz w:val="21"/>
                <w:szCs w:val="24"/>
                <w:highlight w:val="none"/>
                <w14:textFill>
                  <w14:solidFill>
                    <w14:schemeClr w14:val="tx1"/>
                  </w14:solidFill>
                </w14:textFill>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供货方案：</w:t>
            </w:r>
            <w:r>
              <w:rPr>
                <w:rFonts w:hint="eastAsia" w:ascii="宋体" w:hAnsi="宋体" w:cs="宋体"/>
                <w:color w:val="000000" w:themeColor="text1"/>
                <w:sz w:val="21"/>
                <w:szCs w:val="24"/>
                <w:highlight w:val="none"/>
                <w:u w:val="single"/>
                <w14:textFill>
                  <w14:solidFill>
                    <w14:schemeClr w14:val="tx1"/>
                  </w14:solidFill>
                </w14:textFill>
              </w:rPr>
              <w:t xml:space="preserve">  1</w:t>
            </w:r>
            <w:r>
              <w:rPr>
                <w:rFonts w:hint="eastAsia" w:ascii="宋体" w:hAnsi="宋体" w:cs="宋体"/>
                <w:color w:val="000000" w:themeColor="text1"/>
                <w:sz w:val="21"/>
                <w:szCs w:val="24"/>
                <w:highlight w:val="none"/>
                <w:u w:val="single"/>
                <w:lang w:val="en-US" w:eastAsia="zh-CN"/>
                <w14:textFill>
                  <w14:solidFill>
                    <w14:schemeClr w14:val="tx1"/>
                  </w14:solidFill>
                </w14:textFill>
              </w:rPr>
              <w:t xml:space="preserve">0 </w:t>
            </w:r>
            <w:r>
              <w:rPr>
                <w:rFonts w:hint="eastAsia" w:ascii="宋体" w:hAnsi="宋体" w:cs="宋体"/>
                <w:color w:val="000000" w:themeColor="text1"/>
                <w:sz w:val="21"/>
                <w:szCs w:val="24"/>
                <w:highlight w:val="none"/>
                <w:u w:val="single"/>
                <w14:textFill>
                  <w14:solidFill>
                    <w14:schemeClr w14:val="tx1"/>
                  </w14:solidFill>
                </w14:textFill>
              </w:rPr>
              <w:t xml:space="preserve"> </w:t>
            </w:r>
            <w:r>
              <w:rPr>
                <w:rFonts w:hint="eastAsia" w:ascii="宋体" w:hAnsi="宋体" w:cs="宋体"/>
                <w:color w:val="000000" w:themeColor="text1"/>
                <w:sz w:val="21"/>
                <w:szCs w:val="24"/>
                <w:highlight w:val="none"/>
                <w14:textFill>
                  <w14:solidFill>
                    <w14:schemeClr w14:val="tx1"/>
                  </w14:solidFill>
                </w14:textFill>
              </w:rPr>
              <w:t>分</w:t>
            </w:r>
          </w:p>
          <w:p w14:paraId="265BFC5D">
            <w:pPr>
              <w:pStyle w:val="10"/>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000000" w:themeColor="text1"/>
                <w:highlight w:val="none"/>
                <w:lang w:eastAsia="zh-CN"/>
                <w14:textFill>
                  <w14:solidFill>
                    <w14:schemeClr w14:val="tx1"/>
                  </w14:solidFill>
                </w14:textFill>
              </w:rPr>
              <w:t>售后服务方案</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10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E7A445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（1）本次采购活动将采用技术评分最低价法进行评审，通过商务及技术文件评审得分入选的，根据各家报价由低到高的顺序，依次推荐N名中标候选人。</w:t>
            </w:r>
          </w:p>
          <w:p w14:paraId="00F724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（2）异常低价评审： </w:t>
            </w:r>
          </w:p>
          <w:p w14:paraId="78FAE7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766F8F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②异常低价或不平衡报价，采购人有权作废标处理。</w:t>
            </w:r>
          </w:p>
          <w:p w14:paraId="1A183F7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5A04362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66FEB5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3AE3DCC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0A1BC8E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3"/>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10"/>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10"/>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10"/>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5BC79124">
            <w:pPr>
              <w:pStyle w:val="10"/>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restart"/>
            <w:vAlign w:val="center"/>
          </w:tcPr>
          <w:p w14:paraId="2B8AF269">
            <w:pPr>
              <w:pStyle w:val="10"/>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商务及技术文件</w:t>
            </w:r>
          </w:p>
        </w:tc>
        <w:tc>
          <w:tcPr>
            <w:tcW w:w="937" w:type="pct"/>
            <w:vAlign w:val="center"/>
          </w:tcPr>
          <w:p w14:paraId="62D7CE1F">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企业业绩</w:t>
            </w:r>
          </w:p>
          <w:p w14:paraId="35898049">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cs="宋体"/>
                <w:color w:val="000000" w:themeColor="text1"/>
                <w:sz w:val="21"/>
                <w:szCs w:val="21"/>
                <w:highlight w:val="none"/>
                <w:u w:val="single"/>
                <w14:textFill>
                  <w14:solidFill>
                    <w14:schemeClr w14:val="tx1"/>
                  </w14:solidFill>
                </w14:textFill>
              </w:rPr>
              <w:t xml:space="preserve">0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003C586F">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yellow"/>
                <w14:textFill>
                  <w14:solidFill>
                    <w14:schemeClr w14:val="tx1"/>
                  </w14:solidFill>
                </w14:textFill>
              </w:rPr>
              <w:t>202</w:t>
            </w:r>
            <w:r>
              <w:rPr>
                <w:rFonts w:hint="eastAsia" w:ascii="宋体" w:hAnsi="宋体" w:cs="宋体"/>
                <w:color w:val="000000" w:themeColor="text1"/>
                <w:sz w:val="21"/>
                <w:szCs w:val="24"/>
                <w:highlight w:val="yellow"/>
                <w:lang w:val="en-US" w:eastAsia="zh-CN"/>
                <w14:textFill>
                  <w14:solidFill>
                    <w14:schemeClr w14:val="tx1"/>
                  </w14:solidFill>
                </w14:textFill>
              </w:rPr>
              <w:t>2</w:t>
            </w:r>
            <w:r>
              <w:rPr>
                <w:rFonts w:hint="eastAsia" w:ascii="宋体" w:hAnsi="宋体" w:cs="宋体"/>
                <w:color w:val="000000" w:themeColor="text1"/>
                <w:sz w:val="21"/>
                <w:szCs w:val="24"/>
                <w:highlight w:val="yellow"/>
                <w14:textFill>
                  <w14:solidFill>
                    <w14:schemeClr w14:val="tx1"/>
                  </w14:solidFill>
                </w14:textFill>
              </w:rPr>
              <w:t xml:space="preserve"> 年 1月1 日以来（以合同签订时间为准），除供应商资审条件要求的业绩得</w:t>
            </w:r>
            <w:r>
              <w:rPr>
                <w:rFonts w:hint="eastAsia" w:ascii="宋体" w:hAnsi="宋体" w:cs="宋体"/>
                <w:color w:val="000000" w:themeColor="text1"/>
                <w:sz w:val="21"/>
                <w:szCs w:val="24"/>
                <w:highlight w:val="yellow"/>
                <w:lang w:val="en-US" w:eastAsia="zh-CN"/>
                <w14:textFill>
                  <w14:solidFill>
                    <w14:schemeClr w14:val="tx1"/>
                  </w14:solidFill>
                </w14:textFill>
              </w:rPr>
              <w:t>35</w:t>
            </w:r>
            <w:r>
              <w:rPr>
                <w:rFonts w:hint="eastAsia" w:ascii="宋体" w:hAnsi="宋体" w:cs="宋体"/>
                <w:color w:val="000000" w:themeColor="text1"/>
                <w:sz w:val="21"/>
                <w:szCs w:val="24"/>
                <w:highlight w:val="yellow"/>
                <w14:textFill>
                  <w14:solidFill>
                    <w14:schemeClr w14:val="tx1"/>
                  </w14:solidFill>
                </w14:textFill>
              </w:rPr>
              <w:t>分，近三年来具有</w:t>
            </w:r>
            <w:r>
              <w:rPr>
                <w:rFonts w:hint="eastAsia" w:ascii="宋体" w:hAnsi="宋体" w:cs="宋体"/>
                <w:color w:val="000000" w:themeColor="text1"/>
                <w:sz w:val="21"/>
                <w:szCs w:val="24"/>
                <w:highlight w:val="yellow"/>
                <w:lang w:val="en-US" w:eastAsia="zh-CN"/>
                <w14:textFill>
                  <w14:solidFill>
                    <w14:schemeClr w14:val="tx1"/>
                  </w14:solidFill>
                </w14:textFill>
              </w:rPr>
              <w:t>200</w:t>
            </w:r>
            <w:r>
              <w:rPr>
                <w:rFonts w:hint="eastAsia" w:ascii="宋体" w:hAnsi="宋体" w:cs="宋体"/>
                <w:color w:val="000000" w:themeColor="text1"/>
                <w:sz w:val="21"/>
                <w:szCs w:val="24"/>
                <w:highlight w:val="yellow"/>
                <w14:textFill>
                  <w14:solidFill>
                    <w14:schemeClr w14:val="tx1"/>
                  </w14:solidFill>
                </w14:textFill>
              </w:rPr>
              <w:t>万及以上的</w:t>
            </w:r>
            <w:r>
              <w:rPr>
                <w:rFonts w:hint="eastAsia" w:ascii="宋体" w:hAnsi="宋体" w:cs="宋体"/>
                <w:color w:val="000000" w:themeColor="text1"/>
                <w:sz w:val="21"/>
                <w:szCs w:val="24"/>
                <w:highlight w:val="yellow"/>
                <w:lang w:val="en-US" w:eastAsia="zh-CN"/>
                <w14:textFill>
                  <w14:solidFill>
                    <w14:schemeClr w14:val="tx1"/>
                  </w14:solidFill>
                </w14:textFill>
              </w:rPr>
              <w:t>铝单板</w:t>
            </w:r>
            <w:r>
              <w:rPr>
                <w:rFonts w:hint="eastAsia" w:ascii="宋体" w:hAnsi="宋体" w:cs="宋体"/>
                <w:color w:val="000000" w:themeColor="text1"/>
                <w:sz w:val="21"/>
                <w:szCs w:val="24"/>
                <w:highlight w:val="yellow"/>
                <w:u w:val="none"/>
                <w14:textFill>
                  <w14:solidFill>
                    <w14:schemeClr w14:val="tx1"/>
                  </w14:solidFill>
                </w14:textFill>
              </w:rPr>
              <w:t>供应</w:t>
            </w:r>
            <w:r>
              <w:rPr>
                <w:rFonts w:hint="eastAsia" w:ascii="宋体" w:hAnsi="宋体" w:cs="宋体"/>
                <w:color w:val="000000" w:themeColor="text1"/>
                <w:sz w:val="21"/>
                <w:szCs w:val="24"/>
                <w:highlight w:val="yellow"/>
                <w14:textFill>
                  <w14:solidFill>
                    <w14:schemeClr w14:val="tx1"/>
                  </w14:solidFill>
                </w14:textFill>
              </w:rPr>
              <w:t>业绩，每多提供一个业绩得5分，满分</w:t>
            </w:r>
            <w:r>
              <w:rPr>
                <w:rFonts w:hint="eastAsia" w:ascii="宋体" w:hAnsi="宋体" w:cs="宋体"/>
                <w:color w:val="000000" w:themeColor="text1"/>
                <w:sz w:val="21"/>
                <w:szCs w:val="24"/>
                <w:highlight w:val="yellow"/>
                <w:lang w:val="en-US" w:eastAsia="zh-CN"/>
                <w14:textFill>
                  <w14:solidFill>
                    <w14:schemeClr w14:val="tx1"/>
                  </w14:solidFill>
                </w14:textFill>
              </w:rPr>
              <w:t>5</w:t>
            </w:r>
            <w:r>
              <w:rPr>
                <w:rFonts w:hint="eastAsia" w:ascii="宋体" w:hAnsi="宋体" w:cs="宋体"/>
                <w:color w:val="000000" w:themeColor="text1"/>
                <w:sz w:val="21"/>
                <w:szCs w:val="24"/>
                <w:highlight w:val="yellow"/>
                <w14:textFill>
                  <w14:solidFill>
                    <w14:schemeClr w14:val="tx1"/>
                  </w14:solidFill>
                </w14:textFill>
              </w:rPr>
              <w:t>0分</w:t>
            </w:r>
            <w:r>
              <w:rPr>
                <w:rFonts w:hint="eastAsia" w:ascii="宋体" w:hAnsi="宋体" w:cs="宋体"/>
                <w:color w:val="000000" w:themeColor="text1"/>
                <w:sz w:val="21"/>
                <w:szCs w:val="24"/>
                <w:highlight w:val="none"/>
                <w14:textFill>
                  <w14:solidFill>
                    <w14:schemeClr w14:val="tx1"/>
                  </w14:solidFill>
                </w14:textFill>
              </w:rPr>
              <w:t>。</w:t>
            </w:r>
          </w:p>
          <w:p w14:paraId="1679D332">
            <w:pPr>
              <w:pStyle w:val="10"/>
              <w:keepNext w:val="0"/>
              <w:keepLines w:val="0"/>
              <w:suppressLineNumbers w:val="0"/>
              <w:adjustRightInd w:val="0"/>
              <w:snapToGrid w:val="0"/>
              <w:spacing w:before="0" w:beforeLines="0" w:beforeAutospacing="0" w:afterLines="0" w:afterAutospacing="0"/>
              <w:ind w:left="0" w:right="0"/>
              <w:rPr>
                <w:rFonts w:hint="eastAsia" w:ascii="宋体" w:hAnsi="宋体" w:cs="宋体"/>
                <w:color w:val="000000" w:themeColor="text1"/>
                <w:sz w:val="21"/>
                <w:szCs w:val="24"/>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（1）</w:t>
            </w:r>
            <w:r>
              <w:rPr>
                <w:rFonts w:hint="eastAsia" w:ascii="宋体" w:hAnsi="宋体" w:cs="宋体"/>
                <w:color w:val="000000" w:themeColor="text1"/>
                <w:sz w:val="21"/>
                <w:szCs w:val="24"/>
                <w:highlight w:val="none"/>
                <w:lang w:val="en-US" w:eastAsia="zh-CN"/>
                <w14:textFill>
                  <w14:solidFill>
                    <w14:schemeClr w14:val="tx1"/>
                  </w14:solidFill>
                </w14:textFill>
              </w:rPr>
              <w:t>投标人</w:t>
            </w:r>
            <w:r>
              <w:rPr>
                <w:rFonts w:hint="eastAsia" w:ascii="宋体" w:hAnsi="宋体" w:cs="宋体"/>
                <w:color w:val="000000" w:themeColor="text1"/>
                <w:sz w:val="21"/>
                <w:szCs w:val="24"/>
                <w:highlight w:val="none"/>
                <w14:textFill>
                  <w14:solidFill>
                    <w14:schemeClr w14:val="tx1"/>
                  </w14:solidFill>
                </w14:textFill>
              </w:rPr>
              <w:t>业绩合同应提供包含项目名称、合同总金额、合同签订时间、合同签字盖章页等关键内容的关键页的扫描件；</w:t>
            </w:r>
            <w:r>
              <w:rPr>
                <w:rFonts w:hint="eastAsia" w:ascii="宋体" w:hAnsi="宋体" w:cs="宋体"/>
                <w:color w:val="000000" w:themeColor="text1"/>
                <w:sz w:val="21"/>
                <w:szCs w:val="24"/>
                <w:highlight w:val="none"/>
                <w:lang w:val="en-US" w:eastAsia="zh-CN"/>
                <w14:textFill>
                  <w14:solidFill>
                    <w14:schemeClr w14:val="tx1"/>
                  </w14:solidFill>
                </w14:textFill>
              </w:rPr>
              <w:t>（每个业绩至少提供不低于合同金额50%的增值税发票或收到业主转账的收款凭证，未提供，该业绩无效）</w:t>
            </w:r>
          </w:p>
          <w:p w14:paraId="71881B33">
            <w:pPr>
              <w:pStyle w:val="10"/>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496" w:type="pct"/>
            <w:vMerge w:val="continue"/>
            <w:vAlign w:val="center"/>
          </w:tcPr>
          <w:p w14:paraId="15F3468D">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6271DD01">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2BCA433A">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24</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3039" w:type="pct"/>
            <w:vAlign w:val="center"/>
          </w:tcPr>
          <w:p w14:paraId="142D53F5">
            <w:pPr>
              <w:pStyle w:val="20"/>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bidi="ar"/>
                <w14:textFill>
                  <w14:solidFill>
                    <w14:schemeClr w14:val="tx1"/>
                  </w14:solidFill>
                </w14:textFill>
              </w:rPr>
              <w:t>企业实力：</w:t>
            </w:r>
          </w:p>
          <w:p w14:paraId="0B7DADC9">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
                <w:color w:val="000000" w:themeColor="text1"/>
                <w:kern w:val="0"/>
                <w:sz w:val="21"/>
                <w:szCs w:val="21"/>
                <w:highlight w:val="none"/>
                <w:lang w:bidi="ar"/>
                <w14:textFill>
                  <w14:solidFill>
                    <w14:schemeClr w14:val="tx1"/>
                  </w14:solidFill>
                </w14:textFill>
              </w:rPr>
              <w:t>.厂区规模情况</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须提供</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投标产品生产加工厂的相关资料，包括但不限于工厂具体定位（百度地图定位截图）、</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厂区</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加工车间照片、房屋购买租赁合同协议书等，自有或租赁厂房须明确证明材料</w:t>
            </w:r>
            <w:r>
              <w:rPr>
                <w:rFonts w:hint="eastAsia" w:ascii="宋体" w:hAnsi="宋体" w:eastAsia="宋体" w:cs="宋体"/>
                <w:color w:val="000000" w:themeColor="text1"/>
                <w:kern w:val="0"/>
                <w:sz w:val="21"/>
                <w:szCs w:val="21"/>
                <w:highlight w:val="none"/>
                <w:lang w:bidi="ar"/>
                <w14:textFill>
                  <w14:solidFill>
                    <w14:schemeClr w14:val="tx1"/>
                  </w14:solidFill>
                </w14:textFill>
              </w:rPr>
              <w:t>），评委根据上述证明材料综合评审，优秀的得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8-6</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3BDDDC7B">
            <w:pPr>
              <w:pStyle w:val="20"/>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2.机械设备情况</w:t>
            </w:r>
            <w:r>
              <w:rPr>
                <w:rFonts w:hint="eastAsia" w:ascii="宋体" w:hAnsi="宋体" w:eastAsia="宋体" w:cs="宋体"/>
                <w:color w:val="000000" w:themeColor="text1"/>
                <w:kern w:val="0"/>
                <w:sz w:val="21"/>
                <w:szCs w:val="21"/>
                <w:highlight w:val="none"/>
                <w:lang w:bidi="ar"/>
                <w14:textFill>
                  <w14:solidFill>
                    <w14:schemeClr w14:val="tx1"/>
                  </w14:solidFill>
                </w14:textFill>
              </w:rPr>
              <w:t>（须提供自有设备照片、采购租赁合同协议书等，自有或租赁设备须明确证明材料），评委根据上述证明材料综合评审，优秀的得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8-6</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p>
          <w:p w14:paraId="4A57E4ED">
            <w:pPr>
              <w:pStyle w:val="20"/>
              <w:keepNext w:val="0"/>
              <w:keepLines w:val="0"/>
              <w:suppressLineNumbers w:val="0"/>
              <w:spacing w:before="0" w:beforeLines="0" w:beforeAutospacing="0" w:after="0" w:afterLines="0" w:afterAutospacing="0"/>
              <w:ind w:left="0" w:leftChars="0" w:right="0" w:rightChars="0" w:firstLine="211" w:firstLineChars="1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1"/>
                <w:szCs w:val="21"/>
                <w:highlight w:val="none"/>
                <w:lang w:bidi="ar"/>
                <w14:textFill>
                  <w14:solidFill>
                    <w14:schemeClr w14:val="tx1"/>
                  </w14:solidFill>
                </w14:textFill>
              </w:rPr>
              <w:t>.人员情况</w:t>
            </w:r>
            <w:r>
              <w:rPr>
                <w:rFonts w:hint="eastAsia" w:ascii="宋体" w:hAnsi="宋体" w:eastAsia="宋体" w:cs="宋体"/>
                <w:color w:val="000000" w:themeColor="text1"/>
                <w:kern w:val="0"/>
                <w:sz w:val="21"/>
                <w:szCs w:val="21"/>
                <w:highlight w:val="none"/>
                <w:lang w:bidi="ar"/>
                <w14:textFill>
                  <w14:solidFill>
                    <w14:schemeClr w14:val="tx1"/>
                  </w14:solidFill>
                </w14:textFill>
              </w:rPr>
              <w:t>（生产人员、售后</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eastAsia="宋体" w:cs="宋体"/>
                <w:color w:val="000000" w:themeColor="text1"/>
                <w:kern w:val="0"/>
                <w:sz w:val="21"/>
                <w:szCs w:val="21"/>
                <w:highlight w:val="none"/>
                <w:lang w:bidi="ar"/>
                <w14:textFill>
                  <w14:solidFill>
                    <w14:schemeClr w14:val="tx1"/>
                  </w14:solidFill>
                </w14:textFill>
              </w:rPr>
              <w:t>人员情况，可提供公司社保名录等证明材料），评委根据上述证明材料综合评审，优秀的得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8-6</w:t>
            </w:r>
            <w:r>
              <w:rPr>
                <w:rFonts w:hint="eastAsia" w:ascii="宋体" w:hAnsi="宋体" w:eastAsia="宋体" w:cs="宋体"/>
                <w:color w:val="000000" w:themeColor="text1"/>
                <w:kern w:val="0"/>
                <w:sz w:val="21"/>
                <w:szCs w:val="21"/>
                <w:highlight w:val="none"/>
                <w:lang w:bidi="ar"/>
                <w14:textFill>
                  <w14:solidFill>
                    <w14:schemeClr w14:val="tx1"/>
                  </w14:solidFill>
                </w14:textFill>
              </w:rPr>
              <w:t>分；一般的得</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分，较差得基础分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分，未提供不得分。</w:t>
            </w:r>
            <w:r>
              <w:rPr>
                <w:rFonts w:hint="eastAsia" w:ascii="宋体" w:hAnsi="宋体" w:eastAsia="宋体" w:cs="宋体"/>
                <w:b/>
                <w:color w:val="000000" w:themeColor="text1"/>
                <w:kern w:val="0"/>
                <w:sz w:val="21"/>
                <w:szCs w:val="21"/>
                <w:highlight w:val="none"/>
                <w:lang w:bidi="ar"/>
                <w14:textFill>
                  <w14:solidFill>
                    <w14:schemeClr w14:val="tx1"/>
                  </w14:solidFill>
                </w14:textFill>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7680D05C">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vAlign w:val="center"/>
          </w:tcPr>
          <w:p w14:paraId="188F7F47">
            <w:pPr>
              <w:keepNext w:val="0"/>
              <w:keepLines w:val="0"/>
              <w:suppressLineNumbers w:val="0"/>
              <w:spacing w:before="0" w:beforeLines="0" w:beforeAutospacing="0" w:after="0" w:afterLines="0" w:afterAutospacing="0"/>
              <w:ind w:left="618" w:right="0" w:hanging="618" w:hangingChars="30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pacing w:val="-2"/>
                <w:sz w:val="21"/>
                <w:szCs w:val="21"/>
                <w:highlight w:val="none"/>
                <w14:textFill>
                  <w14:solidFill>
                    <w14:schemeClr w14:val="tx1"/>
                  </w14:solidFill>
                </w14:textFill>
              </w:rPr>
              <w:t>生产</w:t>
            </w:r>
            <w:r>
              <w:rPr>
                <w:rFonts w:hint="eastAsia" w:ascii="宋体" w:hAnsi="宋体" w:cs="宋体"/>
                <w:color w:val="000000" w:themeColor="text1"/>
                <w:spacing w:val="-1"/>
                <w:sz w:val="21"/>
                <w:szCs w:val="21"/>
                <w:highlight w:val="none"/>
                <w14:textFill>
                  <w14:solidFill>
                    <w14:schemeClr w14:val="tx1"/>
                  </w14:solidFill>
                </w14:textFill>
              </w:rPr>
              <w:t>体系认</w:t>
            </w:r>
            <w:r>
              <w:rPr>
                <w:rFonts w:hint="eastAsia" w:ascii="宋体" w:hAnsi="宋体" w:cs="宋体"/>
                <w:color w:val="000000" w:themeColor="text1"/>
                <w:sz w:val="21"/>
                <w:szCs w:val="21"/>
                <w:highlight w:val="none"/>
                <w14:textFill>
                  <w14:solidFill>
                    <w14:schemeClr w14:val="tx1"/>
                  </w14:solidFill>
                </w14:textFill>
              </w:rPr>
              <w:t>证</w:t>
            </w:r>
          </w:p>
          <w:p w14:paraId="4B4EEB8E">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vAlign w:val="center"/>
          </w:tcPr>
          <w:p w14:paraId="505720CC">
            <w:pPr>
              <w:pStyle w:val="15"/>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36F98C23">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FFC4C0C">
            <w:pPr>
              <w:pStyle w:val="10"/>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供货方案</w:t>
            </w:r>
          </w:p>
          <w:p w14:paraId="4CD1C9F8">
            <w:pPr>
              <w:pStyle w:val="10"/>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u w:val="single"/>
                <w14:textFill>
                  <w14:solidFill>
                    <w14:schemeClr w14:val="tx1"/>
                  </w14:solidFill>
                </w14:textFill>
              </w:rPr>
              <w:t xml:space="preserve"> 1</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分）</w:t>
            </w:r>
          </w:p>
        </w:tc>
        <w:tc>
          <w:tcPr>
            <w:tcW w:w="5389" w:type="dxa"/>
            <w:shd w:val="clear" w:color="auto" w:fill="auto"/>
            <w:vAlign w:val="center"/>
          </w:tcPr>
          <w:p w14:paraId="0C475E43">
            <w:pPr>
              <w:pStyle w:val="10"/>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color w:val="000000" w:themeColor="text1"/>
                <w:sz w:val="21"/>
                <w:szCs w:val="21"/>
                <w:highlight w:val="none"/>
                <w:lang w:bidi="ar"/>
                <w14:textFill>
                  <w14:solidFill>
                    <w14:schemeClr w14:val="tx1"/>
                  </w14:solidFill>
                </w14:textFill>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6" w:type="pct"/>
            <w:vMerge w:val="continue"/>
            <w:vAlign w:val="center"/>
          </w:tcPr>
          <w:p w14:paraId="1728D70F">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26" w:type="pct"/>
            <w:vMerge w:val="continue"/>
            <w:vAlign w:val="center"/>
          </w:tcPr>
          <w:p w14:paraId="2CE56D02">
            <w:pPr>
              <w:pStyle w:val="1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937" w:type="pct"/>
            <w:shd w:val="clear" w:color="auto" w:fill="auto"/>
            <w:vAlign w:val="center"/>
          </w:tcPr>
          <w:p w14:paraId="06E7F4D4">
            <w:pPr>
              <w:pStyle w:val="22"/>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售后服务方案</w:t>
            </w:r>
          </w:p>
          <w:p w14:paraId="308209DC">
            <w:pPr>
              <w:pStyle w:val="22"/>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p>
        </w:tc>
        <w:tc>
          <w:tcPr>
            <w:tcW w:w="5389" w:type="dxa"/>
            <w:shd w:val="clear" w:color="auto" w:fill="auto"/>
            <w:vAlign w:val="center"/>
          </w:tcPr>
          <w:p w14:paraId="3686DE7B">
            <w:pPr>
              <w:pStyle w:val="15"/>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4"/>
                <w:highlight w:val="none"/>
                <w:lang w:val="en-US" w:eastAsia="zh-CN"/>
                <w14:textFill>
                  <w14:solidFill>
                    <w14:schemeClr w14:val="tx1"/>
                  </w14:solidFill>
                </w14:textFill>
              </w:rPr>
              <w:t>根据投标人售后服务方案及增值服务进行综合评审。评委综合评分，优秀的得10-7分；一般的得6-3分，较差得基础分2分，未提供不得分。</w:t>
            </w:r>
          </w:p>
        </w:tc>
      </w:tr>
    </w:tbl>
    <w:p w14:paraId="5218B9BA">
      <w:pPr>
        <w:pStyle w:val="39"/>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000000" w:themeColor="text1"/>
          <w:szCs w:val="28"/>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采购人可以按照评审小组提出的成交候选供应商名单排序依次确定其他成交候选供应商为成交供应商（重新确定成交供应商的，采购人有权与其二次谈判价格）。依次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5FEF92A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5CDC8F99">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38E12168">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397DC17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7B110645">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2E8C59B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077D1C5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00DD0452">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7203CD04">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1D401B32">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BF28788">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549"/>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5"/>
        <w:rPr>
          <w:rFonts w:hint="eastAsia" w:ascii="Times New Roman" w:hAnsi="Times New Roman" w:eastAsia="宋体" w:cs="Times New Roman"/>
          <w:color w:val="auto"/>
          <w:highlight w:val="none"/>
        </w:rPr>
      </w:pPr>
    </w:p>
    <w:p w14:paraId="0E6FDAD6">
      <w:pPr>
        <w:pStyle w:val="35"/>
        <w:rPr>
          <w:rFonts w:hint="eastAsia" w:ascii="Times New Roman" w:hAnsi="Times New Roman" w:eastAsia="宋体" w:cs="Times New Roman"/>
          <w:color w:val="auto"/>
          <w:highlight w:val="none"/>
        </w:rPr>
      </w:pPr>
    </w:p>
    <w:p w14:paraId="58CDC6FF">
      <w:pPr>
        <w:pStyle w:val="35"/>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6256DB39">
      <w:pPr>
        <w:spacing w:beforeLines="0" w:afterLines="0" w:line="560" w:lineRule="exact"/>
        <w:jc w:val="center"/>
        <w:rPr>
          <w:rFonts w:hint="eastAsia" w:ascii="宋体" w:hAnsi="宋体" w:cs="宋体"/>
          <w:color w:val="auto"/>
          <w:sz w:val="44"/>
          <w:szCs w:val="44"/>
          <w:highlight w:val="cyan"/>
        </w:rPr>
      </w:pPr>
      <w:permStart w:id="0" w:edGrp="everyone"/>
      <w:r>
        <w:rPr>
          <w:rFonts w:hint="eastAsia" w:ascii="方正小标宋简体" w:hAnsi="方正小标宋简体" w:eastAsia="方正小标宋简体" w:cs="方正小标宋简体"/>
          <w:color w:val="auto"/>
          <w:sz w:val="44"/>
          <w:szCs w:val="44"/>
          <w:highlight w:val="cyan"/>
          <w:u w:val="single"/>
        </w:rPr>
        <w:t xml:space="preserve"> </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rPr>
        <w:t>项目</w:t>
      </w:r>
      <w:r>
        <w:rPr>
          <w:rFonts w:hint="eastAsia" w:ascii="方正小标宋简体" w:hAnsi="方正小标宋简体" w:eastAsia="方正小标宋简体" w:cs="方正小标宋简体"/>
          <w:color w:val="auto"/>
          <w:sz w:val="44"/>
          <w:szCs w:val="44"/>
          <w:u w:val="single"/>
        </w:rPr>
        <w:t xml:space="preserve">       </w:t>
      </w:r>
      <w:r>
        <w:rPr>
          <w:rFonts w:hint="eastAsia" w:ascii="方正小标宋简体" w:hAnsi="方正小标宋简体" w:eastAsia="方正小标宋简体" w:cs="方正小标宋简体"/>
          <w:color w:val="auto"/>
          <w:sz w:val="44"/>
          <w:szCs w:val="44"/>
          <w:highlight w:val="green"/>
        </w:rPr>
        <w:t>采购合</w:t>
      </w:r>
      <w:r>
        <w:rPr>
          <w:rFonts w:hint="eastAsia" w:ascii="方正小标宋简体" w:hAnsi="方正小标宋简体" w:eastAsia="方正小标宋简体" w:cs="方正小标宋简体"/>
          <w:color w:val="auto"/>
          <w:sz w:val="44"/>
          <w:szCs w:val="44"/>
        </w:rPr>
        <w:t>同</w:t>
      </w:r>
    </w:p>
    <w:permEnd w:id="0"/>
    <w:p w14:paraId="3563C92A">
      <w:pPr>
        <w:spacing w:beforeLines="0" w:afterLines="0" w:line="560" w:lineRule="exact"/>
        <w:ind w:left="5880"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14:paraId="23A120CF">
      <w:pPr>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甲方（采购方）：</w:t>
      </w:r>
      <w:permStart w:id="1" w:edGrp="everyone"/>
      <w:r>
        <w:rPr>
          <w:rFonts w:hint="eastAsia" w:ascii="仿宋_GB2312" w:hAnsi="仿宋_GB2312" w:eastAsia="仿宋_GB2312" w:cs="仿宋_GB2312"/>
          <w:color w:val="auto"/>
          <w:sz w:val="28"/>
          <w:szCs w:val="28"/>
          <w:u w:val="single"/>
        </w:rPr>
        <w:t xml:space="preserve"> 安徽省经工物资有限公司 </w:t>
      </w:r>
      <w:r>
        <w:rPr>
          <w:rFonts w:hint="eastAsia" w:ascii="仿宋_GB2312" w:hAnsi="仿宋_GB2312" w:eastAsia="仿宋_GB2312" w:cs="仿宋_GB2312"/>
          <w:color w:val="auto"/>
          <w:sz w:val="28"/>
          <w:szCs w:val="28"/>
        </w:rPr>
        <w:t>（以</w:t>
      </w:r>
      <w:permEnd w:id="1"/>
      <w:r>
        <w:rPr>
          <w:rFonts w:hint="eastAsia" w:ascii="仿宋_GB2312" w:hAnsi="仿宋_GB2312" w:eastAsia="仿宋_GB2312" w:cs="仿宋_GB2312"/>
          <w:color w:val="auto"/>
          <w:sz w:val="28"/>
          <w:szCs w:val="28"/>
        </w:rPr>
        <w:t>下简称甲方）</w:t>
      </w:r>
    </w:p>
    <w:p w14:paraId="33CC0D3B">
      <w:pPr>
        <w:tabs>
          <w:tab w:val="left" w:pos="5370"/>
        </w:tabs>
        <w:spacing w:beforeLines="0" w:afterLines="0" w:line="560" w:lineRule="exact"/>
        <w:rPr>
          <w:rFonts w:hint="eastAsia" w:ascii="仿宋_GB2312" w:hAnsi="仿宋_GB2312" w:eastAsia="仿宋_GB2312" w:cs="仿宋_GB2312"/>
          <w:color w:val="auto"/>
          <w:sz w:val="28"/>
          <w:szCs w:val="28"/>
        </w:rPr>
      </w:pPr>
      <w:permStart w:id="2" w:edGrp="everyone"/>
      <w:r>
        <w:rPr>
          <w:rFonts w:hint="eastAsia" w:ascii="仿宋_GB2312" w:hAnsi="仿宋_GB2312" w:eastAsia="仿宋_GB2312" w:cs="仿宋_GB2312"/>
          <w:color w:val="auto"/>
          <w:sz w:val="28"/>
          <w:szCs w:val="28"/>
        </w:rPr>
        <w:t>乙方（供应方）：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（以下简称乙方） </w:t>
      </w:r>
      <w:permEnd w:id="2"/>
      <w:r>
        <w:rPr>
          <w:rFonts w:hint="eastAsia" w:ascii="仿宋_GB2312" w:hAnsi="仿宋_GB2312" w:eastAsia="仿宋_GB2312" w:cs="仿宋_GB2312"/>
          <w:color w:val="auto"/>
          <w:sz w:val="28"/>
          <w:szCs w:val="28"/>
        </w:rPr>
        <w:t xml:space="preserve"> </w:t>
      </w:r>
    </w:p>
    <w:p w14:paraId="680F95E3">
      <w:pPr>
        <w:widowControl/>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依据《中华人民共和国民法典》及有关规定，甲、乙双方经过友好协商，</w:t>
      </w:r>
      <w:permStart w:id="3" w:edGrp="everyone"/>
      <w:r>
        <w:rPr>
          <w:rFonts w:hint="eastAsia" w:ascii="仿宋_GB2312" w:hAnsi="仿宋_GB2312" w:eastAsia="仿宋_GB2312" w:cs="仿宋_GB2312"/>
          <w:color w:val="auto"/>
          <w:sz w:val="28"/>
          <w:szCs w:val="28"/>
        </w:rPr>
        <w:t>现就甲方向乙方购买</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用于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项目有关事宜，达成如下一致条款，以资双方共同遵照执行：</w:t>
      </w:r>
    </w:p>
    <w:p w14:paraId="5BB5F688">
      <w:pPr>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第一条  合同价款</w:t>
      </w:r>
    </w:p>
    <w:p w14:paraId="38F4BBB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1.本合同总价人民币大写：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ermEnd w:id="3"/>
    <w:p w14:paraId="226F259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65C4EE4">
      <w:pPr>
        <w:spacing w:beforeLines="0" w:afterLines="0" w:line="560" w:lineRule="exact"/>
        <w:ind w:firstLine="560" w:firstLineChars="200"/>
        <w:rPr>
          <w:rFonts w:hint="eastAsia" w:ascii="宋体" w:hAnsi="宋体" w:cs="宋体"/>
          <w:b/>
          <w:color w:val="auto"/>
          <w:sz w:val="22"/>
          <w:szCs w:val="22"/>
        </w:rPr>
      </w:pPr>
      <w:r>
        <w:rPr>
          <w:rFonts w:hint="eastAsia" w:ascii="黑体" w:hAnsi="黑体" w:eastAsia="黑体" w:cs="黑体"/>
          <w:color w:val="auto"/>
          <w:sz w:val="28"/>
          <w:szCs w:val="28"/>
        </w:rPr>
        <w:t>第二条  交货方式、时间及地点</w:t>
      </w:r>
    </w:p>
    <w:p w14:paraId="6DA0A6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1.交货方式：乙方负责运送至甲方指定地点。</w:t>
      </w:r>
    </w:p>
    <w:p w14:paraId="7BF5BD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2.交货地点：甲方指定地点，乙方负责运送至甲方指定现场，并按甲方指定地点卸货。货物在验收合格并交付给甲方前的毁损、灭失，损失由乙方全额承担。</w:t>
      </w:r>
    </w:p>
    <w:p w14:paraId="50C85F1B">
      <w:pPr>
        <w:widowControl/>
        <w:wordWrap w:val="0"/>
        <w:topLinePunct/>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3.交货时间：本项目有大量异形铝板，铝板厂家必须安排技术人员驻场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各工作面出来后，15天内铝板到场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乙方须按甲方通知时间完成供货。通知方式包括但不限于电话、短信、邮件、传真、微信，</w:t>
      </w:r>
      <w:permStart w:id="4" w:edGrp="everyone"/>
      <w:r>
        <w:rPr>
          <w:rFonts w:hint="eastAsia" w:ascii="仿宋_GB2312" w:hAnsi="仿宋_GB2312" w:eastAsia="仿宋_GB2312" w:cs="仿宋_GB2312"/>
          <w:color w:val="auto"/>
          <w:sz w:val="28"/>
          <w:szCs w:val="28"/>
        </w:rPr>
        <w:t>乙方确认其有效联系人姓名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，电话为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，联系地址为：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4"/>
      <w:r>
        <w:rPr>
          <w:rFonts w:hint="eastAsia" w:ascii="仿宋_GB2312" w:hAnsi="仿宋_GB2312" w:eastAsia="仿宋_GB2312" w:cs="仿宋_GB2312"/>
          <w:color w:val="auto"/>
          <w:sz w:val="28"/>
          <w:szCs w:val="28"/>
        </w:rPr>
        <w:t>甲方以上述任一方式发出的通知均为合法有效的通知。</w:t>
      </w:r>
    </w:p>
    <w:p w14:paraId="1CAFC977">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第三条  验收</w:t>
      </w:r>
    </w:p>
    <w:p w14:paraId="494369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1.乙方按约将货物送至现场后，需将货物卸至甲方指定地点，并经甲方签收确认。甲方指定</w:t>
      </w:r>
      <w:permStart w:id="5"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（联系方式为：</w:t>
      </w:r>
      <w:r>
        <w:rPr>
          <w:rFonts w:hint="eastAsia" w:ascii="仿宋_GB2312" w:hAnsi="仿宋_GB2312" w:eastAsia="仿宋_GB2312" w:cs="仿宋_GB2312"/>
          <w:color w:val="auto"/>
          <w:sz w:val="28"/>
          <w:szCs w:val="28"/>
          <w:u w:val="single"/>
        </w:rPr>
        <w:t xml:space="preserve">           </w:t>
      </w:r>
      <w:permEnd w:id="5"/>
      <w:r>
        <w:rPr>
          <w:rFonts w:hint="eastAsia" w:ascii="仿宋_GB2312" w:hAnsi="仿宋_GB2312" w:eastAsia="仿宋_GB2312" w:cs="仿宋_GB2312"/>
          <w:color w:val="auto"/>
          <w:sz w:val="28"/>
          <w:szCs w:val="28"/>
        </w:rPr>
        <w:t>）为货物签收确认人，并由其指定现场人员对货物进行签收。如果现场签收人员发生变更，甲方会通知乙方重新指定。</w:t>
      </w:r>
    </w:p>
    <w:p w14:paraId="457C8D8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AC5FFF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3.在乙方将货物送至现场后，甲方有权在现场车上或货物堆放在指定地点后按物品的特性及行业惯例进行验收。如甲方认为乙方送货的数量与送货单记载数量不符的，则可以随时抽检。</w:t>
      </w:r>
    </w:p>
    <w:p w14:paraId="2E9E572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rPr>
        <w:t xml:space="preserve"> 5 </w:t>
      </w:r>
      <w:r>
        <w:rPr>
          <w:rFonts w:hint="eastAsia" w:ascii="仿宋_GB2312" w:hAnsi="仿宋_GB2312" w:eastAsia="仿宋_GB2312" w:cs="仿宋_GB2312"/>
          <w:color w:val="auto"/>
          <w:sz w:val="28"/>
          <w:szCs w:val="28"/>
        </w:rPr>
        <w:t>日内，异议经核实乙方应无条件补足或换货。</w:t>
      </w:r>
    </w:p>
    <w:p w14:paraId="1C0323D8">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第四条 产品质量和包装</w:t>
      </w:r>
    </w:p>
    <w:p w14:paraId="6830229C">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rPr>
        <w:t xml:space="preserve"> 2 </w:t>
      </w:r>
      <w:permEnd w:id="6"/>
      <w:r>
        <w:rPr>
          <w:rFonts w:hint="eastAsia" w:ascii="仿宋_GB2312" w:hAnsi="仿宋_GB2312" w:eastAsia="仿宋_GB2312" w:cs="仿宋_GB2312"/>
          <w:color w:val="auto"/>
          <w:sz w:val="28"/>
          <w:szCs w:val="28"/>
          <w:highlight w:val="none"/>
        </w:rPr>
        <w:t>年，质量保证期（以下简称质保期）为交工验收合格后</w:t>
      </w:r>
      <w:r>
        <w:rPr>
          <w:rFonts w:hint="eastAsia" w:ascii="仿宋_GB2312" w:hAnsi="仿宋_GB2312" w:eastAsia="仿宋_GB2312" w:cs="仿宋_GB2312"/>
          <w:color w:val="auto"/>
          <w:sz w:val="28"/>
          <w:szCs w:val="28"/>
          <w:highlight w:val="none"/>
          <w:u w:val="single"/>
        </w:rPr>
        <w:t xml:space="preserve"> </w:t>
      </w:r>
      <w:permStart w:id="7" w:edGrp="everyone"/>
      <w:r>
        <w:rPr>
          <w:rFonts w:hint="eastAsia" w:ascii="仿宋_GB2312" w:hAnsi="仿宋_GB2312" w:eastAsia="仿宋_GB2312" w:cs="仿宋_GB2312"/>
          <w:color w:val="auto"/>
          <w:sz w:val="28"/>
          <w:szCs w:val="28"/>
          <w:highlight w:val="none"/>
          <w:u w:val="single"/>
        </w:rPr>
        <w:t xml:space="preserve"> 2  </w:t>
      </w:r>
      <w:permEnd w:id="7"/>
      <w:r>
        <w:rPr>
          <w:rFonts w:hint="eastAsia" w:ascii="仿宋_GB2312" w:hAnsi="仿宋_GB2312" w:eastAsia="仿宋_GB2312" w:cs="仿宋_GB2312"/>
          <w:color w:val="auto"/>
          <w:sz w:val="28"/>
          <w:szCs w:val="28"/>
          <w:highlight w:val="none"/>
        </w:rPr>
        <w:t>年，若乙方在响应文件中承诺质保期更长的，质保期从其承诺。质保期内乙方进行质量“三包”，质量三包不包括因不可抗力因素和人为因素造</w:t>
      </w:r>
      <w:r>
        <w:rPr>
          <w:rFonts w:hint="eastAsia" w:ascii="仿宋_GB2312" w:hAnsi="仿宋_GB2312" w:eastAsia="仿宋_GB2312" w:cs="仿宋_GB2312"/>
          <w:color w:val="auto"/>
          <w:sz w:val="28"/>
          <w:szCs w:val="28"/>
        </w:rPr>
        <w:t>成的损坏。乙方供应产品质量必须满足国家或本行业现行的技术标准并满足该项目需要。甲方对产品技术标准另有要求的，必须达到甲方指定标准。对于特殊产品需要提供质量外检服务的，费用由乙方承担。</w:t>
      </w:r>
    </w:p>
    <w:p w14:paraId="0B643174">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2.质保期满后，若有零部件或货物出现故障，经鉴定属于寿命异常问题（明显短于该零部件或货物正常寿命）时，则由乙方负责免费更换维修。质保期满后，乙方以优惠价格向甲方提供所需的零配件或货物。</w:t>
      </w:r>
    </w:p>
    <w:p w14:paraId="3219A47F">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3.乙方必须提供合同标的中所有产品的合格证、产品说明书、检测报告、第三方检测报告（如有）、随机附件、工具（如有），货到现场后交给现场的收货人员。</w:t>
      </w:r>
    </w:p>
    <w:p w14:paraId="66F75FE3">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4.合同标的中若有进口产品，则乙方必须提供原产地证明、单机产品序列号、原生产厂商质量保证书、报关单等证明材料。</w:t>
      </w:r>
    </w:p>
    <w:p w14:paraId="7A757907">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5.产品包装应符合国家标准。乙方应承担由于其包装或其防护措施不妥而引起货物锈蚀、损坏和丢失等任何损失的责任或费用。产品在卸货后剥离包装物同时负责回收或送到包装清理指定地点。</w:t>
      </w:r>
    </w:p>
    <w:p w14:paraId="3786604D">
      <w:pPr>
        <w:wordWrap w:val="0"/>
        <w:spacing w:beforeLines="0" w:afterLines="0" w:line="560" w:lineRule="exact"/>
        <w:ind w:firstLine="560" w:firstLineChars="200"/>
        <w:rPr>
          <w:rFonts w:hint="eastAsia" w:ascii="仿宋_GB2312" w:hAnsi="仿宋_GB2312" w:eastAsia="黑体" w:cs="仿宋_GB2312"/>
          <w:color w:val="auto"/>
          <w:sz w:val="28"/>
          <w:szCs w:val="28"/>
        </w:rPr>
      </w:pPr>
      <w:r>
        <w:rPr>
          <w:rFonts w:hint="eastAsia" w:ascii="黑体" w:hAnsi="黑体" w:eastAsia="黑体" w:cs="黑体"/>
          <w:color w:val="auto"/>
          <w:sz w:val="28"/>
          <w:szCs w:val="28"/>
        </w:rPr>
        <w:t>第五条  结算方式及期限</w:t>
      </w:r>
    </w:p>
    <w:p w14:paraId="5B0CB9AB">
      <w:pPr>
        <w:wordWrap w:val="0"/>
        <w:spacing w:line="56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yellow"/>
        </w:rPr>
        <w:t>1.在合同签订后，乙方开具合同总价20%的见索即付</w:t>
      </w:r>
      <w:r>
        <w:rPr>
          <w:rFonts w:hint="eastAsia" w:ascii="仿宋_GB2312" w:hAnsi="仿宋_GB2312" w:eastAsia="仿宋_GB2312" w:cs="仿宋_GB2312"/>
          <w:color w:val="auto"/>
          <w:sz w:val="28"/>
          <w:szCs w:val="28"/>
          <w:highlight w:val="yellow"/>
          <w:lang w:val="en-US" w:eastAsia="zh-CN"/>
        </w:rPr>
        <w:t>预付款</w:t>
      </w:r>
      <w:r>
        <w:rPr>
          <w:rFonts w:hint="eastAsia" w:ascii="仿宋_GB2312" w:hAnsi="仿宋_GB2312" w:eastAsia="仿宋_GB2312" w:cs="仿宋_GB2312"/>
          <w:color w:val="auto"/>
          <w:sz w:val="28"/>
          <w:szCs w:val="28"/>
          <w:highlight w:val="yellow"/>
        </w:rPr>
        <w:t>保函，甲方支付乙方合同总价20%的预付款。</w:t>
      </w:r>
    </w:p>
    <w:p w14:paraId="63FE45C5">
      <w:pPr>
        <w:wordWrap w:val="0"/>
        <w:spacing w:line="56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yellow"/>
        </w:rPr>
        <w:t>2.货到工地经甲方指定签收人验收合格并签收，当货物金额达到合同金额的50%后办理货款支付，支付已供货物价款的70%。</w:t>
      </w:r>
    </w:p>
    <w:p w14:paraId="59F2F2D0">
      <w:pPr>
        <w:wordWrap w:val="0"/>
        <w:spacing w:line="56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yellow"/>
        </w:rPr>
        <w:t>3.产品全部供货到现场经甲方指定验收人验收合格并办理完成结算手续后，甲方向乙方支付至结算价的97%。</w:t>
      </w:r>
    </w:p>
    <w:p w14:paraId="5986A49F">
      <w:pPr>
        <w:wordWrap w:val="0"/>
        <w:spacing w:line="56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yellow"/>
          <w:lang w:val="en-US" w:eastAsia="zh-CN"/>
        </w:rPr>
        <w:t>4.</w:t>
      </w:r>
      <w:r>
        <w:rPr>
          <w:rFonts w:hint="eastAsia" w:ascii="仿宋_GB2312" w:hAnsi="仿宋_GB2312" w:eastAsia="仿宋_GB2312" w:cs="仿宋_GB2312"/>
          <w:color w:val="auto"/>
          <w:sz w:val="28"/>
          <w:szCs w:val="28"/>
          <w:highlight w:val="yellow"/>
        </w:rPr>
        <w:t>剩余3%作为质保金，在缺陷责任期结束后，无质量问题一次性无息支付。</w:t>
      </w:r>
    </w:p>
    <w:p w14:paraId="39CD3125">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.乙方供货后15日内将所送货物的送货单(需为经甲方指定签收人签字确认的有效送货单)汇总后向甲方提交书面对账清单，经甲方确认后方可作为价款结算和付款依据。若因乙方迟延提交对账清单，</w:t>
      </w:r>
      <w:r>
        <w:rPr>
          <w:rFonts w:hint="eastAsia" w:ascii="仿宋_GB2312" w:hAnsi="仿宋_GB2312" w:eastAsia="仿宋_GB2312" w:cs="仿宋_GB2312"/>
          <w:color w:val="auto"/>
          <w:sz w:val="28"/>
          <w:szCs w:val="28"/>
          <w:highlight w:val="none"/>
        </w:rPr>
        <w:t>因此造成的损失由乙方自行承担。</w:t>
      </w:r>
    </w:p>
    <w:p w14:paraId="05C6BA71">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.中标公示后，在合同签订前，乙方需向甲方支付合同总价 10%的履约保证金或提供合同总价 10%的见索即付银行保函。</w:t>
      </w:r>
    </w:p>
    <w:p w14:paraId="250CBC2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.乙方提供符合采购人财务要求的</w:t>
      </w:r>
      <w:r>
        <w:rPr>
          <w:rFonts w:hint="eastAsia" w:ascii="仿宋_GB2312" w:hAnsi="仿宋_GB2312" w:eastAsia="仿宋_GB2312" w:cs="仿宋_GB2312"/>
          <w:color w:val="auto"/>
          <w:sz w:val="28"/>
          <w:szCs w:val="28"/>
        </w:rPr>
        <w:t>国家税务局13%增值税专用发票后办理结算，发票需要做到“三流一致”，也即“货物、劳务及应税服务流”、“资金流”、“发票流”必须都是同一受票方。</w:t>
      </w:r>
    </w:p>
    <w:p w14:paraId="0C5F544F">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第六条  违约责任</w:t>
      </w:r>
      <w:bookmarkStart w:id="187" w:name="_GoBack"/>
      <w:bookmarkEnd w:id="187"/>
    </w:p>
    <w:p w14:paraId="5FAB7C1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BCA13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6514D76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3.乙方违反合同约定的其他自身义务时，给甲方造成损失的，甲方均有权解除合同，并有权要求乙方按上述第1、2项规定承担赔偿责任，支付违约金。</w:t>
      </w:r>
    </w:p>
    <w:p w14:paraId="3D51AC1D">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4.对于乙方因违反本合同约定需支付的违约金，甲方有权在应付货款中直接予以扣除。</w:t>
      </w:r>
    </w:p>
    <w:p w14:paraId="444849B6">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5.禁止转包分包</w:t>
      </w:r>
    </w:p>
    <w:p w14:paraId="0154A4DD">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鉴于保护合同双方权益及确保工程质量和进度，双方明确以下转包分包相关事项:</w:t>
      </w:r>
    </w:p>
    <w:p w14:paraId="54DDB04E">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（1）乙方不得将本合同项下的任何部分工程转包或分包给任何第三方。如有特殊情况，必须经甲方书面同意。</w:t>
      </w:r>
    </w:p>
    <w:p w14:paraId="6F911519">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（2）若乙方未经甲方同意擅自转包或分包 ,甲方有权立即终止本合同并要求乙方承担由此造成的一切损失。</w:t>
      </w:r>
    </w:p>
    <w:p w14:paraId="21258437">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（3）乙方与任何第三方签订的与本合同相关的协议或承诺书 ,对甲方不具有法律约束力，除非得到甲方的书面确认。</w:t>
      </w:r>
    </w:p>
    <w:p w14:paraId="1CB2999F">
      <w:pPr>
        <w:spacing w:beforeLines="0" w:afterLines="0" w:line="540" w:lineRule="atLeas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（4）甲方有权对乙方的工程实施情况进行监督 ,乙方应配合并提供必要的便利条件。如发现乙方存在违法转包分包行为，甲方有权采取法律手段维护自身权益。</w:t>
      </w:r>
    </w:p>
    <w:p w14:paraId="2A592823">
      <w:pPr>
        <w:numPr>
          <w:ilvl w:val="0"/>
          <w:numId w:val="0"/>
        </w:numPr>
        <w:spacing w:beforeLines="0" w:afterLines="0" w:line="560" w:lineRule="exact"/>
        <w:ind w:firstLine="560" w:firstLineChars="200"/>
        <w:rPr>
          <w:rFonts w:hint="eastAsia" w:ascii="黑体" w:hAnsi="黑体" w:eastAsia="黑体" w:cs="黑体"/>
          <w:color w:val="auto"/>
          <w:sz w:val="28"/>
          <w:szCs w:val="28"/>
        </w:rPr>
      </w:pPr>
      <w:r>
        <w:rPr>
          <w:rFonts w:hint="eastAsia" w:ascii="仿宋_GB2312" w:hAnsi="仿宋_GB2312" w:eastAsia="仿宋_GB2312" w:cs="仿宋_GB2312"/>
          <w:color w:val="auto"/>
          <w:sz w:val="28"/>
          <w:szCs w:val="28"/>
        </w:rPr>
        <w:t xml:space="preserve"> </w:t>
      </w:r>
      <w:r>
        <w:rPr>
          <w:rFonts w:hint="eastAsia" w:ascii="黑体" w:hAnsi="黑体" w:eastAsia="黑体" w:cs="黑体"/>
          <w:color w:val="auto"/>
          <w:sz w:val="28"/>
          <w:szCs w:val="28"/>
        </w:rPr>
        <w:t>第七条  其他约定</w:t>
      </w:r>
    </w:p>
    <w:p w14:paraId="5AC672EA">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1.乙方送货车辆到甲方现场后，在行驶和卸货过程中，乙方驾驶人员应自行察看周围地形，乙方车辆在甲方现场若出现事故产生损失或造成对第三人侵权等其他情形，一切损失和责任均由乙方自行承担。</w:t>
      </w:r>
    </w:p>
    <w:p w14:paraId="62377A72">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2.乙方必须服从甲方指定项目部的全面协调管理工作，乙方在装卸中，严格遵守执行安全操作规范、防火规定、工艺规范等规范规定以及质量标准。</w:t>
      </w:r>
    </w:p>
    <w:p w14:paraId="017696E1">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0BA4500B">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C137B31">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第八条  争议解决方式</w:t>
      </w:r>
    </w:p>
    <w:p w14:paraId="556FD8F0">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在履行合同期间发生</w:t>
      </w:r>
      <w:r>
        <w:rPr>
          <w:rFonts w:hint="eastAsia" w:ascii="仿宋_GB2312" w:hAnsi="仿宋_GB2312" w:eastAsia="仿宋_GB2312" w:cs="仿宋_GB2312"/>
          <w:color w:val="auto"/>
          <w:sz w:val="28"/>
          <w:szCs w:val="28"/>
          <w:lang w:val="en-US" w:eastAsia="zh-CN"/>
        </w:rPr>
        <w:t>纠纷</w:t>
      </w:r>
      <w:r>
        <w:rPr>
          <w:rFonts w:hint="eastAsia" w:ascii="仿宋_GB2312" w:hAnsi="仿宋_GB2312" w:eastAsia="仿宋_GB2312" w:cs="仿宋_GB2312"/>
          <w:color w:val="auto"/>
          <w:sz w:val="28"/>
          <w:szCs w:val="28"/>
        </w:rPr>
        <w:t>，先由双方协商解决，协商不成，双方约定向甲方所在地人民法院提起诉讼。</w:t>
      </w:r>
    </w:p>
    <w:p w14:paraId="10816575">
      <w:pPr>
        <w:wordWrap w:val="0"/>
        <w:spacing w:beforeLines="0" w:afterLines="0" w:line="56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第九条</w:t>
      </w:r>
    </w:p>
    <w:p w14:paraId="3067A004">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1.本合同未尽事宜，由双方另行协商解决并签订补充协议。</w:t>
      </w:r>
    </w:p>
    <w:p w14:paraId="371A161F">
      <w:pPr>
        <w:numPr>
          <w:ilvl w:val="0"/>
          <w:numId w:val="0"/>
        </w:num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2.本合同自甲乙双方签字盖章之日起生效。</w:t>
      </w:r>
    </w:p>
    <w:p w14:paraId="4D27F355">
      <w:pPr>
        <w:pStyle w:val="10"/>
        <w:spacing w:beforeLines="0" w:after="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 xml:space="preserve"> 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51B71E9">
      <w:pPr>
        <w:spacing w:beforeLines="0" w:afterLines="0"/>
        <w:rPr>
          <w:rFonts w:hint="eastAsia"/>
          <w:color w:val="auto"/>
          <w:sz w:val="21"/>
          <w:szCs w:val="24"/>
        </w:rPr>
      </w:pPr>
    </w:p>
    <w:p w14:paraId="3944C186">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附件：1.廉政合同</w:t>
      </w:r>
    </w:p>
    <w:p w14:paraId="62026D4A">
      <w:pPr>
        <w:pStyle w:val="22"/>
        <w:spacing w:beforeLines="0" w:afterLines="0" w:line="560" w:lineRule="exact"/>
        <w:ind w:left="0" w:leftChars="0" w:firstLine="1400" w:firstLineChars="500"/>
        <w:rPr>
          <w:rFonts w:hint="default"/>
          <w:color w:val="auto"/>
          <w:sz w:val="21"/>
          <w:szCs w:val="22"/>
        </w:rPr>
      </w:pPr>
      <w:r>
        <w:rPr>
          <w:rFonts w:hint="eastAsia" w:ascii="仿宋_GB2312" w:hAnsi="仿宋_GB2312" w:eastAsia="仿宋_GB2312" w:cs="仿宋_GB2312"/>
          <w:color w:val="auto"/>
          <w:sz w:val="28"/>
          <w:szCs w:val="28"/>
        </w:rPr>
        <w:t>2.安全生产合同</w:t>
      </w:r>
    </w:p>
    <w:p w14:paraId="5B5686BB">
      <w:pPr>
        <w:pStyle w:val="22"/>
        <w:spacing w:beforeLines="0" w:afterLines="0" w:line="560" w:lineRule="exact"/>
        <w:ind w:left="0" w:leftChars="0" w:firstLine="1400" w:firstLineChars="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3.报价清单</w:t>
      </w:r>
    </w:p>
    <w:p w14:paraId="1ACD2457">
      <w:pPr>
        <w:spacing w:beforeLines="0" w:afterLines="0" w:line="560" w:lineRule="exact"/>
        <w:ind w:firstLine="560" w:firstLine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（以下无正文）</w:t>
      </w:r>
    </w:p>
    <w:p w14:paraId="53A80BF1">
      <w:pPr>
        <w:spacing w:beforeLines="0" w:afterLines="0"/>
        <w:rPr>
          <w:rFonts w:hint="eastAsia"/>
          <w:color w:val="auto"/>
          <w:sz w:val="21"/>
          <w:szCs w:val="24"/>
        </w:rPr>
      </w:pPr>
    </w:p>
    <w:p w14:paraId="01741109">
      <w:pPr>
        <w:spacing w:beforeLines="0" w:afterLines="0"/>
        <w:rPr>
          <w:rFonts w:hint="eastAsia"/>
          <w:color w:val="auto"/>
          <w:sz w:val="21"/>
          <w:szCs w:val="24"/>
        </w:rPr>
      </w:pPr>
    </w:p>
    <w:p w14:paraId="1E52BC35">
      <w:pPr>
        <w:spacing w:beforeLines="0" w:afterLines="0"/>
        <w:rPr>
          <w:rFonts w:hint="eastAsia"/>
          <w:color w:val="auto"/>
          <w:sz w:val="21"/>
          <w:szCs w:val="24"/>
        </w:rPr>
      </w:pPr>
    </w:p>
    <w:p w14:paraId="137BE783">
      <w:pPr>
        <w:spacing w:beforeLines="0" w:afterLines="0"/>
        <w:rPr>
          <w:rFonts w:hint="eastAsia"/>
          <w:color w:val="auto"/>
          <w:sz w:val="21"/>
          <w:szCs w:val="24"/>
        </w:rPr>
      </w:pPr>
    </w:p>
    <w:p w14:paraId="5D5F720C">
      <w:pPr>
        <w:spacing w:beforeLines="0" w:afterLines="0"/>
        <w:rPr>
          <w:rFonts w:hint="eastAsia"/>
          <w:color w:val="auto"/>
          <w:sz w:val="21"/>
          <w:szCs w:val="24"/>
        </w:rPr>
      </w:pPr>
    </w:p>
    <w:p w14:paraId="469A81D4">
      <w:pPr>
        <w:spacing w:beforeLines="0" w:afterLines="0"/>
        <w:rPr>
          <w:rFonts w:hint="eastAsia"/>
          <w:color w:val="auto"/>
          <w:sz w:val="21"/>
          <w:szCs w:val="24"/>
        </w:rPr>
      </w:pPr>
    </w:p>
    <w:p w14:paraId="7C3D68A2">
      <w:pPr>
        <w:spacing w:beforeLines="0" w:afterLines="0"/>
        <w:rPr>
          <w:rFonts w:hint="eastAsia"/>
          <w:color w:val="auto"/>
          <w:sz w:val="21"/>
          <w:szCs w:val="24"/>
        </w:rPr>
      </w:pPr>
    </w:p>
    <w:p w14:paraId="128D7658">
      <w:pPr>
        <w:spacing w:beforeLines="0" w:afterLines="0"/>
        <w:rPr>
          <w:rFonts w:hint="eastAsia"/>
          <w:color w:val="auto"/>
          <w:sz w:val="21"/>
          <w:szCs w:val="24"/>
        </w:rPr>
      </w:pPr>
    </w:p>
    <w:p w14:paraId="2DC9FEC6">
      <w:pPr>
        <w:spacing w:beforeLines="0" w:afterLines="0"/>
        <w:rPr>
          <w:rFonts w:hint="eastAsia"/>
          <w:color w:val="auto"/>
          <w:sz w:val="21"/>
          <w:szCs w:val="24"/>
        </w:rPr>
      </w:pPr>
    </w:p>
    <w:p w14:paraId="2D34B18B">
      <w:pPr>
        <w:spacing w:beforeLines="0" w:afterLines="0"/>
        <w:rPr>
          <w:rFonts w:hint="eastAsia"/>
          <w:color w:val="auto"/>
          <w:sz w:val="21"/>
          <w:szCs w:val="24"/>
        </w:rPr>
      </w:pPr>
    </w:p>
    <w:p w14:paraId="345B6559">
      <w:pPr>
        <w:spacing w:beforeLines="0" w:afterLines="0"/>
        <w:rPr>
          <w:rFonts w:hint="eastAsia"/>
          <w:color w:val="auto"/>
          <w:sz w:val="21"/>
          <w:szCs w:val="24"/>
        </w:rPr>
      </w:pPr>
    </w:p>
    <w:p w14:paraId="122E676B">
      <w:pPr>
        <w:wordWrap w:val="0"/>
        <w:spacing w:beforeLines="0" w:afterLines="0" w:line="560" w:lineRule="exact"/>
        <w:rPr>
          <w:rFonts w:hint="default"/>
          <w:color w:val="auto"/>
          <w:sz w:val="21"/>
          <w:szCs w:val="24"/>
        </w:rPr>
      </w:pPr>
      <w:permStart w:id="8" w:edGrp="everyone"/>
      <w:r>
        <w:rPr>
          <w:rFonts w:hint="eastAsia" w:ascii="仿宋_GB2312" w:hAnsi="仿宋_GB2312" w:eastAsia="仿宋_GB2312" w:cs="仿宋_GB2312"/>
          <w:color w:val="auto"/>
          <w:sz w:val="28"/>
          <w:szCs w:val="28"/>
        </w:rPr>
        <w:t xml:space="preserve">甲方：安徽省经工物资有限公司       乙方：  </w:t>
      </w:r>
    </w:p>
    <w:p w14:paraId="32F74587">
      <w:pPr>
        <w:wordWrap w:val="0"/>
        <w:spacing w:beforeLines="0" w:afterLines="0" w:line="560" w:lineRule="exact"/>
        <w:ind w:firstLine="2800" w:firstLineChars="1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（盖章）</w:t>
      </w:r>
    </w:p>
    <w:p w14:paraId="326FB331">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14:paraId="1C0DC21C">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5807330D">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纳税识别号：91340100MA2MY6GA6E     纳税识别号:</w:t>
      </w:r>
    </w:p>
    <w:p w14:paraId="335731CA">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地址：安徽省合肥市蜀山区甘泉路     地址：</w:t>
      </w:r>
    </w:p>
    <w:p w14:paraId="1D38C4F7">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398号                               </w:t>
      </w:r>
    </w:p>
    <w:p w14:paraId="56B596DB">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开户银行：工行合肥蜀山支行       开户银行：</w:t>
      </w:r>
    </w:p>
    <w:p w14:paraId="01056A25">
      <w:pPr>
        <w:wordWrap w:val="0"/>
        <w:spacing w:beforeLines="0" w:afterLines="0"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账号：1302012119200034038          账号：</w:t>
      </w:r>
    </w:p>
    <w:p w14:paraId="69EFB4ED">
      <w:pPr>
        <w:wordWrap w:val="0"/>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2D2E16F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65A69AC7">
      <w:pPr>
        <w:pStyle w:val="10"/>
        <w:spacing w:beforeLines="0" w:afterLines="0" w:line="560" w:lineRule="exact"/>
        <w:ind w:firstLine="420" w:firstLineChars="200"/>
        <w:rPr>
          <w:rFonts w:hint="eastAsia"/>
          <w:color w:val="auto"/>
          <w:sz w:val="21"/>
          <w:szCs w:val="24"/>
        </w:rPr>
        <w:sectPr>
          <w:headerReference r:id="rId11" w:type="default"/>
          <w:footerReference r:id="rId12" w:type="default"/>
          <w:pgSz w:w="11906" w:h="16838"/>
          <w:pgMar w:top="1440" w:right="1800" w:bottom="1440" w:left="1800" w:header="851" w:footer="992" w:gutter="0"/>
          <w:lnNumType w:countBy="0" w:distance="360"/>
          <w:pgNumType w:fmt="decimal"/>
          <w:cols w:space="720" w:num="1"/>
          <w:docGrid w:type="lines" w:linePitch="312" w:charSpace="0"/>
        </w:sectPr>
      </w:pPr>
    </w:p>
    <w:permEnd w:id="8"/>
    <w:p w14:paraId="7FA41C25">
      <w:pPr>
        <w:numPr>
          <w:ilvl w:val="0"/>
          <w:numId w:val="0"/>
        </w:num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附件1：</w:t>
      </w:r>
    </w:p>
    <w:p w14:paraId="3767ADAE">
      <w:pPr>
        <w:numPr>
          <w:ilvl w:val="0"/>
          <w:numId w:val="0"/>
        </w:num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廉 政 合 同</w:t>
      </w:r>
    </w:p>
    <w:p w14:paraId="3EFD3064">
      <w:pPr>
        <w:pStyle w:val="10"/>
        <w:spacing w:beforeLines="0" w:afterLines="0" w:line="560" w:lineRule="exact"/>
        <w:ind w:firstLine="422" w:firstLineChars="200"/>
        <w:rPr>
          <w:rFonts w:hint="eastAsia"/>
          <w:b/>
          <w:color w:val="auto"/>
          <w:sz w:val="21"/>
          <w:szCs w:val="24"/>
        </w:rPr>
      </w:pPr>
    </w:p>
    <w:p w14:paraId="6A99AB53">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9"/>
      <w:r>
        <w:rPr>
          <w:rFonts w:hint="eastAsia" w:ascii="仿宋_GB2312" w:hAnsi="仿宋_GB2312" w:eastAsia="仿宋_GB2312" w:cs="仿宋_GB2312"/>
          <w:color w:val="auto"/>
          <w:sz w:val="28"/>
          <w:szCs w:val="28"/>
        </w:rPr>
        <w:t>项目名称）的采购人</w:t>
      </w:r>
      <w:permStart w:id="10" w:edGrp="everyone"/>
      <w:r>
        <w:rPr>
          <w:rFonts w:hint="eastAsia" w:ascii="仿宋_GB2312" w:hAnsi="仿宋_GB2312" w:eastAsia="仿宋_GB2312" w:cs="仿宋_GB2312"/>
          <w:color w:val="auto"/>
          <w:sz w:val="28"/>
          <w:szCs w:val="28"/>
          <w:u w:val="single"/>
        </w:rPr>
        <w:t xml:space="preserve"> 安徽省经工物资有限公司  </w:t>
      </w:r>
      <w:permEnd w:id="10"/>
      <w:r>
        <w:rPr>
          <w:rFonts w:hint="eastAsia" w:ascii="仿宋_GB2312" w:hAnsi="仿宋_GB2312" w:eastAsia="仿宋_GB2312" w:cs="仿宋_GB2312"/>
          <w:color w:val="auto"/>
          <w:sz w:val="28"/>
          <w:szCs w:val="28"/>
        </w:rPr>
        <w:t>（采购人名称，以下简称甲方）与该项目的供货商</w:t>
      </w:r>
      <w:permStart w:id="11" w:edGrp="everyone"/>
      <w:r>
        <w:rPr>
          <w:rFonts w:hint="eastAsia" w:ascii="仿宋_GB2312" w:hAnsi="仿宋_GB2312" w:eastAsia="仿宋_GB2312" w:cs="仿宋_GB2312"/>
          <w:color w:val="auto"/>
          <w:sz w:val="28"/>
          <w:szCs w:val="28"/>
          <w:u w:val="single"/>
        </w:rPr>
        <w:t xml:space="preserve">               </w:t>
      </w:r>
      <w:permEnd w:id="11"/>
      <w:r>
        <w:rPr>
          <w:rFonts w:hint="eastAsia" w:ascii="仿宋_GB2312" w:hAnsi="仿宋_GB2312" w:eastAsia="仿宋_GB2312" w:cs="仿宋_GB2312"/>
          <w:color w:val="auto"/>
          <w:sz w:val="28"/>
          <w:szCs w:val="28"/>
        </w:rPr>
        <w:t>（供货商名称，以下简称乙方），特订立如下合同。</w:t>
      </w:r>
    </w:p>
    <w:p w14:paraId="631D0CC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1.甲乙双方的权利和义务</w:t>
      </w:r>
    </w:p>
    <w:p w14:paraId="0C55E326">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（1）严格遵守党的政策和国家有关法律法规的有关规定。</w:t>
      </w:r>
    </w:p>
    <w:p w14:paraId="455EB75B">
      <w:pPr>
        <w:numPr>
          <w:ilvl w:val="0"/>
          <w:numId w:val="0"/>
        </w:num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（2）严格执行</w:t>
      </w:r>
      <w:permStart w:id="12" w:edGrp="everyone"/>
      <w:r>
        <w:rPr>
          <w:rFonts w:hint="eastAsia" w:ascii="仿宋_GB2312" w:hAnsi="仿宋_GB2312" w:eastAsia="仿宋_GB2312" w:cs="仿宋_GB2312"/>
          <w:color w:val="auto"/>
          <w:sz w:val="28"/>
          <w:szCs w:val="28"/>
          <w:u w:val="single"/>
        </w:rPr>
        <w:t xml:space="preserve">                             </w:t>
      </w:r>
      <w:permEnd w:id="12"/>
      <w:r>
        <w:rPr>
          <w:rFonts w:hint="eastAsia" w:ascii="仿宋_GB2312" w:hAnsi="仿宋_GB2312" w:eastAsia="仿宋_GB2312" w:cs="仿宋_GB2312"/>
          <w:color w:val="auto"/>
          <w:sz w:val="28"/>
          <w:szCs w:val="28"/>
        </w:rPr>
        <w:t>（合同文件名称）合同文件，自觉按合同办事。</w:t>
      </w:r>
    </w:p>
    <w:p w14:paraId="01DEB90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（3）双方的业务活动坚持公开、公正、诚信、透明的原则（法律认定的商业秘密和合同文件另有规定除外），不得损害国家和集体利益。</w:t>
      </w:r>
    </w:p>
    <w:p w14:paraId="167E7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（4）建立健全廉政制度，开展廉政教育和廉洁文化建设，公布举报电话，监督并认真查处违规违纪违法行为。</w:t>
      </w:r>
    </w:p>
    <w:p w14:paraId="5B103D9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（5）发现对方在业务活动中有违反廉政规定的行为，有及时提醒对方纠正的权利和义务。</w:t>
      </w:r>
    </w:p>
    <w:p w14:paraId="102E0ED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（6）发现对方严重违反本合同义务条款的行为，有向有关部门举报、建议给予处理并要求告知处理结果的权利。</w:t>
      </w:r>
    </w:p>
    <w:p w14:paraId="4D20B0C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2.甲方的义务</w:t>
      </w:r>
    </w:p>
    <w:p w14:paraId="7E06196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（1）甲方及其工作人员不得利用职务之便索要或接受乙方的礼品、礼金、消费卡和有价证券、股权、其他金融产品等财物。</w:t>
      </w:r>
    </w:p>
    <w:p w14:paraId="40082E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（2）甲方及其工作人员不得在利用职务之便为乙方谋取利益之前或之后，约定在其离职后收受乙方财物，并在离职后收受。</w:t>
      </w:r>
    </w:p>
    <w:p w14:paraId="695AC1D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（3）甲方及其工作人员不得在乙方报销应由甲方或个人支付的费用等。</w:t>
      </w:r>
    </w:p>
    <w:p w14:paraId="6A32C75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（4）甲方及其工作人员不得要求或者接受乙方可能影响公正执行公务的宴请以及旅游、健身、娱乐等活动安排，不得要求和接受乙方提供的交通工具、通讯工具、高档办公用品等。</w:t>
      </w:r>
    </w:p>
    <w:p w14:paraId="671FA68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80A8BF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（6）甲方及其工作人员不得要求乙方购买合同规定外的材料和设备。    </w:t>
      </w:r>
    </w:p>
    <w:p w14:paraId="2FE7180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（7）甲方及其工作人员不得有其他可能影响廉洁从业的行为。</w:t>
      </w:r>
    </w:p>
    <w:p w14:paraId="326B45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3.乙方的义务</w:t>
      </w:r>
    </w:p>
    <w:p w14:paraId="7CD924E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（1）乙方及其工作人员不得以任何形式向甲方及其工作人员行贿或馈赠礼品、礼金、消费卡和有价证券、股权、其他金融产品等财物，以及回扣、好处费、感谢费等。</w:t>
      </w:r>
    </w:p>
    <w:p w14:paraId="6610A9E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（2）乙方及其工作人员不得与甲方及其工作人员约定，甲方及其工作人员利用职务之便为乙方谋取利益，乙方在其离职后给予财物。</w:t>
      </w:r>
    </w:p>
    <w:p w14:paraId="26AD880A">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（3）乙方不得以任何名义为甲方及其工作人员报销由甲方单位或个人支付的任何费用。</w:t>
      </w:r>
    </w:p>
    <w:p w14:paraId="13A91A8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（4）乙方及其工作人员不得以任何理由邀请甲方工作人员参与可能影响公正执行公务的宴请以及旅游、健身、娱乐等活动。不得为甲方单位和个人购置或提供通讯工具、交通工具和高档办公用品等。</w:t>
      </w:r>
    </w:p>
    <w:p w14:paraId="2DA306E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（5）乙方及其工作人员不得为甲方工作人员住房装修、婚丧嫁娶、出国出境、旅游等提供方便；不得为甲方工作人员的特定关系人以安排工作为名，使其不实际工作却获取薪酬。</w:t>
      </w:r>
    </w:p>
    <w:p w14:paraId="46E3A17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（6）乙方及其工作人员不得有其他可能影响廉洁从业的行为。</w:t>
      </w:r>
    </w:p>
    <w:p w14:paraId="2277F35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4.违约责任</w:t>
      </w:r>
    </w:p>
    <w:p w14:paraId="63D466D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（1）甲方及其工作人员违反本合同第1、2条，按管理权限，依据有关规定给予党纪政务处分和组织处理；涉嫌犯罪的，移交司法机关追究刑事责任；给乙方单位造成经济损失的，应予以赔偿。</w:t>
      </w:r>
    </w:p>
    <w:p w14:paraId="15B1810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（2）乙方及其工作人员违反本合同第1、3条，按管理权限，依据有关规定，给予相关处理；给甲方单位造成经济损失的，应予以赔偿。</w:t>
      </w:r>
    </w:p>
    <w:p w14:paraId="3BF0ED6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5.本合同有效期为甲乙双方签署之日起至该供货合同履行完毕后止。</w:t>
      </w:r>
    </w:p>
    <w:p w14:paraId="08947E17">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6.本合同作为</w:t>
      </w:r>
      <w:permStart w:id="13" w:edGrp="everyone"/>
      <w:r>
        <w:rPr>
          <w:rFonts w:hint="eastAsia" w:ascii="仿宋_GB2312" w:hAnsi="仿宋_GB2312" w:eastAsia="仿宋_GB2312" w:cs="仿宋_GB2312"/>
          <w:color w:val="auto"/>
          <w:sz w:val="28"/>
          <w:szCs w:val="28"/>
          <w:u w:val="single"/>
        </w:rPr>
        <w:t xml:space="preserve">                             </w:t>
      </w:r>
      <w:permEnd w:id="13"/>
      <w:r>
        <w:rPr>
          <w:rFonts w:hint="eastAsia" w:ascii="仿宋_GB2312" w:hAnsi="仿宋_GB2312" w:eastAsia="仿宋_GB2312" w:cs="仿宋_GB2312"/>
          <w:color w:val="auto"/>
          <w:sz w:val="28"/>
          <w:szCs w:val="28"/>
        </w:rPr>
        <w:t>（合同文件名称）的附件，与采购合同具有同等的法律效力，经合同双方签署立即生效。</w:t>
      </w:r>
    </w:p>
    <w:p w14:paraId="3709BF4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7.本合同一式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FB758F0">
      <w:pPr>
        <w:pStyle w:val="10"/>
        <w:spacing w:beforeLines="0" w:afterLines="0"/>
        <w:rPr>
          <w:rFonts w:hint="eastAsia" w:ascii="仿宋_GB2312" w:hAnsi="仿宋_GB2312" w:eastAsia="仿宋_GB2312" w:cs="仿宋_GB2312"/>
          <w:color w:val="auto"/>
          <w:sz w:val="28"/>
          <w:szCs w:val="28"/>
        </w:rPr>
      </w:pPr>
    </w:p>
    <w:p w14:paraId="56A32439">
      <w:pPr>
        <w:spacing w:beforeLines="0" w:afterLines="0"/>
        <w:rPr>
          <w:rFonts w:hint="eastAsia"/>
          <w:color w:val="auto"/>
          <w:sz w:val="21"/>
          <w:szCs w:val="24"/>
        </w:rPr>
      </w:pPr>
    </w:p>
    <w:p w14:paraId="270CBAF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                  乙方（盖章）：</w:t>
      </w:r>
    </w:p>
    <w:p w14:paraId="7A92C25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或</w:t>
      </w:r>
    </w:p>
    <w:p w14:paraId="155654CE">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授权委托人（签字）：             授权委托人（签字）：</w:t>
      </w:r>
    </w:p>
    <w:p w14:paraId="6E19CC8F">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774B86D">
      <w:pPr>
        <w:spacing w:beforeLines="0" w:afterLines="0" w:line="56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textWrapping"/>
      </w:r>
    </w:p>
    <w:p w14:paraId="363D4365">
      <w:pPr>
        <w:spacing w:beforeLines="0" w:afterLines="0" w:line="5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附件2：</w:t>
      </w:r>
    </w:p>
    <w:p w14:paraId="5CCB79CA">
      <w:pPr>
        <w:spacing w:beforeLines="0" w:afterLines="0" w:line="560" w:lineRule="exact"/>
        <w:ind w:firstLine="883" w:firstLineChars="200"/>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75347F21">
      <w:pPr>
        <w:pStyle w:val="10"/>
        <w:spacing w:beforeLines="0" w:afterLines="0" w:line="560" w:lineRule="exact"/>
        <w:ind w:firstLine="420" w:firstLineChars="200"/>
        <w:rPr>
          <w:rFonts w:hint="eastAsia"/>
          <w:color w:val="auto"/>
          <w:sz w:val="21"/>
          <w:szCs w:val="24"/>
        </w:rPr>
      </w:pPr>
    </w:p>
    <w:p w14:paraId="7E43EDC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permStart w:id="14"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ermEnd w:id="14"/>
      <w:r>
        <w:rPr>
          <w:rFonts w:hint="eastAsia" w:ascii="仿宋_GB2312" w:hAnsi="仿宋_GB2312" w:eastAsia="仿宋_GB2312" w:cs="仿宋_GB2312"/>
          <w:color w:val="auto"/>
          <w:sz w:val="28"/>
          <w:szCs w:val="28"/>
        </w:rPr>
        <w:t xml:space="preserve">项目名称）的实施过程中创造安全、高效的施工环境，切实搞好本项目的安全管理工作，本项目采购人 </w:t>
      </w:r>
      <w:permStart w:id="15" w:edGrp="everyone"/>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安徽省经工物资有限公司    </w:t>
      </w:r>
      <w:permEnd w:id="15"/>
      <w:r>
        <w:rPr>
          <w:rFonts w:hint="eastAsia" w:ascii="仿宋_GB2312" w:hAnsi="仿宋_GB2312" w:eastAsia="仿宋_GB2312" w:cs="仿宋_GB2312"/>
          <w:color w:val="auto"/>
          <w:sz w:val="28"/>
          <w:szCs w:val="28"/>
        </w:rPr>
        <w:t>（采购人名称，以下简称甲方）与该项目的供货商</w:t>
      </w:r>
      <w:permStart w:id="16" w:edGrp="everyone"/>
      <w:r>
        <w:rPr>
          <w:rFonts w:hint="eastAsia" w:ascii="仿宋_GB2312" w:hAnsi="仿宋_GB2312" w:eastAsia="仿宋_GB2312" w:cs="仿宋_GB2312"/>
          <w:color w:val="auto"/>
          <w:sz w:val="28"/>
          <w:szCs w:val="28"/>
          <w:u w:val="single"/>
        </w:rPr>
        <w:t xml:space="preserve">              </w:t>
      </w:r>
      <w:permEnd w:id="16"/>
      <w:r>
        <w:rPr>
          <w:rFonts w:hint="eastAsia" w:ascii="仿宋_GB2312" w:hAnsi="仿宋_GB2312" w:eastAsia="仿宋_GB2312" w:cs="仿宋_GB2312"/>
          <w:color w:val="auto"/>
          <w:sz w:val="28"/>
          <w:szCs w:val="28"/>
        </w:rPr>
        <w:t>（供货商名称，以下简称乙方）特此签订此安全生产合同：</w:t>
      </w:r>
    </w:p>
    <w:p w14:paraId="5963FDE5">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防止和减少安全事故，保障人民群众生命和财产安全，有效促进双方全面履行经营合同，维护双方的合法权益，依据《中华人民共和国民法典》、《中华人民共和</w:t>
      </w:r>
      <w:r>
        <w:rPr>
          <w:rFonts w:hint="eastAsia" w:ascii="仿宋_GB2312" w:hAnsi="仿宋_GB2312" w:eastAsia="仿宋_GB2312" w:cs="仿宋_GB2312"/>
          <w:color w:val="auto"/>
          <w:sz w:val="28"/>
          <w:szCs w:val="28"/>
          <w:lang w:val="en-US" w:eastAsia="zh-CN"/>
        </w:rPr>
        <w:t>国</w:t>
      </w:r>
      <w:r>
        <w:rPr>
          <w:rFonts w:hint="eastAsia" w:ascii="仿宋_GB2312" w:hAnsi="仿宋_GB2312" w:eastAsia="仿宋_GB2312" w:cs="仿宋_GB2312"/>
          <w:color w:val="auto"/>
          <w:sz w:val="28"/>
          <w:szCs w:val="28"/>
        </w:rPr>
        <w:t>道路交通安全法》、《中华人民共和国安全生产法》、《中华人民共和国环境保护法》等相关安全法律、行政法规和规章，在平等、自愿、公平和诚实信用的原则下，双方就材料供应、运输安全事项协商一致，双方达成如下协议：</w:t>
      </w:r>
    </w:p>
    <w:p w14:paraId="4C17F116">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236CD0BD">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二、甲方负责提供材料堆放场地，乙方负责供应及运输。</w:t>
      </w:r>
    </w:p>
    <w:p w14:paraId="562A84F4">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三、在甲方运输区域，乙方运输车辆必须服从甲方的统一管理、调度和指挥，严格遵守交通规则，保证道路的畅通和运输安全，不得乱停、乱靠、乱装、乱卸，不得争道抢行，不得超速超载。</w:t>
      </w:r>
    </w:p>
    <w:p w14:paraId="046249CB">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四、乙方对提供的运输车辆应当已取得国家道路运输的许可证，并确保车辆性能符合安全技术标准、防止带病上路运行，已依照国家法律政策规定购齐有关车辆保险。</w:t>
      </w:r>
    </w:p>
    <w:p w14:paraId="1AEC4397">
      <w:pPr>
        <w:pStyle w:val="10"/>
        <w:spacing w:beforeLines="0" w:afterLines="0"/>
        <w:rPr>
          <w:rFonts w:hint="eastAsia"/>
          <w:color w:val="auto"/>
          <w:sz w:val="21"/>
          <w:szCs w:val="24"/>
        </w:rPr>
      </w:pPr>
    </w:p>
    <w:p w14:paraId="1841B558">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五、乙方应当设立安全管理人员，配备有专业知识、技能的人员并明确责任，建立、健全安全规章制度，为其雇佣的从业人员提供安全法规知识、安全规章制度、安全操作规程和安全操作技能教育和培训。</w:t>
      </w:r>
    </w:p>
    <w:p w14:paraId="60F6B7D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六、乙方应确保货物在卸载过程中，装卸工有安全防护措施，发现不安全因素，及时处理。在甲方区域，禁止出现无证操作、无证驾驶现象。</w:t>
      </w:r>
    </w:p>
    <w:p w14:paraId="4E54FB02">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E391B20">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八、乙方在履行合同过程中，必须确保货物运输及供应安全，如发生各类人身、财产事故，造成的一切损失均由乙方负责承担，甲方概不负责。</w:t>
      </w:r>
    </w:p>
    <w:p w14:paraId="6A817C4F">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九、争议的解决 </w:t>
      </w:r>
    </w:p>
    <w:p w14:paraId="70D833A3">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本合同在履行中如发生争议，双方应及时协商解决。协商不成的，任何一方均有权将合同争议事项向甲方公司注册所在地人民法院提起诉讼，通过法定程序解决。</w:t>
      </w:r>
    </w:p>
    <w:p w14:paraId="4594E65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十、本协议一式</w:t>
      </w:r>
      <w:r>
        <w:rPr>
          <w:rFonts w:hint="eastAsia" w:ascii="仿宋_GB2312" w:hAnsi="仿宋_GB2312" w:eastAsia="仿宋_GB2312" w:cs="仿宋_GB2312"/>
          <w:color w:val="auto"/>
          <w:sz w:val="28"/>
          <w:szCs w:val="28"/>
          <w:u w:val="single"/>
        </w:rPr>
        <w:t xml:space="preserve">  叁 </w:t>
      </w:r>
      <w:r>
        <w:rPr>
          <w:rFonts w:hint="eastAsia" w:ascii="仿宋_GB2312" w:hAnsi="仿宋_GB2312" w:eastAsia="仿宋_GB2312" w:cs="仿宋_GB2312"/>
          <w:color w:val="auto"/>
          <w:sz w:val="28"/>
          <w:szCs w:val="28"/>
        </w:rPr>
        <w:t xml:space="preserve">份，甲方执 </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壹   </w:t>
      </w:r>
      <w:r>
        <w:rPr>
          <w:rFonts w:hint="eastAsia" w:ascii="仿宋_GB2312" w:hAnsi="仿宋_GB2312" w:eastAsia="仿宋_GB2312" w:cs="仿宋_GB2312"/>
          <w:color w:val="auto"/>
          <w:sz w:val="28"/>
          <w:szCs w:val="28"/>
        </w:rPr>
        <w:t>份。</w:t>
      </w:r>
    </w:p>
    <w:p w14:paraId="62BF0EEC">
      <w:pPr>
        <w:spacing w:beforeLines="0" w:afterLines="0" w:line="560" w:lineRule="exact"/>
        <w:ind w:firstLine="560" w:firstLineChars="200"/>
        <w:rPr>
          <w:rFonts w:hint="eastAsia" w:ascii="仿宋_GB2312" w:hAnsi="仿宋_GB2312" w:eastAsia="仿宋_GB2312" w:cs="仿宋_GB2312"/>
          <w:color w:val="auto"/>
          <w:sz w:val="28"/>
          <w:szCs w:val="28"/>
        </w:rPr>
      </w:pPr>
    </w:p>
    <w:p w14:paraId="4D5D92EC">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14:paraId="2EFD33C9">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                      法定代表人</w:t>
      </w:r>
    </w:p>
    <w:p w14:paraId="1D91E5D1">
      <w:pPr>
        <w:spacing w:beforeLines="0" w:afterLines="0"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或授权委托人（签字）：          或授权委托人（签字）：</w:t>
      </w:r>
    </w:p>
    <w:p w14:paraId="340A417C">
      <w:pPr>
        <w:spacing w:beforeLines="0" w:afterLines="0" w:line="5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4E516E8A">
      <w:pPr>
        <w:pStyle w:val="13"/>
        <w:adjustRightInd w:val="0"/>
        <w:snapToGrid w:val="0"/>
        <w:spacing w:beforeLines="0" w:afterLines="0"/>
        <w:jc w:val="left"/>
        <w:rPr>
          <w:rFonts w:hint="eastAsia" w:ascii="仿宋_GB2312" w:hAnsi="仿宋_GB2312" w:eastAsia="仿宋_GB2312" w:cs="仿宋_GB2312"/>
          <w:b/>
          <w:color w:val="auto"/>
          <w:sz w:val="28"/>
          <w:szCs w:val="28"/>
        </w:rPr>
      </w:pPr>
    </w:p>
    <w:p w14:paraId="08910F88">
      <w:pPr>
        <w:pStyle w:val="13"/>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5"/>
        <w:jc w:val="center"/>
        <w:rPr>
          <w:rFonts w:hint="eastAsia" w:ascii="宋体" w:hAnsi="宋体" w:eastAsia="宋体" w:cs="宋体"/>
          <w:b/>
          <w:bCs/>
          <w:color w:val="auto"/>
          <w:sz w:val="28"/>
          <w:szCs w:val="28"/>
          <w:highlight w:val="none"/>
          <w:lang w:val="en-US" w:eastAsia="zh-CN"/>
        </w:rPr>
      </w:pPr>
    </w:p>
    <w:p w14:paraId="56324A43">
      <w:pPr>
        <w:pStyle w:val="35"/>
        <w:jc w:val="center"/>
        <w:rPr>
          <w:rFonts w:hint="eastAsia" w:ascii="宋体" w:hAnsi="宋体" w:eastAsia="宋体" w:cs="宋体"/>
          <w:b/>
          <w:bCs/>
          <w:color w:val="auto"/>
          <w:sz w:val="28"/>
          <w:szCs w:val="28"/>
          <w:highlight w:val="none"/>
          <w:lang w:val="en-US" w:eastAsia="zh-CN"/>
        </w:rPr>
      </w:pPr>
    </w:p>
    <w:p w14:paraId="40178912">
      <w:pPr>
        <w:pStyle w:val="35"/>
        <w:jc w:val="center"/>
        <w:rPr>
          <w:rFonts w:hint="eastAsia" w:ascii="宋体" w:hAnsi="宋体" w:eastAsia="宋体" w:cs="宋体"/>
          <w:b/>
          <w:bCs/>
          <w:color w:val="auto"/>
          <w:sz w:val="28"/>
          <w:szCs w:val="28"/>
          <w:highlight w:val="none"/>
          <w:lang w:val="en-US" w:eastAsia="zh-CN"/>
        </w:rPr>
      </w:pPr>
    </w:p>
    <w:p w14:paraId="3D9FB0D6">
      <w:pPr>
        <w:pStyle w:val="35"/>
        <w:jc w:val="center"/>
        <w:rPr>
          <w:rFonts w:hint="eastAsia" w:ascii="宋体" w:hAnsi="宋体" w:eastAsia="宋体" w:cs="宋体"/>
          <w:b/>
          <w:bCs/>
          <w:color w:val="auto"/>
          <w:sz w:val="28"/>
          <w:szCs w:val="28"/>
          <w:highlight w:val="none"/>
          <w:lang w:val="en-US" w:eastAsia="zh-CN"/>
        </w:rPr>
      </w:pPr>
    </w:p>
    <w:p w14:paraId="2A3C4900">
      <w:pPr>
        <w:pStyle w:val="35"/>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21035"/>
      <w:r>
        <w:rPr>
          <w:rFonts w:hint="eastAsia" w:ascii="Times New Roman" w:hAnsi="Times New Roman" w:eastAsia="宋体" w:cs="Times New Roman"/>
          <w:color w:val="auto"/>
          <w:highlight w:val="none"/>
          <w:lang w:val="en-US" w:eastAsia="zh-CN"/>
        </w:rPr>
        <w:t>第五章</w:t>
      </w:r>
      <w:r>
        <w:rPr>
          <w:rFonts w:hint="eastAsia" w:ascii="Times New Roman" w:hAnsi="Times New Roman" w:eastAsia="宋体" w:cs="Times New Roman"/>
          <w:color w:val="FF0000"/>
          <w:highlight w:val="none"/>
          <w:lang w:val="en-US" w:eastAsia="zh-CN"/>
        </w:rPr>
        <w:t xml:space="preserve"> </w:t>
      </w:r>
      <w:bookmarkStart w:id="65" w:name="_Toc31285"/>
      <w:bookmarkStart w:id="66" w:name="_Toc25485"/>
      <w:r>
        <w:rPr>
          <w:rFonts w:hint="eastAsia" w:ascii="Times New Roman" w:hAnsi="Times New Roman" w:eastAsia="宋体" w:cs="Times New Roman"/>
          <w:color w:val="000000" w:themeColor="text1"/>
          <w:highlight w:val="none"/>
          <w:lang w:val="en-US" w:eastAsia="zh-CN"/>
          <w14:textFill>
            <w14:solidFill>
              <w14:schemeClr w14:val="tx1"/>
            </w14:solidFill>
          </w14:textFill>
        </w:rPr>
        <w:t>采购需求及清单</w:t>
      </w:r>
      <w:bookmarkEnd w:id="64"/>
      <w:bookmarkEnd w:id="65"/>
      <w:bookmarkEnd w:id="66"/>
    </w:p>
    <w:p w14:paraId="67481325">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2372A2BA">
      <w:pPr>
        <w:pStyle w:val="21"/>
        <w:numPr>
          <w:ilvl w:val="0"/>
          <w:numId w:val="0"/>
        </w:numPr>
        <w:jc w:val="center"/>
        <w:rPr>
          <w:rFonts w:hint="eastAsia" w:eastAsiaTheme="minorEastAsia"/>
          <w:lang w:val="en-US" w:eastAsia="zh-CN"/>
        </w:rPr>
      </w:pPr>
      <w:r>
        <w:rPr>
          <w:rFonts w:hint="eastAsia"/>
          <w:lang w:val="en-US" w:eastAsia="zh-CN"/>
        </w:rPr>
        <w:t>/</w:t>
      </w:r>
    </w:p>
    <w:p w14:paraId="45C5A6E3">
      <w:pPr>
        <w:pStyle w:val="21"/>
        <w:numPr>
          <w:ilvl w:val="0"/>
          <w:numId w:val="4"/>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33A8C8D7">
      <w:pPr>
        <w:pStyle w:val="21"/>
        <w:widowControl w:val="0"/>
        <w:numPr>
          <w:ilvl w:val="0"/>
          <w:numId w:val="0"/>
        </w:numPr>
        <w:spacing w:after="120"/>
        <w:jc w:val="center"/>
        <w:rPr>
          <w:rFonts w:hint="eastAsia" w:ascii="宋体" w:hAnsi="宋体" w:cs="宋体"/>
          <w:b/>
          <w:color w:val="auto"/>
          <w:sz w:val="28"/>
          <w:szCs w:val="28"/>
          <w:highlight w:val="none"/>
        </w:rPr>
      </w:pPr>
    </w:p>
    <w:p w14:paraId="27E575F0">
      <w:pPr>
        <w:pStyle w:val="21"/>
        <w:widowControl w:val="0"/>
        <w:numPr>
          <w:ilvl w:val="0"/>
          <w:numId w:val="0"/>
        </w:numPr>
        <w:spacing w:after="120"/>
        <w:jc w:val="center"/>
        <w:rPr>
          <w:rFonts w:hint="eastAsia" w:ascii="宋体" w:hAnsi="宋体" w:cs="宋体"/>
          <w:b/>
          <w:color w:val="auto"/>
          <w:sz w:val="28"/>
          <w:szCs w:val="28"/>
          <w:highlight w:val="none"/>
        </w:rPr>
      </w:pPr>
    </w:p>
    <w:p w14:paraId="2F6A7368">
      <w:pPr>
        <w:pStyle w:val="21"/>
        <w:widowControl w:val="0"/>
        <w:numPr>
          <w:ilvl w:val="0"/>
          <w:numId w:val="0"/>
        </w:numPr>
        <w:spacing w:after="120"/>
        <w:jc w:val="center"/>
        <w:rPr>
          <w:rFonts w:hint="eastAsia" w:ascii="宋体" w:hAnsi="宋体" w:cs="宋体"/>
          <w:b/>
          <w:color w:val="auto"/>
          <w:sz w:val="28"/>
          <w:szCs w:val="28"/>
          <w:highlight w:val="none"/>
        </w:rPr>
      </w:pPr>
    </w:p>
    <w:p w14:paraId="690AE786">
      <w:pPr>
        <w:pStyle w:val="21"/>
        <w:widowControl w:val="0"/>
        <w:numPr>
          <w:ilvl w:val="0"/>
          <w:numId w:val="0"/>
        </w:numPr>
        <w:spacing w:after="120"/>
        <w:jc w:val="center"/>
        <w:rPr>
          <w:rFonts w:hint="eastAsia" w:ascii="宋体" w:hAnsi="宋体" w:cs="宋体"/>
          <w:b/>
          <w:color w:val="auto"/>
          <w:sz w:val="28"/>
          <w:szCs w:val="28"/>
          <w:highlight w:val="none"/>
        </w:rPr>
      </w:pPr>
    </w:p>
    <w:p w14:paraId="1D08E359">
      <w:pPr>
        <w:pStyle w:val="21"/>
        <w:widowControl w:val="0"/>
        <w:numPr>
          <w:ilvl w:val="0"/>
          <w:numId w:val="0"/>
        </w:numPr>
        <w:spacing w:after="120"/>
        <w:jc w:val="center"/>
        <w:rPr>
          <w:rFonts w:hint="eastAsia" w:ascii="宋体" w:hAnsi="宋体" w:cs="宋体"/>
          <w:b/>
          <w:color w:val="auto"/>
          <w:sz w:val="28"/>
          <w:szCs w:val="28"/>
          <w:highlight w:val="none"/>
        </w:rPr>
      </w:pPr>
    </w:p>
    <w:p w14:paraId="62FCBAB6">
      <w:pPr>
        <w:pStyle w:val="21"/>
        <w:widowControl w:val="0"/>
        <w:numPr>
          <w:ilvl w:val="0"/>
          <w:numId w:val="0"/>
        </w:numPr>
        <w:spacing w:after="120"/>
        <w:jc w:val="center"/>
        <w:rPr>
          <w:rFonts w:hint="eastAsia" w:ascii="宋体" w:hAnsi="宋体" w:cs="宋体"/>
          <w:b/>
          <w:color w:val="auto"/>
          <w:sz w:val="28"/>
          <w:szCs w:val="28"/>
          <w:highlight w:val="none"/>
        </w:rPr>
      </w:pPr>
    </w:p>
    <w:p w14:paraId="2F53F39F">
      <w:pPr>
        <w:pStyle w:val="21"/>
        <w:widowControl w:val="0"/>
        <w:numPr>
          <w:ilvl w:val="0"/>
          <w:numId w:val="0"/>
        </w:numPr>
        <w:spacing w:after="120"/>
        <w:jc w:val="center"/>
        <w:rPr>
          <w:rFonts w:hint="eastAsia" w:ascii="宋体" w:hAnsi="宋体" w:cs="宋体"/>
          <w:b/>
          <w:color w:val="auto"/>
          <w:sz w:val="28"/>
          <w:szCs w:val="28"/>
          <w:highlight w:val="none"/>
        </w:rPr>
      </w:pPr>
    </w:p>
    <w:p w14:paraId="1C4C5B1F">
      <w:pPr>
        <w:pStyle w:val="21"/>
        <w:widowControl w:val="0"/>
        <w:numPr>
          <w:ilvl w:val="0"/>
          <w:numId w:val="0"/>
        </w:numPr>
        <w:spacing w:after="120"/>
        <w:jc w:val="center"/>
        <w:rPr>
          <w:rFonts w:hint="eastAsia" w:ascii="宋体" w:hAnsi="宋体" w:cs="宋体"/>
          <w:b/>
          <w:color w:val="auto"/>
          <w:sz w:val="28"/>
          <w:szCs w:val="28"/>
          <w:highlight w:val="none"/>
        </w:rPr>
      </w:pPr>
    </w:p>
    <w:p w14:paraId="1F470764">
      <w:pPr>
        <w:pStyle w:val="21"/>
        <w:widowControl w:val="0"/>
        <w:numPr>
          <w:ilvl w:val="0"/>
          <w:numId w:val="0"/>
        </w:numPr>
        <w:spacing w:after="120"/>
        <w:jc w:val="center"/>
        <w:rPr>
          <w:rFonts w:hint="eastAsia" w:ascii="宋体" w:hAnsi="宋体" w:cs="宋体"/>
          <w:b/>
          <w:color w:val="auto"/>
          <w:sz w:val="28"/>
          <w:szCs w:val="28"/>
          <w:highlight w:val="none"/>
        </w:rPr>
      </w:pPr>
    </w:p>
    <w:p w14:paraId="664605DD">
      <w:pPr>
        <w:pStyle w:val="21"/>
        <w:widowControl w:val="0"/>
        <w:numPr>
          <w:ilvl w:val="0"/>
          <w:numId w:val="0"/>
        </w:numPr>
        <w:spacing w:after="120"/>
        <w:jc w:val="center"/>
        <w:rPr>
          <w:rFonts w:hint="eastAsia" w:ascii="宋体" w:hAnsi="宋体" w:cs="宋体"/>
          <w:b/>
          <w:color w:val="auto"/>
          <w:sz w:val="28"/>
          <w:szCs w:val="28"/>
          <w:highlight w:val="none"/>
        </w:rPr>
      </w:pPr>
    </w:p>
    <w:p w14:paraId="6DAB7F84">
      <w:pPr>
        <w:pStyle w:val="21"/>
        <w:widowControl w:val="0"/>
        <w:numPr>
          <w:ilvl w:val="0"/>
          <w:numId w:val="0"/>
        </w:numPr>
        <w:spacing w:after="120"/>
        <w:jc w:val="center"/>
        <w:rPr>
          <w:rFonts w:hint="eastAsia" w:ascii="宋体" w:hAnsi="宋体" w:cs="宋体"/>
          <w:b/>
          <w:color w:val="auto"/>
          <w:sz w:val="28"/>
          <w:szCs w:val="28"/>
          <w:highlight w:val="none"/>
        </w:rPr>
      </w:pPr>
    </w:p>
    <w:p w14:paraId="3F45C87E">
      <w:pPr>
        <w:pStyle w:val="21"/>
        <w:widowControl w:val="0"/>
        <w:numPr>
          <w:ilvl w:val="0"/>
          <w:numId w:val="0"/>
        </w:numPr>
        <w:spacing w:after="120"/>
        <w:jc w:val="center"/>
        <w:rPr>
          <w:rFonts w:hint="eastAsia" w:ascii="宋体" w:hAnsi="宋体" w:cs="宋体"/>
          <w:b/>
          <w:color w:val="auto"/>
          <w:sz w:val="28"/>
          <w:szCs w:val="28"/>
          <w:highlight w:val="none"/>
        </w:rPr>
      </w:pPr>
    </w:p>
    <w:p w14:paraId="43FD896F">
      <w:pPr>
        <w:pStyle w:val="21"/>
        <w:widowControl w:val="0"/>
        <w:numPr>
          <w:ilvl w:val="0"/>
          <w:numId w:val="0"/>
        </w:numPr>
        <w:spacing w:after="120"/>
        <w:jc w:val="center"/>
        <w:rPr>
          <w:rFonts w:hint="eastAsia" w:ascii="宋体" w:hAnsi="宋体" w:cs="宋体"/>
          <w:b/>
          <w:color w:val="auto"/>
          <w:sz w:val="28"/>
          <w:szCs w:val="28"/>
          <w:highlight w:val="none"/>
        </w:rPr>
      </w:pPr>
    </w:p>
    <w:p w14:paraId="6C13BDF9">
      <w:pPr>
        <w:pStyle w:val="21"/>
        <w:widowControl w:val="0"/>
        <w:numPr>
          <w:ilvl w:val="0"/>
          <w:numId w:val="0"/>
        </w:numPr>
        <w:spacing w:after="120"/>
        <w:jc w:val="center"/>
        <w:rPr>
          <w:rFonts w:hint="eastAsia" w:ascii="宋体" w:hAnsi="宋体" w:cs="宋体"/>
          <w:b/>
          <w:color w:val="auto"/>
          <w:sz w:val="28"/>
          <w:szCs w:val="28"/>
          <w:highlight w:val="none"/>
        </w:rPr>
      </w:pPr>
    </w:p>
    <w:p w14:paraId="47AC78E6">
      <w:pPr>
        <w:pStyle w:val="21"/>
        <w:widowControl w:val="0"/>
        <w:numPr>
          <w:ilvl w:val="0"/>
          <w:numId w:val="0"/>
        </w:numPr>
        <w:spacing w:after="120"/>
        <w:jc w:val="center"/>
        <w:rPr>
          <w:rFonts w:hint="eastAsia" w:ascii="宋体" w:hAnsi="宋体" w:cs="宋体"/>
          <w:b/>
          <w:color w:val="auto"/>
          <w:sz w:val="28"/>
          <w:szCs w:val="28"/>
          <w:highlight w:val="none"/>
        </w:rPr>
        <w:sectPr>
          <w:pgSz w:w="11906" w:h="16838"/>
          <w:pgMar w:top="1440" w:right="1797" w:bottom="1440" w:left="1797" w:header="851" w:footer="992" w:gutter="0"/>
          <w:pgNumType w:fmt="decimal"/>
          <w:cols w:space="425" w:num="1"/>
          <w:docGrid w:type="lines" w:linePitch="312" w:charSpace="0"/>
        </w:sect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865"/>
        <w:gridCol w:w="2067"/>
        <w:gridCol w:w="819"/>
        <w:gridCol w:w="1043"/>
        <w:gridCol w:w="1162"/>
        <w:gridCol w:w="1171"/>
        <w:gridCol w:w="2103"/>
        <w:gridCol w:w="1434"/>
        <w:gridCol w:w="1787"/>
      </w:tblGrid>
      <w:tr w14:paraId="1A77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C60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陈埠服务区东区幕墙铝单板采购项目</w:t>
            </w:r>
          </w:p>
        </w:tc>
      </w:tr>
      <w:tr w14:paraId="2B18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5" w:type="pct"/>
            <w:tcBorders>
              <w:top w:val="single" w:color="000000" w:sz="4" w:space="0"/>
              <w:left w:val="single" w:color="000000" w:sz="4" w:space="0"/>
              <w:bottom w:val="nil"/>
              <w:right w:val="single" w:color="000000" w:sz="4" w:space="0"/>
            </w:tcBorders>
            <w:shd w:val="clear" w:color="auto" w:fill="auto"/>
            <w:vAlign w:val="center"/>
          </w:tcPr>
          <w:p w14:paraId="1D678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8" w:type="pct"/>
            <w:tcBorders>
              <w:top w:val="single" w:color="000000" w:sz="4" w:space="0"/>
              <w:left w:val="single" w:color="000000" w:sz="4" w:space="0"/>
              <w:bottom w:val="nil"/>
              <w:right w:val="single" w:color="000000" w:sz="4" w:space="0"/>
            </w:tcBorders>
            <w:shd w:val="clear" w:color="auto" w:fill="auto"/>
            <w:vAlign w:val="center"/>
          </w:tcPr>
          <w:p w14:paraId="03F86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29" w:type="pct"/>
            <w:tcBorders>
              <w:top w:val="single" w:color="000000" w:sz="4" w:space="0"/>
              <w:left w:val="single" w:color="000000" w:sz="4" w:space="0"/>
              <w:bottom w:val="nil"/>
              <w:right w:val="single" w:color="000000" w:sz="4" w:space="0"/>
            </w:tcBorders>
            <w:shd w:val="clear" w:color="auto" w:fill="auto"/>
            <w:vAlign w:val="center"/>
          </w:tcPr>
          <w:p w14:paraId="2CB92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60A9A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8" w:type="pct"/>
            <w:tcBorders>
              <w:top w:val="single" w:color="000000" w:sz="4" w:space="0"/>
              <w:left w:val="single" w:color="000000" w:sz="4" w:space="0"/>
              <w:bottom w:val="nil"/>
              <w:right w:val="single" w:color="000000" w:sz="4" w:space="0"/>
            </w:tcBorders>
            <w:shd w:val="clear" w:color="auto" w:fill="auto"/>
            <w:vAlign w:val="center"/>
          </w:tcPr>
          <w:p w14:paraId="7D6DD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2FD7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13" w:type="pct"/>
            <w:tcBorders>
              <w:top w:val="single" w:color="000000" w:sz="4" w:space="0"/>
              <w:left w:val="single" w:color="000000" w:sz="4" w:space="0"/>
              <w:bottom w:val="nil"/>
              <w:right w:val="single" w:color="000000" w:sz="4" w:space="0"/>
            </w:tcBorders>
            <w:shd w:val="clear" w:color="auto" w:fill="auto"/>
            <w:vAlign w:val="center"/>
          </w:tcPr>
          <w:p w14:paraId="5DF75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742" w:type="pct"/>
            <w:tcBorders>
              <w:top w:val="single" w:color="000000" w:sz="4" w:space="0"/>
              <w:left w:val="single" w:color="000000" w:sz="4" w:space="0"/>
              <w:bottom w:val="nil"/>
              <w:right w:val="single" w:color="000000" w:sz="4" w:space="0"/>
            </w:tcBorders>
            <w:shd w:val="clear" w:color="auto" w:fill="auto"/>
            <w:vAlign w:val="center"/>
          </w:tcPr>
          <w:p w14:paraId="07EFE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铝板样式参考图片</w:t>
            </w:r>
          </w:p>
        </w:tc>
        <w:tc>
          <w:tcPr>
            <w:tcW w:w="506" w:type="pct"/>
            <w:tcBorders>
              <w:top w:val="single" w:color="000000" w:sz="4" w:space="0"/>
              <w:left w:val="single" w:color="000000" w:sz="4" w:space="0"/>
              <w:bottom w:val="nil"/>
              <w:right w:val="single" w:color="000000" w:sz="4" w:space="0"/>
            </w:tcBorders>
            <w:shd w:val="clear" w:color="auto" w:fill="auto"/>
            <w:vAlign w:val="center"/>
          </w:tcPr>
          <w:p w14:paraId="1D46F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27" w:type="pct"/>
            <w:tcBorders>
              <w:top w:val="single" w:color="000000" w:sz="4" w:space="0"/>
              <w:left w:val="single" w:color="000000" w:sz="4" w:space="0"/>
              <w:bottom w:val="nil"/>
              <w:right w:val="single" w:color="000000" w:sz="4" w:space="0"/>
            </w:tcBorders>
            <w:shd w:val="clear" w:color="auto" w:fill="auto"/>
            <w:vAlign w:val="center"/>
          </w:tcPr>
          <w:p w14:paraId="43484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使用部位</w:t>
            </w:r>
          </w:p>
        </w:tc>
      </w:tr>
      <w:tr w14:paraId="0DDD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A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E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B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4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3313.17</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C9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C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2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956945</wp:posOffset>
                  </wp:positionV>
                  <wp:extent cx="1110615" cy="927100"/>
                  <wp:effectExtent l="0" t="0" r="13335" b="6350"/>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15"/>
                          <a:stretch>
                            <a:fillRect/>
                          </a:stretch>
                        </pic:blipFill>
                        <pic:spPr>
                          <a:xfrm>
                            <a:off x="0" y="0"/>
                            <a:ext cx="1110615" cy="927100"/>
                          </a:xfrm>
                          <a:prstGeom prst="rect">
                            <a:avLst/>
                          </a:prstGeom>
                          <a:noFill/>
                          <a:ln>
                            <a:noFill/>
                          </a:ln>
                        </pic:spPr>
                      </pic:pic>
                    </a:graphicData>
                  </a:graphic>
                </wp:anchor>
              </w:drawing>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90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9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2201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D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幕墙圆弧单曲铝单板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B6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D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8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E7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A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A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0C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8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3D69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1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D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幕墙双曲铝单板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2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5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5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4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7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A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F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22FD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1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5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B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3mm厚深灰色氟碳油漆喷涂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D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C7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91.12</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0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0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1171575" cy="949325"/>
                  <wp:effectExtent l="0" t="0" r="9525" b="3175"/>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embed="rId16"/>
                          <a:stretch>
                            <a:fillRect/>
                          </a:stretch>
                        </pic:blipFill>
                        <pic:spPr>
                          <a:xfrm>
                            <a:off x="0" y="0"/>
                            <a:ext cx="1171575" cy="949325"/>
                          </a:xfrm>
                          <a:prstGeom prst="rect">
                            <a:avLst/>
                          </a:prstGeom>
                          <a:noFill/>
                          <a:ln>
                            <a:noFill/>
                          </a:ln>
                        </pic:spPr>
                      </pic:pic>
                    </a:graphicData>
                  </a:graphic>
                </wp:anchor>
              </w:drawing>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4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CD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幕墙墙面</w:t>
            </w:r>
          </w:p>
        </w:tc>
      </w:tr>
      <w:tr w14:paraId="0F4C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4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5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3mm厚浅灰色氟碳油漆喷涂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7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5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1843.85</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E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07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C1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68580</wp:posOffset>
                  </wp:positionH>
                  <wp:positionV relativeFrom="paragraph">
                    <wp:posOffset>16510</wp:posOffset>
                  </wp:positionV>
                  <wp:extent cx="1102360" cy="969645"/>
                  <wp:effectExtent l="0" t="0" r="2540" b="1905"/>
                  <wp:wrapNone/>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17"/>
                          <a:stretch>
                            <a:fillRect/>
                          </a:stretch>
                        </pic:blipFill>
                        <pic:spPr>
                          <a:xfrm>
                            <a:off x="0" y="0"/>
                            <a:ext cx="1102360" cy="969645"/>
                          </a:xfrm>
                          <a:prstGeom prst="rect">
                            <a:avLst/>
                          </a:prstGeom>
                          <a:noFill/>
                          <a:ln>
                            <a:noFill/>
                          </a:ln>
                        </pic:spPr>
                      </pic:pic>
                    </a:graphicData>
                  </a:graphic>
                </wp:anchor>
              </w:drawing>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4B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B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幕墙墙面</w:t>
            </w:r>
          </w:p>
        </w:tc>
      </w:tr>
      <w:tr w14:paraId="3D51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D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1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幕墙穿孔铝单板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6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3mm厚木色（香槟色）氟碳油漆喷涂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1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1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1288.47</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AA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0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E7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30480</wp:posOffset>
                  </wp:positionV>
                  <wp:extent cx="1092835" cy="934720"/>
                  <wp:effectExtent l="0" t="0" r="12065" b="17780"/>
                  <wp:wrapNone/>
                  <wp:docPr id="4" name="图片_5"/>
                  <wp:cNvGraphicFramePr/>
                  <a:graphic xmlns:a="http://schemas.openxmlformats.org/drawingml/2006/main">
                    <a:graphicData uri="http://schemas.openxmlformats.org/drawingml/2006/picture">
                      <pic:pic xmlns:pic="http://schemas.openxmlformats.org/drawingml/2006/picture">
                        <pic:nvPicPr>
                          <pic:cNvPr id="4" name="图片_5"/>
                          <pic:cNvPicPr/>
                        </pic:nvPicPr>
                        <pic:blipFill>
                          <a:blip r:embed="rId18"/>
                          <a:stretch>
                            <a:fillRect/>
                          </a:stretch>
                        </pic:blipFill>
                        <pic:spPr>
                          <a:xfrm>
                            <a:off x="0" y="0"/>
                            <a:ext cx="1092835" cy="934720"/>
                          </a:xfrm>
                          <a:prstGeom prst="rect">
                            <a:avLst/>
                          </a:prstGeom>
                          <a:noFill/>
                          <a:ln>
                            <a:noFill/>
                          </a:ln>
                        </pic:spPr>
                      </pic:pic>
                    </a:graphicData>
                  </a:graphic>
                </wp:anchor>
              </w:drawing>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3F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F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女儿墙</w:t>
            </w:r>
          </w:p>
        </w:tc>
      </w:tr>
      <w:tr w14:paraId="14ED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C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8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D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98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C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B6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9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742315</wp:posOffset>
                  </wp:positionV>
                  <wp:extent cx="1120775" cy="993775"/>
                  <wp:effectExtent l="0" t="0" r="3175" b="15875"/>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9"/>
                          <a:stretch>
                            <a:fillRect/>
                          </a:stretch>
                        </pic:blipFill>
                        <pic:spPr>
                          <a:xfrm>
                            <a:off x="0" y="0"/>
                            <a:ext cx="1120775" cy="993775"/>
                          </a:xfrm>
                          <a:prstGeom prst="rect">
                            <a:avLst/>
                          </a:prstGeom>
                          <a:noFill/>
                          <a:ln>
                            <a:noFill/>
                          </a:ln>
                        </pic:spPr>
                      </pic:pic>
                    </a:graphicData>
                  </a:graphic>
                </wp:anchor>
              </w:drawing>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F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1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2E91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A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0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室内吊顶圆弧单曲铝单板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B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C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8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75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6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6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FF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2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502F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1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2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室内吊顶双曲铝单板</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7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0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2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FB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B5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D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76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4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47B8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8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56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D67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B4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FB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D2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2E8CD2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797" w:right="1440" w:bottom="1797" w:left="1440" w:header="851" w:footer="992" w:gutter="0"/>
          <w:pgNumType w:fmt="decimal"/>
          <w:cols w:space="425" w:num="1"/>
          <w:docGrid w:type="lines" w:linePitch="312" w:charSpace="0"/>
        </w:sect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74"/>
      </w:tblGrid>
      <w:tr w14:paraId="7087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5000" w:type="pct"/>
            <w:tcBorders>
              <w:top w:val="nil"/>
              <w:left w:val="nil"/>
              <w:bottom w:val="nil"/>
              <w:right w:val="nil"/>
            </w:tcBorders>
            <w:shd w:val="clear" w:color="auto" w:fill="auto"/>
            <w:vAlign w:val="center"/>
          </w:tcPr>
          <w:p w14:paraId="113A6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1.二次图纸深化设计及现场尺寸测量、排版下料费用、下料损耗等含在综合单价里。                                                            2.铝单板按设计图示尺寸以展开面积计算，折边隐藏进行固定部分，面积不在另计算。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3.供应商应充分熟悉图纸及现场情况，后期不能以铝单板造型复杂，如超宽超长、圆弧焊接刨槽等情况要求增加费用。</w:t>
            </w:r>
          </w:p>
        </w:tc>
      </w:tr>
    </w:tbl>
    <w:p w14:paraId="33653792">
      <w:pPr>
        <w:pStyle w:val="21"/>
        <w:numPr>
          <w:ilvl w:val="0"/>
          <w:numId w:val="0"/>
        </w:numPr>
        <w:jc w:val="both"/>
        <w:rPr>
          <w:rFonts w:hint="eastAsia" w:ascii="宋体" w:hAnsi="宋体" w:cs="宋体"/>
          <w:b/>
          <w:color w:val="auto"/>
          <w:sz w:val="21"/>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9"/>
        <w:gridCol w:w="1756"/>
        <w:gridCol w:w="1925"/>
        <w:gridCol w:w="938"/>
        <w:gridCol w:w="1267"/>
        <w:gridCol w:w="1066"/>
        <w:gridCol w:w="1088"/>
        <w:gridCol w:w="1963"/>
        <w:gridCol w:w="1846"/>
        <w:gridCol w:w="1656"/>
      </w:tblGrid>
      <w:tr w14:paraId="6686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94D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陈埠服务区西区幕墙铝单板采购项目</w:t>
            </w:r>
          </w:p>
        </w:tc>
      </w:tr>
      <w:tr w14:paraId="7B5D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7" w:type="pct"/>
            <w:tcBorders>
              <w:top w:val="single" w:color="000000" w:sz="4" w:space="0"/>
              <w:left w:val="single" w:color="000000" w:sz="4" w:space="0"/>
              <w:bottom w:val="nil"/>
              <w:right w:val="single" w:color="000000" w:sz="4" w:space="0"/>
            </w:tcBorders>
            <w:shd w:val="clear" w:color="auto" w:fill="auto"/>
            <w:vAlign w:val="center"/>
          </w:tcPr>
          <w:p w14:paraId="00265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11" w:type="pct"/>
            <w:tcBorders>
              <w:top w:val="single" w:color="000000" w:sz="4" w:space="0"/>
              <w:left w:val="single" w:color="000000" w:sz="4" w:space="0"/>
              <w:bottom w:val="nil"/>
              <w:right w:val="single" w:color="000000" w:sz="4" w:space="0"/>
            </w:tcBorders>
            <w:shd w:val="clear" w:color="auto" w:fill="auto"/>
            <w:vAlign w:val="center"/>
          </w:tcPr>
          <w:p w14:paraId="350D4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680" w:type="pct"/>
            <w:tcBorders>
              <w:top w:val="single" w:color="000000" w:sz="4" w:space="0"/>
              <w:left w:val="single" w:color="000000" w:sz="4" w:space="0"/>
              <w:bottom w:val="nil"/>
              <w:right w:val="single" w:color="000000" w:sz="4" w:space="0"/>
            </w:tcBorders>
            <w:shd w:val="clear" w:color="auto" w:fill="auto"/>
            <w:vAlign w:val="center"/>
          </w:tcPr>
          <w:p w14:paraId="1F89A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332" w:type="pct"/>
            <w:tcBorders>
              <w:top w:val="single" w:color="000000" w:sz="4" w:space="0"/>
              <w:left w:val="single" w:color="000000" w:sz="4" w:space="0"/>
              <w:bottom w:val="nil"/>
              <w:right w:val="single" w:color="000000" w:sz="4" w:space="0"/>
            </w:tcBorders>
            <w:shd w:val="clear" w:color="auto" w:fill="auto"/>
            <w:vAlign w:val="center"/>
          </w:tcPr>
          <w:p w14:paraId="59535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2795D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0453A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385" w:type="pct"/>
            <w:tcBorders>
              <w:top w:val="single" w:color="000000" w:sz="4" w:space="0"/>
              <w:left w:val="single" w:color="000000" w:sz="4" w:space="0"/>
              <w:bottom w:val="nil"/>
              <w:right w:val="single" w:color="000000" w:sz="4" w:space="0"/>
            </w:tcBorders>
            <w:shd w:val="clear" w:color="auto" w:fill="auto"/>
            <w:vAlign w:val="center"/>
          </w:tcPr>
          <w:p w14:paraId="5ED13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693" w:type="pct"/>
            <w:tcBorders>
              <w:top w:val="single" w:color="000000" w:sz="4" w:space="0"/>
              <w:left w:val="single" w:color="000000" w:sz="4" w:space="0"/>
              <w:bottom w:val="nil"/>
              <w:right w:val="single" w:color="000000" w:sz="4" w:space="0"/>
            </w:tcBorders>
            <w:shd w:val="clear" w:color="auto" w:fill="auto"/>
            <w:vAlign w:val="center"/>
          </w:tcPr>
          <w:p w14:paraId="21706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铝板样式参考图片</w:t>
            </w:r>
          </w:p>
        </w:tc>
        <w:tc>
          <w:tcPr>
            <w:tcW w:w="652" w:type="pct"/>
            <w:tcBorders>
              <w:top w:val="single" w:color="000000" w:sz="4" w:space="0"/>
              <w:left w:val="single" w:color="000000" w:sz="4" w:space="0"/>
              <w:bottom w:val="nil"/>
              <w:right w:val="single" w:color="000000" w:sz="4" w:space="0"/>
            </w:tcBorders>
            <w:shd w:val="clear" w:color="auto" w:fill="auto"/>
            <w:vAlign w:val="center"/>
          </w:tcPr>
          <w:p w14:paraId="152E0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582" w:type="pct"/>
            <w:tcBorders>
              <w:top w:val="single" w:color="000000" w:sz="4" w:space="0"/>
              <w:left w:val="single" w:color="000000" w:sz="4" w:space="0"/>
              <w:bottom w:val="nil"/>
              <w:right w:val="single" w:color="000000" w:sz="4" w:space="0"/>
            </w:tcBorders>
            <w:shd w:val="clear" w:color="auto" w:fill="auto"/>
            <w:vAlign w:val="center"/>
          </w:tcPr>
          <w:p w14:paraId="610FE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使用部位</w:t>
            </w:r>
          </w:p>
        </w:tc>
      </w:tr>
      <w:tr w14:paraId="20B0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6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51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4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5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3313.17</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A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81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7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833120</wp:posOffset>
                  </wp:positionV>
                  <wp:extent cx="1110615" cy="927100"/>
                  <wp:effectExtent l="0" t="0" r="13335" b="6350"/>
                  <wp:wrapNone/>
                  <wp:docPr id="17" name="图片_1"/>
                  <wp:cNvGraphicFramePr/>
                  <a:graphic xmlns:a="http://schemas.openxmlformats.org/drawingml/2006/main">
                    <a:graphicData uri="http://schemas.openxmlformats.org/drawingml/2006/picture">
                      <pic:pic xmlns:pic="http://schemas.openxmlformats.org/drawingml/2006/picture">
                        <pic:nvPicPr>
                          <pic:cNvPr id="17" name="图片_1"/>
                          <pic:cNvPicPr/>
                        </pic:nvPicPr>
                        <pic:blipFill>
                          <a:blip r:embed="rId15"/>
                          <a:stretch>
                            <a:fillRect/>
                          </a:stretch>
                        </pic:blipFill>
                        <pic:spPr>
                          <a:xfrm>
                            <a:off x="0" y="0"/>
                            <a:ext cx="1110615" cy="927100"/>
                          </a:xfrm>
                          <a:prstGeom prst="rect">
                            <a:avLst/>
                          </a:prstGeom>
                          <a:noFill/>
                          <a:ln>
                            <a:noFill/>
                          </a:ln>
                        </pic:spPr>
                      </pic:pic>
                    </a:graphicData>
                  </a:graphic>
                </wp:anchor>
              </w:drawing>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4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E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1188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3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7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幕墙圆弧单曲铝单板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1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5A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0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B1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B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2D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7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68D0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5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8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幕墙双曲铝单板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F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3mm厚银灰色氟碳油漆喷涂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3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9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EC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D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84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8A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檐口及包柱</w:t>
            </w:r>
          </w:p>
        </w:tc>
      </w:tr>
      <w:tr w14:paraId="5E02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C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E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3mm厚深灰色氟碳油漆喷涂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EC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D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B3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B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22225</wp:posOffset>
                  </wp:positionV>
                  <wp:extent cx="1047115" cy="958850"/>
                  <wp:effectExtent l="0" t="0" r="635" b="1270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16"/>
                          <a:stretch>
                            <a:fillRect/>
                          </a:stretch>
                        </pic:blipFill>
                        <pic:spPr>
                          <a:xfrm>
                            <a:off x="0" y="0"/>
                            <a:ext cx="1047115" cy="958850"/>
                          </a:xfrm>
                          <a:prstGeom prst="rect">
                            <a:avLst/>
                          </a:prstGeom>
                          <a:noFill/>
                          <a:ln>
                            <a:noFill/>
                          </a:ln>
                        </pic:spPr>
                      </pic:pic>
                    </a:graphicData>
                  </a:graphic>
                </wp:anchor>
              </w:drawing>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C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C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幕墙墙面</w:t>
            </w:r>
          </w:p>
        </w:tc>
      </w:tr>
      <w:tr w14:paraId="5394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9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5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E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3mm厚浅灰色氟碳油漆喷涂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8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0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5E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C8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6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1014095</wp:posOffset>
                  </wp:positionV>
                  <wp:extent cx="1140460" cy="1019810"/>
                  <wp:effectExtent l="0" t="0" r="2540" b="8890"/>
                  <wp:wrapNone/>
                  <wp:docPr id="15" name="图片_4"/>
                  <wp:cNvGraphicFramePr/>
                  <a:graphic xmlns:a="http://schemas.openxmlformats.org/drawingml/2006/main">
                    <a:graphicData uri="http://schemas.openxmlformats.org/drawingml/2006/picture">
                      <pic:pic xmlns:pic="http://schemas.openxmlformats.org/drawingml/2006/picture">
                        <pic:nvPicPr>
                          <pic:cNvPr id="15" name="图片_4"/>
                          <pic:cNvPicPr/>
                        </pic:nvPicPr>
                        <pic:blipFill>
                          <a:blip r:embed="rId20"/>
                          <a:stretch>
                            <a:fillRect/>
                          </a:stretch>
                        </pic:blipFill>
                        <pic:spPr>
                          <a:xfrm>
                            <a:off x="0" y="0"/>
                            <a:ext cx="1140460" cy="101981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90170</wp:posOffset>
                  </wp:positionH>
                  <wp:positionV relativeFrom="paragraph">
                    <wp:posOffset>15875</wp:posOffset>
                  </wp:positionV>
                  <wp:extent cx="1071245" cy="973455"/>
                  <wp:effectExtent l="0" t="0" r="14605" b="17145"/>
                  <wp:wrapNone/>
                  <wp:docPr id="13" name="图片_3"/>
                  <wp:cNvGraphicFramePr/>
                  <a:graphic xmlns:a="http://schemas.openxmlformats.org/drawingml/2006/main">
                    <a:graphicData uri="http://schemas.openxmlformats.org/drawingml/2006/picture">
                      <pic:pic xmlns:pic="http://schemas.openxmlformats.org/drawingml/2006/picture">
                        <pic:nvPicPr>
                          <pic:cNvPr id="13" name="图片_3"/>
                          <pic:cNvPicPr/>
                        </pic:nvPicPr>
                        <pic:blipFill>
                          <a:blip r:embed="rId21"/>
                          <a:stretch>
                            <a:fillRect/>
                          </a:stretch>
                        </pic:blipFill>
                        <pic:spPr>
                          <a:xfrm>
                            <a:off x="0" y="0"/>
                            <a:ext cx="1071245" cy="973455"/>
                          </a:xfrm>
                          <a:prstGeom prst="rect">
                            <a:avLst/>
                          </a:prstGeom>
                          <a:noFill/>
                          <a:ln>
                            <a:noFill/>
                          </a:ln>
                        </pic:spPr>
                      </pic:pic>
                    </a:graphicData>
                  </a:graphic>
                </wp:anchor>
              </w:drawing>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8F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8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幕墙墙面</w:t>
            </w:r>
          </w:p>
        </w:tc>
      </w:tr>
      <w:tr w14:paraId="639C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B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F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幕墙穿孔铝单板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9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3mm厚木色（香槟色）氟碳油漆喷涂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9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D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1288.47</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7F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1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6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D8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2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女儿墙</w:t>
            </w:r>
          </w:p>
        </w:tc>
      </w:tr>
      <w:tr w14:paraId="39D3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6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53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4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8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E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93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0F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2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wp:posOffset>
                  </wp:positionH>
                  <wp:positionV relativeFrom="paragraph">
                    <wp:posOffset>447040</wp:posOffset>
                  </wp:positionV>
                  <wp:extent cx="1120775" cy="993775"/>
                  <wp:effectExtent l="0" t="0" r="3175" b="15875"/>
                  <wp:wrapNone/>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22"/>
                          <a:stretch>
                            <a:fillRect/>
                          </a:stretch>
                        </pic:blipFill>
                        <pic:spPr>
                          <a:xfrm>
                            <a:off x="0" y="0"/>
                            <a:ext cx="1120775" cy="993775"/>
                          </a:xfrm>
                          <a:prstGeom prst="rect">
                            <a:avLst/>
                          </a:prstGeom>
                          <a:noFill/>
                          <a:ln>
                            <a:noFill/>
                          </a:ln>
                        </pic:spPr>
                      </pic:pic>
                    </a:graphicData>
                  </a:graphic>
                </wp:anchor>
              </w:drawing>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61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6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7F5B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F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1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室内吊顶圆弧单曲铝单板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5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9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A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D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91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66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D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0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79CB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5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1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室内吊顶双曲铝单板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4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3mm厚白色氟碳油漆喷涂</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3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01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2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B2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E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B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室内顶面及柱面</w:t>
            </w:r>
          </w:p>
        </w:tc>
      </w:tr>
      <w:tr w14:paraId="0AA1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6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54E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AF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667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CC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27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C0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000" w:type="pct"/>
            <w:gridSpan w:val="10"/>
            <w:tcBorders>
              <w:top w:val="nil"/>
              <w:left w:val="nil"/>
              <w:bottom w:val="nil"/>
              <w:right w:val="nil"/>
            </w:tcBorders>
            <w:shd w:val="clear" w:color="auto" w:fill="auto"/>
            <w:vAlign w:val="center"/>
          </w:tcPr>
          <w:p w14:paraId="144C9E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1.二次图纸深化设计及现场尺寸测量、排版下料费用、下料损耗等含在综合单价里。                                                            2.铝单板按设计图示尺寸以展开面积计算，折边隐藏进行固定部分，面积不在另计算。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3.供应商应充分熟悉图纸及现场情况，后期不能以铝单板造型复杂，如超宽超长、圆弧焊接刨槽等情况要求增加费用。</w:t>
            </w:r>
          </w:p>
        </w:tc>
      </w:tr>
    </w:tbl>
    <w:p w14:paraId="5C711E39">
      <w:pPr>
        <w:pStyle w:val="21"/>
        <w:numPr>
          <w:ilvl w:val="0"/>
          <w:numId w:val="0"/>
        </w:numPr>
        <w:jc w:val="both"/>
        <w:rPr>
          <w:rFonts w:hint="eastAsia" w:ascii="宋体" w:hAnsi="宋体" w:cs="宋体"/>
          <w:b/>
          <w:color w:val="auto"/>
          <w:sz w:val="21"/>
          <w:szCs w:val="21"/>
          <w:highlight w:val="none"/>
        </w:rPr>
      </w:pPr>
    </w:p>
    <w:p w14:paraId="276FF3C9">
      <w:pPr>
        <w:rPr>
          <w:rFonts w:hint="default"/>
          <w:color w:val="auto"/>
          <w:sz w:val="21"/>
          <w:szCs w:val="24"/>
          <w:highlight w:val="none"/>
          <w:lang w:val="en-US" w:eastAsia="zh-CN"/>
        </w:rPr>
      </w:pPr>
    </w:p>
    <w:p w14:paraId="311DDD84">
      <w:pPr>
        <w:rPr>
          <w:rFonts w:hint="default"/>
          <w:color w:val="auto"/>
          <w:sz w:val="21"/>
          <w:szCs w:val="24"/>
          <w:highlight w:val="none"/>
          <w:lang w:val="en-US" w:eastAsia="zh-CN"/>
        </w:rPr>
      </w:pPr>
    </w:p>
    <w:p w14:paraId="41F1C272">
      <w:pPr>
        <w:rPr>
          <w:rFonts w:hint="default"/>
          <w:color w:val="auto"/>
          <w:sz w:val="21"/>
          <w:szCs w:val="24"/>
          <w:highlight w:val="none"/>
          <w:lang w:val="en-US" w:eastAsia="zh-CN"/>
        </w:rPr>
      </w:pPr>
    </w:p>
    <w:p w14:paraId="536D8108">
      <w:pPr>
        <w:rPr>
          <w:rFonts w:hint="default"/>
          <w:color w:val="auto"/>
          <w:sz w:val="21"/>
          <w:szCs w:val="24"/>
          <w:highlight w:val="none"/>
          <w:lang w:val="en-US" w:eastAsia="zh-CN"/>
        </w:rPr>
      </w:pPr>
    </w:p>
    <w:p w14:paraId="320EF54A">
      <w:pPr>
        <w:rPr>
          <w:rFonts w:hint="default"/>
          <w:color w:val="auto"/>
          <w:sz w:val="21"/>
          <w:szCs w:val="24"/>
          <w:highlight w:val="none"/>
          <w:lang w:val="en-US" w:eastAsia="zh-CN"/>
        </w:rPr>
      </w:pPr>
    </w:p>
    <w:p w14:paraId="2ADF5734">
      <w:pPr>
        <w:rPr>
          <w:rFonts w:hint="default"/>
          <w:color w:val="auto"/>
          <w:sz w:val="21"/>
          <w:szCs w:val="24"/>
          <w:highlight w:val="none"/>
          <w:lang w:val="en-US" w:eastAsia="zh-CN"/>
        </w:rPr>
      </w:pPr>
    </w:p>
    <w:p w14:paraId="5A6A5828">
      <w:pPr>
        <w:rPr>
          <w:rFonts w:hint="default"/>
          <w:color w:val="auto"/>
          <w:sz w:val="21"/>
          <w:szCs w:val="24"/>
          <w:highlight w:val="none"/>
          <w:lang w:val="en-US" w:eastAsia="zh-CN"/>
        </w:rPr>
      </w:pPr>
    </w:p>
    <w:p w14:paraId="14F76B0E">
      <w:pPr>
        <w:rPr>
          <w:rFonts w:hint="default"/>
          <w:color w:val="auto"/>
          <w:sz w:val="21"/>
          <w:szCs w:val="24"/>
          <w:highlight w:val="none"/>
          <w:lang w:val="en-US" w:eastAsia="zh-CN"/>
        </w:rPr>
      </w:pPr>
    </w:p>
    <w:p w14:paraId="06D7ADD3">
      <w:pPr>
        <w:rPr>
          <w:rFonts w:hint="default"/>
          <w:color w:val="auto"/>
          <w:sz w:val="21"/>
          <w:szCs w:val="24"/>
          <w:highlight w:val="none"/>
          <w:lang w:val="en-US" w:eastAsia="zh-CN"/>
        </w:rPr>
      </w:pPr>
    </w:p>
    <w:p w14:paraId="5602A5F6">
      <w:pPr>
        <w:rPr>
          <w:rFonts w:hint="default"/>
          <w:color w:val="auto"/>
          <w:sz w:val="21"/>
          <w:szCs w:val="24"/>
          <w:highlight w:val="none"/>
          <w:lang w:val="en-US" w:eastAsia="zh-CN"/>
        </w:rPr>
      </w:pPr>
    </w:p>
    <w:p w14:paraId="3EB79F6A">
      <w:pPr>
        <w:rPr>
          <w:rFonts w:hint="default"/>
          <w:color w:val="auto"/>
          <w:sz w:val="21"/>
          <w:szCs w:val="24"/>
          <w:highlight w:val="none"/>
          <w:lang w:val="en-US" w:eastAsia="zh-CN"/>
        </w:rPr>
        <w:sectPr>
          <w:pgSz w:w="16838" w:h="11906" w:orient="landscape"/>
          <w:pgMar w:top="1797" w:right="1440" w:bottom="1797" w:left="1440" w:header="851" w:footer="992" w:gutter="0"/>
          <w:pgNumType w:fmt="decimal"/>
          <w:cols w:space="425" w:num="1"/>
          <w:docGrid w:type="lines" w:linePitch="312" w:charSpace="0"/>
        </w:sect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3FD26FB4">
      <w:pPr>
        <w:spacing w:beforeLines="0" w:afterLines="0"/>
        <w:rPr>
          <w:rFonts w:hint="default"/>
          <w:color w:val="auto"/>
          <w:sz w:val="21"/>
          <w:szCs w:val="24"/>
          <w:highlight w:val="none"/>
        </w:rPr>
      </w:pPr>
    </w:p>
    <w:p w14:paraId="245FB620">
      <w:pPr>
        <w:spacing w:beforeLines="0" w:afterLines="0"/>
        <w:rPr>
          <w:rFonts w:hint="default"/>
          <w:color w:val="auto"/>
          <w:sz w:val="21"/>
          <w:szCs w:val="24"/>
          <w:highlight w:val="none"/>
        </w:rPr>
      </w:pPr>
    </w:p>
    <w:p w14:paraId="2EBB7471">
      <w:pPr>
        <w:spacing w:beforeLines="0" w:afterLines="0"/>
        <w:rPr>
          <w:rFonts w:hint="default"/>
          <w:color w:val="auto"/>
          <w:sz w:val="21"/>
          <w:szCs w:val="24"/>
          <w:highlight w:val="none"/>
        </w:rPr>
      </w:pPr>
    </w:p>
    <w:p w14:paraId="6B2A5C7F">
      <w:pPr>
        <w:spacing w:beforeLines="0" w:afterLines="0"/>
        <w:rPr>
          <w:rFonts w:hint="default"/>
          <w:color w:val="auto"/>
          <w:sz w:val="21"/>
          <w:szCs w:val="24"/>
          <w:highlight w:val="none"/>
        </w:rPr>
      </w:pPr>
    </w:p>
    <w:p w14:paraId="229E74C7">
      <w:pPr>
        <w:spacing w:beforeLines="0" w:afterLines="0"/>
        <w:rPr>
          <w:rFonts w:hint="default"/>
          <w:color w:val="auto"/>
          <w:sz w:val="21"/>
          <w:szCs w:val="24"/>
          <w:highlight w:val="none"/>
        </w:rPr>
      </w:pPr>
    </w:p>
    <w:p w14:paraId="3F4FF976">
      <w:pPr>
        <w:spacing w:beforeLines="0" w:afterLines="0"/>
        <w:rPr>
          <w:rFonts w:hint="default"/>
          <w:color w:val="auto"/>
          <w:sz w:val="21"/>
          <w:szCs w:val="24"/>
          <w:highlight w:val="none"/>
        </w:rPr>
      </w:pPr>
    </w:p>
    <w:p w14:paraId="6B2E5B18">
      <w:pPr>
        <w:spacing w:beforeLines="0" w:afterLines="0"/>
        <w:rPr>
          <w:rFonts w:hint="default"/>
          <w:color w:val="auto"/>
          <w:sz w:val="21"/>
          <w:szCs w:val="24"/>
          <w:highlight w:val="none"/>
        </w:rPr>
      </w:pPr>
    </w:p>
    <w:p w14:paraId="7EBD8DCD">
      <w:pPr>
        <w:spacing w:beforeLines="0" w:afterLines="0"/>
        <w:rPr>
          <w:rFonts w:hint="default"/>
          <w:color w:val="auto"/>
          <w:sz w:val="21"/>
          <w:szCs w:val="24"/>
          <w:highlight w:val="none"/>
        </w:rPr>
      </w:pPr>
    </w:p>
    <w:p w14:paraId="71D2E477">
      <w:pPr>
        <w:spacing w:beforeLines="0" w:afterLines="0"/>
        <w:rPr>
          <w:rFonts w:hint="default"/>
          <w:color w:val="auto"/>
          <w:sz w:val="21"/>
          <w:szCs w:val="24"/>
          <w:highlight w:val="none"/>
        </w:rPr>
      </w:pPr>
    </w:p>
    <w:p w14:paraId="431CB678">
      <w:pPr>
        <w:spacing w:beforeLines="0" w:afterLines="0"/>
        <w:rPr>
          <w:rFonts w:hint="default"/>
          <w:color w:val="auto"/>
          <w:sz w:val="21"/>
          <w:szCs w:val="24"/>
          <w:highlight w:val="none"/>
        </w:rPr>
      </w:pPr>
    </w:p>
    <w:p w14:paraId="1BF335A7">
      <w:pPr>
        <w:spacing w:beforeLines="0" w:afterLines="0"/>
        <w:rPr>
          <w:rFonts w:hint="default"/>
          <w:color w:val="auto"/>
          <w:sz w:val="21"/>
          <w:szCs w:val="24"/>
          <w:highlight w:val="none"/>
        </w:rPr>
      </w:pPr>
    </w:p>
    <w:p w14:paraId="6EDD3358">
      <w:pPr>
        <w:spacing w:beforeLines="0" w:afterLines="0"/>
        <w:rPr>
          <w:rFonts w:hint="default"/>
          <w:color w:val="auto"/>
          <w:sz w:val="21"/>
          <w:szCs w:val="24"/>
          <w:highlight w:val="none"/>
        </w:rPr>
      </w:pPr>
    </w:p>
    <w:p w14:paraId="2409C0D5">
      <w:pPr>
        <w:spacing w:beforeLines="0" w:afterLines="0"/>
        <w:rPr>
          <w:rFonts w:hint="default"/>
          <w:color w:val="auto"/>
          <w:sz w:val="21"/>
          <w:szCs w:val="24"/>
          <w:highlight w:val="none"/>
        </w:rPr>
      </w:pPr>
    </w:p>
    <w:p w14:paraId="3A24D845">
      <w:pPr>
        <w:spacing w:beforeLines="0" w:afterLines="0"/>
        <w:rPr>
          <w:rFonts w:hint="default"/>
          <w:color w:val="auto"/>
          <w:sz w:val="21"/>
          <w:szCs w:val="24"/>
          <w:highlight w:val="none"/>
        </w:rPr>
      </w:pPr>
    </w:p>
    <w:p w14:paraId="42E2ED89">
      <w:pPr>
        <w:spacing w:beforeLines="0" w:afterLines="0"/>
        <w:rPr>
          <w:rFonts w:hint="default"/>
          <w:color w:val="auto"/>
          <w:sz w:val="21"/>
          <w:szCs w:val="24"/>
          <w:highlight w:val="none"/>
        </w:rPr>
      </w:pPr>
    </w:p>
    <w:p w14:paraId="1BC76569">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5627"/>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10"/>
        <w:rPr>
          <w:rFonts w:hint="eastAsia" w:ascii="方正小标宋简体" w:hAnsi="方正小标宋简体" w:eastAsia="方正小标宋简体" w:cs="方正小标宋简体"/>
          <w:color w:val="auto"/>
          <w:kern w:val="2"/>
          <w:sz w:val="44"/>
          <w:szCs w:val="44"/>
          <w:highlight w:val="none"/>
          <w:u w:val="single"/>
        </w:rPr>
      </w:pPr>
    </w:p>
    <w:p w14:paraId="3514E7CF">
      <w:pPr>
        <w:pStyle w:val="15"/>
        <w:rPr>
          <w:rFonts w:hint="eastAsia" w:ascii="方正小标宋简体" w:hAnsi="方正小标宋简体" w:eastAsia="方正小标宋简体" w:cs="方正小标宋简体"/>
          <w:color w:val="auto"/>
          <w:kern w:val="2"/>
          <w:sz w:val="44"/>
          <w:szCs w:val="44"/>
          <w:highlight w:val="none"/>
          <w:u w:val="single"/>
        </w:rPr>
      </w:pPr>
    </w:p>
    <w:p w14:paraId="367D7D36">
      <w:pPr>
        <w:pStyle w:val="16"/>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10"/>
        <w:rPr>
          <w:rFonts w:hint="eastAsia" w:ascii="方正小标宋简体" w:hAnsi="方正小标宋简体" w:eastAsia="方正小标宋简体" w:cs="方正小标宋简体"/>
          <w:color w:val="auto"/>
          <w:kern w:val="2"/>
          <w:sz w:val="44"/>
          <w:szCs w:val="44"/>
          <w:highlight w:val="none"/>
          <w:u w:val="single"/>
        </w:rPr>
      </w:pPr>
    </w:p>
    <w:p w14:paraId="01B234F1">
      <w:pPr>
        <w:pStyle w:val="15"/>
        <w:rPr>
          <w:rFonts w:hint="eastAsia" w:ascii="方正小标宋简体" w:hAnsi="方正小标宋简体" w:eastAsia="方正小标宋简体" w:cs="方正小标宋简体"/>
          <w:color w:val="auto"/>
          <w:kern w:val="2"/>
          <w:sz w:val="44"/>
          <w:szCs w:val="44"/>
          <w:highlight w:val="none"/>
          <w:u w:val="single"/>
        </w:rPr>
      </w:pPr>
    </w:p>
    <w:p w14:paraId="7646EDF7">
      <w:pPr>
        <w:pStyle w:val="16"/>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1E6F5305">
      <w:pPr>
        <w:jc w:val="center"/>
        <w:outlineLvl w:val="9"/>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安徽交控集团2025年度服务区综合改造提升工程项目铝单板采购项目</w:t>
      </w:r>
      <w:r>
        <w:rPr>
          <w:rFonts w:hint="eastAsia" w:ascii="方正小标宋简体" w:hAnsi="方正小标宋简体" w:eastAsia="方正小标宋简体" w:cs="方正小标宋简体"/>
          <w:color w:val="auto"/>
          <w:sz w:val="44"/>
          <w:szCs w:val="44"/>
          <w:highlight w:val="none"/>
          <w:u w:val="single"/>
          <w:lang w:val="en-US" w:eastAsia="zh-CN"/>
        </w:rPr>
        <w:t xml:space="preserve">   </w:t>
      </w:r>
      <w:r>
        <w:rPr>
          <w:rFonts w:hint="eastAsia" w:ascii="方正小标宋简体" w:hAnsi="方正小标宋简体" w:eastAsia="方正小标宋简体" w:cs="方正小标宋简体"/>
          <w:color w:val="auto"/>
          <w:sz w:val="44"/>
          <w:szCs w:val="44"/>
          <w:highlight w:val="none"/>
          <w:u w:val="none"/>
        </w:rPr>
        <w:t>(</w:t>
      </w:r>
      <w:r>
        <w:rPr>
          <w:rFonts w:hint="eastAsia" w:ascii="方正小标宋简体" w:hAnsi="方正小标宋简体" w:eastAsia="方正小标宋简体" w:cs="方正小标宋简体"/>
          <w:color w:val="auto"/>
          <w:sz w:val="44"/>
          <w:szCs w:val="44"/>
          <w:highlight w:val="none"/>
          <w:u w:val="none"/>
          <w:lang w:val="en-US" w:eastAsia="zh-CN"/>
        </w:rPr>
        <w:t>包段</w:t>
      </w:r>
      <w:r>
        <w:rPr>
          <w:rFonts w:hint="eastAsia" w:ascii="方正小标宋简体" w:hAnsi="方正小标宋简体" w:eastAsia="方正小标宋简体" w:cs="方正小标宋简体"/>
          <w:color w:val="auto"/>
          <w:sz w:val="44"/>
          <w:szCs w:val="44"/>
          <w:highlight w:val="none"/>
          <w:u w:val="none"/>
        </w:rPr>
        <w:t>)</w:t>
      </w:r>
    </w:p>
    <w:p w14:paraId="745617B7">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067B64F0">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17C23FA6">
      <w:pPr>
        <w:jc w:val="center"/>
        <w:outlineLvl w:val="0"/>
        <w:rPr>
          <w:rFonts w:ascii="Times New Roman" w:hAnsi="Times New Roman" w:eastAsia="黑体" w:cs="Times New Roman"/>
          <w:color w:val="auto"/>
          <w:sz w:val="50"/>
          <w:szCs w:val="50"/>
          <w:highlight w:val="none"/>
        </w:rPr>
      </w:pPr>
      <w:bookmarkStart w:id="69" w:name="_Toc30411"/>
      <w:bookmarkStart w:id="70" w:name="_Toc22486"/>
      <w:bookmarkStart w:id="71" w:name="_Toc18856"/>
      <w:bookmarkStart w:id="72" w:name="_Toc15380"/>
      <w:bookmarkStart w:id="73" w:name="_Toc28499"/>
      <w:bookmarkStart w:id="74" w:name="_Toc11988"/>
      <w:r>
        <w:rPr>
          <w:rFonts w:ascii="Times New Roman" w:hAnsi="Times New Roman" w:eastAsia="黑体" w:cs="Times New Roman"/>
          <w:color w:val="auto"/>
          <w:sz w:val="50"/>
          <w:szCs w:val="50"/>
          <w:highlight w:val="none"/>
        </w:rPr>
        <w:t>响  应  文  件</w:t>
      </w:r>
      <w:bookmarkEnd w:id="69"/>
      <w:bookmarkEnd w:id="70"/>
      <w:bookmarkEnd w:id="71"/>
      <w:bookmarkEnd w:id="72"/>
      <w:bookmarkEnd w:id="73"/>
      <w:bookmarkEnd w:id="74"/>
    </w:p>
    <w:p w14:paraId="7EEE89EB">
      <w:pPr>
        <w:pStyle w:val="22"/>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2"/>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2"/>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5" w:name="_Toc5520_WPSOffice_Level2"/>
      <w:bookmarkStart w:id="76"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5"/>
      <w:bookmarkEnd w:id="76"/>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7" w:name="_Toc20076_WPSOffice_Level2"/>
      <w:bookmarkStart w:id="78"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7"/>
      <w:bookmarkEnd w:id="78"/>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9" w:name="_Toc888"/>
      <w:bookmarkStart w:id="80" w:name="_Toc3480"/>
      <w:bookmarkStart w:id="81" w:name="_Toc24821"/>
      <w:bookmarkStart w:id="82" w:name="_Toc29605"/>
      <w:bookmarkStart w:id="83" w:name="_Toc28341"/>
      <w:bookmarkStart w:id="84" w:name="_Toc2454"/>
      <w:r>
        <w:rPr>
          <w:rFonts w:hint="eastAsia" w:ascii="黑体" w:hAnsi="黑体" w:eastAsia="黑体" w:cs="黑体"/>
          <w:b/>
          <w:bCs/>
          <w:color w:val="auto"/>
          <w:sz w:val="28"/>
          <w:szCs w:val="28"/>
          <w:highlight w:val="none"/>
        </w:rPr>
        <w:t>一、响应函（不含报价）</w:t>
      </w:r>
      <w:bookmarkEnd w:id="68"/>
      <w:bookmarkEnd w:id="79"/>
      <w:bookmarkEnd w:id="80"/>
      <w:bookmarkEnd w:id="81"/>
      <w:bookmarkEnd w:id="82"/>
      <w:bookmarkEnd w:id="83"/>
      <w:bookmarkEnd w:id="84"/>
    </w:p>
    <w:p w14:paraId="49B3464C">
      <w:pPr>
        <w:pStyle w:val="10"/>
        <w:tabs>
          <w:tab w:val="left" w:pos="972"/>
        </w:tabs>
        <w:spacing w:before="77" w:beforeLines="0" w:afterLines="0"/>
        <w:rPr>
          <w:rFonts w:hint="eastAsia" w:ascii="宋体" w:hAnsi="宋体" w:cs="宋体"/>
          <w:color w:val="auto"/>
          <w:sz w:val="24"/>
          <w:szCs w:val="24"/>
          <w:highlight w:val="none"/>
        </w:rPr>
      </w:pPr>
      <w:r>
        <w:rPr>
          <w:rFonts w:hint="eastAsia" w:ascii="宋体" w:hAnsi="宋体" w:cs="宋体" w:eastAsiaTheme="minorEastAsia"/>
          <w:color w:val="auto"/>
          <w:kern w:val="2"/>
          <w:sz w:val="24"/>
          <w:szCs w:val="24"/>
          <w:highlight w:val="none"/>
          <w:u w:val="single"/>
          <w:lang w:val="en-US" w:eastAsia="zh-CN" w:bidi="ar-SA"/>
        </w:rPr>
        <w:t>安徽</w:t>
      </w:r>
      <w:r>
        <w:rPr>
          <w:rFonts w:hint="eastAsia" w:ascii="宋体" w:hAnsi="宋体" w:cs="宋体"/>
          <w:color w:val="auto"/>
          <w:kern w:val="2"/>
          <w:sz w:val="24"/>
          <w:szCs w:val="24"/>
          <w:highlight w:val="none"/>
          <w:u w:val="single"/>
          <w:lang w:val="en-US" w:eastAsia="zh-CN" w:bidi="ar-SA"/>
        </w:rPr>
        <w:t>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安徽交控集团2025年度服务区综合改造提升工程项目铝单板采购项目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我方承诺在</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rPr>
        <w:t>规定的响应有效期内不撤销响应文件。</w:t>
      </w:r>
    </w:p>
    <w:p w14:paraId="4A5D41F9">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color w:val="auto"/>
          <w:sz w:val="24"/>
          <w:szCs w:val="24"/>
          <w:highlight w:val="none"/>
          <w:lang w:val="en-US" w:eastAsia="zh-CN"/>
        </w:rPr>
        <w:t>材料质量：</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；交货期：</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w:t>
      </w:r>
    </w:p>
    <w:p w14:paraId="5DED744C">
      <w:pPr>
        <w:pStyle w:val="40"/>
        <w:tabs>
          <w:tab w:val="left" w:pos="1130"/>
        </w:tabs>
        <w:spacing w:beforeLines="0" w:afterLines="0" w:line="48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.我方将与本响应函一起提交响应保证金，且承诺响应保证金转出账户真实有效。</w:t>
      </w:r>
    </w:p>
    <w:p w14:paraId="42E57F11">
      <w:pPr>
        <w:pStyle w:val="40"/>
        <w:tabs>
          <w:tab w:val="left" w:pos="973"/>
        </w:tabs>
        <w:spacing w:beforeLines="0" w:afterLines="0" w:line="480" w:lineRule="exact"/>
        <w:ind w:left="560" w:firstLine="0"/>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.如我方</w:t>
      </w:r>
      <w:r>
        <w:rPr>
          <w:rFonts w:hint="eastAsia"/>
          <w:color w:val="auto"/>
          <w:sz w:val="24"/>
          <w:szCs w:val="24"/>
          <w:highlight w:val="none"/>
          <w:lang w:val="en-US"/>
        </w:rPr>
        <w:t>成交</w:t>
      </w:r>
      <w:r>
        <w:rPr>
          <w:rFonts w:hint="eastAsia"/>
          <w:color w:val="auto"/>
          <w:sz w:val="24"/>
          <w:szCs w:val="24"/>
          <w:highlight w:val="none"/>
        </w:rPr>
        <w:t>，我方承诺：</w:t>
      </w:r>
    </w:p>
    <w:p w14:paraId="1B113C16">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40"/>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rPr>
        <w:t xml:space="preserve">7.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5"/>
        <w:spacing w:beforeLines="0" w:afterLines="0"/>
        <w:rPr>
          <w:rFonts w:hint="eastAsia"/>
          <w:color w:val="auto"/>
          <w:sz w:val="18"/>
          <w:szCs w:val="24"/>
          <w:highlight w:val="none"/>
        </w:rPr>
      </w:pPr>
    </w:p>
    <w:p w14:paraId="4368A36F">
      <w:pPr>
        <w:pStyle w:val="16"/>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10"/>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85" w:name="_Hlk122530524"/>
      <w:r>
        <w:rPr>
          <w:rFonts w:hint="eastAsia" w:ascii="宋体" w:hAnsi="宋体" w:cs="宋体"/>
          <w:color w:val="auto"/>
          <w:sz w:val="24"/>
          <w:szCs w:val="24"/>
          <w:highlight w:val="none"/>
          <w:u w:val="single"/>
        </w:rPr>
        <w:t xml:space="preserve">                         </w:t>
      </w:r>
      <w:bookmarkEnd w:id="85"/>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10"/>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10"/>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5"/>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9"/>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212AC62">
      <w:pPr>
        <w:pStyle w:val="19"/>
        <w:keepNext w:val="0"/>
        <w:keepLines w:val="0"/>
        <w:widowControl w:val="0"/>
        <w:suppressLineNumbers w:val="0"/>
        <w:spacing w:before="0" w:beforeAutospacing="1" w:after="120" w:afterAutospacing="0"/>
        <w:ind w:left="0" w:right="0"/>
        <w:jc w:val="both"/>
        <w:rPr>
          <w:rFonts w:hint="eastAsia" w:ascii="宋体" w:hAnsi="宋体" w:cs="宋体"/>
          <w:sz w:val="24"/>
          <w:szCs w:val="24"/>
        </w:rPr>
      </w:pPr>
      <w:r>
        <w:rPr>
          <w:rFonts w:hint="default" w:ascii="Times New Roman" w:hAnsi="Times New Roman" w:eastAsia="黑体" w:cs="Times New Roman"/>
          <w:color w:val="auto"/>
          <w:kern w:val="2"/>
          <w:sz w:val="28"/>
          <w:szCs w:val="28"/>
          <w:highlight w:val="none"/>
          <w:lang w:val="en-US" w:eastAsia="zh-CN" w:bidi="ar"/>
        </w:rPr>
        <w:t xml:space="preserve"> </w:t>
      </w:r>
    </w:p>
    <w:p w14:paraId="588C1FFC">
      <w:pPr>
        <w:spacing w:beforeLines="0" w:afterLines="0"/>
        <w:rPr>
          <w:rFonts w:hint="eastAsia" w:ascii="Times New Roman" w:hAnsi="Times New Roman" w:eastAsia="Times New Roman"/>
          <w:color w:val="auto"/>
          <w:sz w:val="28"/>
          <w:szCs w:val="28"/>
        </w:rPr>
      </w:pPr>
    </w:p>
    <w:p w14:paraId="0C53FF84">
      <w:pPr>
        <w:pStyle w:val="2"/>
        <w:numPr>
          <w:ilvl w:val="0"/>
          <w:numId w:val="0"/>
        </w:numPr>
        <w:rPr>
          <w:rFonts w:hint="default" w:ascii="黑体" w:hAnsi="黑体" w:eastAsia="黑体" w:cs="黑体"/>
          <w:b w:val="0"/>
          <w:bCs w:val="0"/>
          <w:color w:val="auto"/>
          <w:sz w:val="28"/>
          <w:szCs w:val="28"/>
          <w:highlight w:val="none"/>
        </w:rPr>
      </w:pPr>
      <w:bookmarkStart w:id="86" w:name="_Toc10313"/>
      <w:bookmarkStart w:id="87" w:name="_Toc9128"/>
      <w:bookmarkStart w:id="88" w:name="_Toc23378"/>
      <w:bookmarkStart w:id="89" w:name="_Toc17492"/>
      <w:bookmarkStart w:id="90" w:name="_Toc32259"/>
      <w:bookmarkStart w:id="91" w:name="_Toc21764"/>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86"/>
      <w:bookmarkEnd w:id="87"/>
      <w:bookmarkEnd w:id="88"/>
      <w:bookmarkEnd w:id="89"/>
      <w:bookmarkEnd w:id="90"/>
      <w:bookmarkEnd w:id="91"/>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安徽交控集团2025年度服务区综合改造提升工程项目铝单板采购项目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2" w:name="_Toc14980"/>
      <w:bookmarkStart w:id="93" w:name="_Toc9429"/>
      <w:bookmarkStart w:id="94" w:name="_Toc30850"/>
      <w:bookmarkStart w:id="95" w:name="_Toc31292"/>
      <w:bookmarkStart w:id="96" w:name="_Toc24785"/>
      <w:bookmarkStart w:id="97" w:name="_Toc282"/>
      <w:bookmarkStart w:id="98" w:name="_Toc19890"/>
      <w:r>
        <w:rPr>
          <w:rFonts w:hint="eastAsia" w:ascii="黑体" w:hAnsi="宋体" w:eastAsia="黑体" w:cs="黑体"/>
          <w:color w:val="auto"/>
          <w:kern w:val="2"/>
          <w:sz w:val="28"/>
          <w:szCs w:val="28"/>
          <w:highlight w:val="none"/>
          <w:lang w:val="en-US" w:eastAsia="zh-CN" w:bidi="ar"/>
        </w:rPr>
        <w:t>三、供应商基本情况</w:t>
      </w:r>
      <w:bookmarkEnd w:id="92"/>
      <w:bookmarkEnd w:id="93"/>
      <w:bookmarkEnd w:id="94"/>
      <w:bookmarkEnd w:id="95"/>
      <w:bookmarkEnd w:id="96"/>
      <w:bookmarkEnd w:id="97"/>
      <w:bookmarkEnd w:id="9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3"/>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99" w:name="_Toc17718"/>
      <w:bookmarkStart w:id="100" w:name="_Toc21846"/>
      <w:bookmarkStart w:id="101" w:name="_Toc7707"/>
      <w:bookmarkStart w:id="102" w:name="_Toc28901"/>
      <w:bookmarkStart w:id="103" w:name="_Toc8113"/>
      <w:bookmarkStart w:id="104" w:name="_Toc30300"/>
      <w:bookmarkStart w:id="105" w:name="_Toc9989"/>
      <w:r>
        <w:rPr>
          <w:rFonts w:hint="eastAsia" w:ascii="黑体" w:hAnsi="宋体" w:eastAsia="黑体" w:cs="黑体"/>
          <w:color w:val="auto"/>
          <w:kern w:val="2"/>
          <w:sz w:val="28"/>
          <w:szCs w:val="28"/>
          <w:highlight w:val="none"/>
          <w:lang w:val="en-US" w:eastAsia="zh-CN" w:bidi="ar"/>
        </w:rPr>
        <w:t>四、近年类似业绩情况</w:t>
      </w:r>
      <w:bookmarkEnd w:id="99"/>
      <w:bookmarkEnd w:id="100"/>
      <w:bookmarkEnd w:id="101"/>
      <w:bookmarkEnd w:id="102"/>
      <w:bookmarkEnd w:id="103"/>
      <w:bookmarkEnd w:id="104"/>
      <w:bookmarkEnd w:id="105"/>
    </w:p>
    <w:tbl>
      <w:tblPr>
        <w:tblStyle w:val="23"/>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9"/>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6" w:name="_Toc24837"/>
      <w:bookmarkStart w:id="107" w:name="_Toc27566"/>
      <w:bookmarkStart w:id="108" w:name="_Toc25571"/>
      <w:bookmarkStart w:id="109" w:name="_Toc299"/>
      <w:bookmarkStart w:id="110" w:name="_Toc19010"/>
      <w:bookmarkStart w:id="111" w:name="_Toc23165"/>
      <w:bookmarkStart w:id="112" w:name="_Toc29607"/>
      <w:r>
        <w:rPr>
          <w:rFonts w:hint="eastAsia" w:ascii="黑体" w:hAnsi="宋体" w:eastAsia="黑体" w:cs="黑体"/>
          <w:color w:val="auto"/>
          <w:kern w:val="2"/>
          <w:sz w:val="28"/>
          <w:szCs w:val="28"/>
          <w:highlight w:val="none"/>
          <w:lang w:val="en-US" w:eastAsia="zh-CN" w:bidi="ar"/>
        </w:rPr>
        <w:t>五、信誉情况</w:t>
      </w:r>
      <w:bookmarkEnd w:id="106"/>
      <w:bookmarkEnd w:id="107"/>
      <w:bookmarkEnd w:id="108"/>
      <w:bookmarkEnd w:id="109"/>
      <w:bookmarkEnd w:id="110"/>
      <w:bookmarkEnd w:id="111"/>
      <w:bookmarkEnd w:id="112"/>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3"/>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9"/>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9"/>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9"/>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9"/>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13" w:name="_Toc31056"/>
      <w:bookmarkStart w:id="114" w:name="_Toc1119"/>
      <w:bookmarkStart w:id="115" w:name="_Toc1935"/>
      <w:bookmarkStart w:id="116" w:name="_Toc18353"/>
      <w:bookmarkStart w:id="117" w:name="_Toc22954"/>
      <w:bookmarkStart w:id="118" w:name="_Toc838"/>
      <w:bookmarkStart w:id="119" w:name="_Toc1569"/>
      <w:r>
        <w:rPr>
          <w:rFonts w:hint="eastAsia" w:ascii="黑体" w:hAnsi="宋体" w:eastAsia="黑体" w:cs="黑体"/>
          <w:color w:val="auto"/>
          <w:kern w:val="2"/>
          <w:sz w:val="28"/>
          <w:szCs w:val="28"/>
          <w:highlight w:val="none"/>
          <w:lang w:val="en-US" w:eastAsia="zh-CN" w:bidi="ar"/>
        </w:rPr>
        <w:t>六、企业实力</w:t>
      </w:r>
      <w:bookmarkEnd w:id="113"/>
      <w:bookmarkEnd w:id="114"/>
      <w:bookmarkEnd w:id="115"/>
      <w:bookmarkEnd w:id="116"/>
      <w:bookmarkEnd w:id="117"/>
      <w:bookmarkEnd w:id="118"/>
    </w:p>
    <w:p w14:paraId="23B09A51">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20"/>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20"/>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10"/>
        <w:rPr>
          <w:rFonts w:hint="eastAsia" w:ascii="黑体" w:hAnsi="宋体" w:eastAsia="黑体" w:cs="黑体"/>
          <w:color w:val="auto"/>
          <w:kern w:val="2"/>
          <w:sz w:val="28"/>
          <w:szCs w:val="28"/>
          <w:highlight w:val="none"/>
          <w:lang w:val="en-US" w:eastAsia="zh-CN" w:bidi="ar"/>
        </w:rPr>
      </w:pPr>
    </w:p>
    <w:p w14:paraId="6FF13152">
      <w:pPr>
        <w:pStyle w:val="15"/>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lang w:val="en-US"/>
        </w:rPr>
      </w:pPr>
      <w:bookmarkStart w:id="120" w:name="_Toc19445"/>
      <w:bookmarkStart w:id="121" w:name="_Toc14019"/>
      <w:bookmarkStart w:id="122" w:name="_Toc19938"/>
      <w:bookmarkStart w:id="123" w:name="_Toc17124"/>
      <w:bookmarkStart w:id="124" w:name="_Toc1058"/>
      <w:bookmarkStart w:id="125" w:name="_Toc139"/>
      <w:r>
        <w:rPr>
          <w:rFonts w:hint="eastAsia" w:ascii="黑体" w:hAnsi="宋体" w:eastAsia="黑体" w:cs="黑体"/>
          <w:color w:val="auto"/>
          <w:kern w:val="2"/>
          <w:sz w:val="28"/>
          <w:szCs w:val="28"/>
          <w:highlight w:val="none"/>
          <w:lang w:val="en-US" w:eastAsia="zh-CN" w:bidi="ar"/>
        </w:rPr>
        <w:t>七、</w:t>
      </w:r>
      <w:bookmarkEnd w:id="119"/>
      <w:r>
        <w:rPr>
          <w:rFonts w:hint="eastAsia" w:ascii="黑体" w:hAnsi="宋体" w:eastAsia="黑体" w:cs="黑体"/>
          <w:color w:val="auto"/>
          <w:kern w:val="2"/>
          <w:sz w:val="28"/>
          <w:szCs w:val="28"/>
          <w:highlight w:val="none"/>
          <w:lang w:val="en-US" w:eastAsia="zh-CN" w:bidi="ar"/>
        </w:rPr>
        <w:t>生产体系认证</w:t>
      </w:r>
      <w:bookmarkEnd w:id="120"/>
      <w:bookmarkEnd w:id="121"/>
      <w:bookmarkEnd w:id="122"/>
      <w:bookmarkEnd w:id="123"/>
      <w:bookmarkEnd w:id="124"/>
      <w:bookmarkEnd w:id="125"/>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CBC4CFE">
      <w:pPr>
        <w:spacing w:beforeLines="0" w:afterLines="0" w:line="440" w:lineRule="exact"/>
        <w:jc w:val="center"/>
        <w:outlineLvl w:val="0"/>
        <w:rPr>
          <w:rFonts w:hint="eastAsia" w:ascii="Times New Roman" w:hAnsi="Times New Roman" w:eastAsia="黑体"/>
          <w:color w:val="auto"/>
          <w:sz w:val="28"/>
          <w:szCs w:val="28"/>
          <w:highlight w:val="none"/>
          <w:lang w:val="en-US" w:eastAsia="zh-CN"/>
        </w:rPr>
      </w:pPr>
      <w:bookmarkStart w:id="126" w:name="_Toc31378"/>
      <w:bookmarkStart w:id="127"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28" w:name="_Toc100"/>
      <w:bookmarkStart w:id="129" w:name="_Toc7712"/>
      <w:bookmarkStart w:id="130" w:name="_Toc24495"/>
      <w:bookmarkStart w:id="131" w:name="_Toc8527"/>
      <w:bookmarkStart w:id="132" w:name="_Toc26658"/>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126"/>
      <w:r>
        <w:rPr>
          <w:rFonts w:hint="eastAsia" w:ascii="Times New Roman" w:hAnsi="Times New Roman" w:eastAsia="黑体"/>
          <w:color w:val="auto"/>
          <w:sz w:val="28"/>
          <w:szCs w:val="28"/>
          <w:highlight w:val="none"/>
          <w:lang w:val="en-US" w:eastAsia="zh-CN"/>
        </w:rPr>
        <w:t>供货方案</w:t>
      </w:r>
      <w:bookmarkEnd w:id="128"/>
      <w:bookmarkEnd w:id="129"/>
      <w:bookmarkEnd w:id="130"/>
      <w:bookmarkEnd w:id="131"/>
      <w:bookmarkEnd w:id="132"/>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33" w:name="_Toc145"/>
      <w:bookmarkStart w:id="134" w:name="_Toc8454"/>
      <w:bookmarkStart w:id="135" w:name="_Toc2077"/>
      <w:bookmarkStart w:id="136" w:name="_Toc6951"/>
      <w:bookmarkStart w:id="137" w:name="_Toc4263"/>
      <w:bookmarkStart w:id="138" w:name="_Toc278"/>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33"/>
      <w:bookmarkEnd w:id="134"/>
      <w:bookmarkEnd w:id="135"/>
      <w:bookmarkEnd w:id="136"/>
      <w:bookmarkEnd w:id="137"/>
      <w:bookmarkEnd w:id="13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10"/>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27"/>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9"/>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9"/>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FFC79D8">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39" w:name="_Toc30485"/>
    </w:p>
    <w:p w14:paraId="0641787D">
      <w:pPr>
        <w:pStyle w:val="4"/>
        <w:rPr>
          <w:rFonts w:hint="default"/>
          <w:lang w:val="en-US" w:eastAsia="zh-CN"/>
        </w:rPr>
      </w:pPr>
    </w:p>
    <w:p w14:paraId="3E9100EA">
      <w:pPr>
        <w:rPr>
          <w:rFonts w:hint="default"/>
          <w:lang w:val="en-US" w:eastAsia="zh-CN"/>
        </w:rPr>
      </w:pPr>
    </w:p>
    <w:p w14:paraId="2A8FCB73">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40" w:name="_Toc8048"/>
      <w:bookmarkStart w:id="141" w:name="_Toc11180"/>
      <w:bookmarkStart w:id="142" w:name="_Toc21866"/>
      <w:bookmarkStart w:id="143" w:name="_Toc24334"/>
      <w:bookmarkStart w:id="144" w:name="_Toc17427"/>
      <w:bookmarkStart w:id="145" w:name="_Toc11323"/>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40"/>
      <w:r>
        <w:rPr>
          <w:rFonts w:hint="eastAsia" w:ascii="Times New Roman" w:hAnsi="Times New Roman" w:eastAsia="黑体"/>
          <w:color w:val="auto"/>
          <w:sz w:val="28"/>
          <w:szCs w:val="28"/>
          <w:highlight w:val="none"/>
          <w:lang w:val="en-US" w:eastAsia="zh-CN"/>
        </w:rPr>
        <w:t>售后服务方案</w:t>
      </w:r>
      <w:bookmarkEnd w:id="141"/>
      <w:bookmarkEnd w:id="142"/>
      <w:bookmarkEnd w:id="143"/>
      <w:bookmarkEnd w:id="144"/>
      <w:bookmarkEnd w:id="145"/>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6" w:name="_Toc7169"/>
      <w:bookmarkStart w:id="147" w:name="_Toc28871"/>
      <w:bookmarkStart w:id="148" w:name="_Toc9931"/>
      <w:bookmarkStart w:id="149" w:name="_Toc26933"/>
      <w:bookmarkStart w:id="150" w:name="_Toc7753"/>
      <w:bookmarkStart w:id="151" w:name="_Toc100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6"/>
      <w:bookmarkEnd w:id="147"/>
      <w:bookmarkEnd w:id="148"/>
      <w:bookmarkEnd w:id="149"/>
      <w:bookmarkEnd w:id="150"/>
      <w:bookmarkEnd w:id="151"/>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85996AE">
      <w:pPr>
        <w:pStyle w:val="4"/>
        <w:rPr>
          <w:rFonts w:hint="default" w:ascii="Times New Roman" w:hAnsi="Times New Roman"/>
          <w:color w:val="auto"/>
          <w:sz w:val="24"/>
          <w:szCs w:val="24"/>
          <w:highlight w:val="none"/>
          <w:lang w:bidi="ar"/>
        </w:rPr>
      </w:pPr>
    </w:p>
    <w:p w14:paraId="300232FC">
      <w:pPr>
        <w:rPr>
          <w:rFonts w:hint="default" w:ascii="Times New Roman" w:hAnsi="Times New Roman"/>
          <w:color w:val="auto"/>
          <w:sz w:val="24"/>
          <w:szCs w:val="24"/>
          <w:highlight w:val="none"/>
          <w:lang w:bidi="ar"/>
        </w:rPr>
      </w:pPr>
    </w:p>
    <w:p w14:paraId="2D67C5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bookmarkStart w:id="152" w:name="_Toc14186"/>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53" w:name="_Toc1942"/>
      <w:bookmarkStart w:id="154" w:name="_Toc27986"/>
      <w:bookmarkStart w:id="155" w:name="_Toc20436"/>
      <w:bookmarkStart w:id="156" w:name="_Toc6485"/>
      <w:bookmarkStart w:id="157" w:name="_Toc16119"/>
      <w:r>
        <w:rPr>
          <w:rFonts w:hint="eastAsia" w:ascii="黑体" w:hAnsi="宋体" w:eastAsia="黑体" w:cs="黑体"/>
          <w:color w:val="auto"/>
          <w:kern w:val="2"/>
          <w:sz w:val="28"/>
          <w:szCs w:val="28"/>
          <w:highlight w:val="none"/>
          <w:lang w:val="en-US" w:eastAsia="zh-CN" w:bidi="ar"/>
        </w:rPr>
        <w:t>十、承诺书</w:t>
      </w:r>
      <w:bookmarkEnd w:id="139"/>
      <w:bookmarkEnd w:id="152"/>
      <w:bookmarkEnd w:id="153"/>
      <w:bookmarkEnd w:id="154"/>
      <w:bookmarkEnd w:id="155"/>
      <w:bookmarkEnd w:id="156"/>
      <w:bookmarkEnd w:id="157"/>
    </w:p>
    <w:p w14:paraId="0D42E53B">
      <w:pPr>
        <w:pStyle w:val="19"/>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安徽交控集团2025年度服务区综合改造提升工程项目铝单板采购项目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规定的情形。</w:t>
      </w:r>
    </w:p>
    <w:p w14:paraId="31808340">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58" w:name="_Toc24379"/>
      <w:bookmarkStart w:id="159" w:name="_Toc2975"/>
      <w:bookmarkStart w:id="160" w:name="_Toc7767"/>
      <w:bookmarkStart w:id="161" w:name="_Toc28844"/>
      <w:bookmarkStart w:id="162" w:name="_Toc19887"/>
      <w:bookmarkStart w:id="163" w:name="_Toc8908"/>
      <w:bookmarkStart w:id="164" w:name="_Toc10121"/>
      <w:r>
        <w:rPr>
          <w:rFonts w:hint="eastAsia" w:ascii="黑体" w:hAnsi="宋体" w:eastAsia="黑体" w:cs="黑体"/>
          <w:color w:val="auto"/>
          <w:kern w:val="2"/>
          <w:sz w:val="28"/>
          <w:szCs w:val="28"/>
          <w:highlight w:val="none"/>
          <w:lang w:val="en-US" w:eastAsia="zh-CN" w:bidi="ar"/>
        </w:rPr>
        <w:t>十一、其他材料</w:t>
      </w:r>
      <w:bookmarkEnd w:id="158"/>
      <w:bookmarkEnd w:id="159"/>
      <w:bookmarkEnd w:id="160"/>
      <w:bookmarkEnd w:id="161"/>
      <w:bookmarkEnd w:id="162"/>
      <w:bookmarkEnd w:id="163"/>
      <w:bookmarkEnd w:id="164"/>
    </w:p>
    <w:p w14:paraId="1698877D">
      <w:pPr>
        <w:pStyle w:val="19"/>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9"/>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14CF78B8">
      <w:pPr>
        <w:jc w:val="center"/>
        <w:outlineLvl w:val="9"/>
        <w:rPr>
          <w:rFonts w:ascii="Times New Roman" w:hAnsi="Times New Roman" w:eastAsia="黑体" w:cs="Times New Roman"/>
          <w:color w:val="auto"/>
          <w:sz w:val="50"/>
          <w:szCs w:val="50"/>
          <w:highlight w:val="none"/>
          <w:u w:val="none"/>
        </w:rPr>
      </w:pPr>
      <w:r>
        <w:rPr>
          <w:rFonts w:hint="eastAsia" w:ascii="方正小标宋简体" w:hAnsi="方正小标宋简体" w:eastAsia="方正小标宋简体" w:cs="方正小标宋简体"/>
          <w:color w:val="auto"/>
          <w:kern w:val="2"/>
          <w:sz w:val="44"/>
          <w:szCs w:val="44"/>
          <w:highlight w:val="none"/>
          <w:u w:val="none"/>
          <w:lang w:val="en-US" w:eastAsia="zh-CN" w:bidi="ar"/>
        </w:rPr>
        <w:t>安徽交控集团2025年度服务区综合改造提升工程项目铝单板采购项目</w:t>
      </w:r>
      <w:r>
        <w:rPr>
          <w:rFonts w:hint="eastAsia" w:ascii="方正小标宋简体" w:hAnsi="方正小标宋简体" w:eastAsia="方正小标宋简体" w:cs="方正小标宋简体"/>
          <w:color w:val="auto"/>
          <w:kern w:val="2"/>
          <w:sz w:val="44"/>
          <w:szCs w:val="44"/>
          <w:highlight w:val="none"/>
          <w:u w:val="single"/>
          <w:lang w:val="en-US" w:eastAsia="zh-CN" w:bidi="ar"/>
        </w:rPr>
        <w:t xml:space="preserve">   </w:t>
      </w:r>
      <w:r>
        <w:rPr>
          <w:rFonts w:hint="eastAsia" w:ascii="方正小标宋简体" w:hAnsi="方正小标宋简体" w:eastAsia="方正小标宋简体" w:cs="方正小标宋简体"/>
          <w:color w:val="auto"/>
          <w:sz w:val="44"/>
          <w:szCs w:val="44"/>
          <w:highlight w:val="none"/>
          <w:u w:val="none"/>
        </w:rPr>
        <w:t>(</w:t>
      </w:r>
      <w:r>
        <w:rPr>
          <w:rFonts w:hint="eastAsia" w:ascii="方正小标宋简体" w:hAnsi="方正小标宋简体" w:eastAsia="方正小标宋简体" w:cs="方正小标宋简体"/>
          <w:color w:val="auto"/>
          <w:sz w:val="44"/>
          <w:szCs w:val="44"/>
          <w:highlight w:val="none"/>
          <w:u w:val="none"/>
          <w:lang w:val="en-US" w:eastAsia="zh-CN"/>
        </w:rPr>
        <w:t>包段</w:t>
      </w:r>
      <w:r>
        <w:rPr>
          <w:rFonts w:hint="eastAsia" w:ascii="方正小标宋简体" w:hAnsi="方正小标宋简体" w:eastAsia="方正小标宋简体" w:cs="方正小标宋简体"/>
          <w:color w:val="auto"/>
          <w:sz w:val="44"/>
          <w:szCs w:val="44"/>
          <w:highlight w:val="none"/>
          <w:u w:val="none"/>
        </w:rPr>
        <w:t>)</w:t>
      </w: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65" w:name="_Toc9215"/>
      <w:bookmarkStart w:id="166" w:name="_Toc2786"/>
      <w:bookmarkStart w:id="167" w:name="_Toc22365"/>
      <w:bookmarkStart w:id="168" w:name="_Toc8152"/>
      <w:bookmarkStart w:id="169" w:name="_Toc26591"/>
      <w:bookmarkStart w:id="170" w:name="_Toc4837"/>
      <w:bookmarkStart w:id="171" w:name="_Toc32416"/>
      <w:r>
        <w:rPr>
          <w:rFonts w:ascii="Times New Roman" w:hAnsi="Times New Roman" w:eastAsia="黑体" w:cs="Times New Roman"/>
          <w:color w:val="auto"/>
          <w:sz w:val="50"/>
          <w:szCs w:val="50"/>
          <w:highlight w:val="none"/>
        </w:rPr>
        <w:t>响  应  文  件</w:t>
      </w:r>
      <w:bookmarkEnd w:id="165"/>
      <w:bookmarkEnd w:id="166"/>
      <w:bookmarkEnd w:id="167"/>
      <w:bookmarkEnd w:id="168"/>
      <w:bookmarkEnd w:id="169"/>
      <w:bookmarkEnd w:id="170"/>
      <w:bookmarkEnd w:id="171"/>
    </w:p>
    <w:p w14:paraId="7382D764">
      <w:pPr>
        <w:pStyle w:val="22"/>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2"/>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2"/>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72" w:name="_Toc24269_WPSOffice_Level1"/>
      <w:bookmarkStart w:id="173" w:name="_Toc15092"/>
      <w:bookmarkStart w:id="174" w:name="_Toc29968"/>
      <w:bookmarkStart w:id="175" w:name="_Toc30031_WPSOffice_Level1"/>
      <w:bookmarkStart w:id="176" w:name="_Toc1687_WPSOffice_Level1"/>
      <w:bookmarkStart w:id="177" w:name="_Toc8703"/>
      <w:bookmarkStart w:id="178" w:name="_Toc29399_WPSOffice_Level1"/>
      <w:bookmarkStart w:id="179" w:name="_Toc11805_WPSOffice_Level1"/>
      <w:bookmarkStart w:id="180" w:name="_Toc1924"/>
      <w:bookmarkStart w:id="181" w:name="_Toc2765_WPSOffice_Level1"/>
      <w:bookmarkStart w:id="182" w:name="_Toc23583"/>
      <w:bookmarkStart w:id="183" w:name="_Toc18312_WPSOffice_Level1"/>
      <w:r>
        <w:rPr>
          <w:rFonts w:hint="eastAsia" w:ascii="黑体" w:hAnsi="黑体" w:eastAsia="黑体" w:cs="黑体"/>
          <w:b w:val="0"/>
          <w:bCs/>
          <w:color w:val="auto"/>
          <w:sz w:val="28"/>
          <w:szCs w:val="28"/>
          <w:highlight w:val="none"/>
        </w:rPr>
        <w:t>一、</w:t>
      </w:r>
      <w:bookmarkEnd w:id="172"/>
      <w:bookmarkEnd w:id="173"/>
      <w:bookmarkEnd w:id="174"/>
      <w:bookmarkEnd w:id="175"/>
      <w:bookmarkEnd w:id="176"/>
      <w:bookmarkEnd w:id="177"/>
      <w:bookmarkEnd w:id="178"/>
      <w:bookmarkEnd w:id="179"/>
      <w:bookmarkEnd w:id="180"/>
      <w:bookmarkEnd w:id="181"/>
      <w:bookmarkEnd w:id="182"/>
      <w:bookmarkEnd w:id="18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10"/>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eastAsia="zh-CN"/>
        </w:rPr>
        <w:t>安徽交控集团2025年度服务区综合改造提升工程项目铝单板采购项目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10"/>
        <w:rPr>
          <w:rFonts w:hint="eastAsia" w:ascii="Times New Roman" w:hAnsi="Times New Roman" w:cs="Times New Roman"/>
          <w:color w:val="auto"/>
          <w:sz w:val="24"/>
          <w:highlight w:val="none"/>
        </w:rPr>
      </w:pPr>
    </w:p>
    <w:p w14:paraId="2564B337">
      <w:pPr>
        <w:pStyle w:val="35"/>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2"/>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10"/>
        <w:rPr>
          <w:color w:val="auto"/>
          <w:highlight w:val="none"/>
        </w:rPr>
      </w:pPr>
    </w:p>
    <w:p w14:paraId="32C8775A">
      <w:pPr>
        <w:pStyle w:val="15"/>
        <w:rPr>
          <w:color w:val="auto"/>
          <w:highlight w:val="none"/>
        </w:rPr>
      </w:pPr>
    </w:p>
    <w:p w14:paraId="45BA8728">
      <w:pPr>
        <w:pStyle w:val="16"/>
        <w:rPr>
          <w:color w:val="auto"/>
          <w:highlight w:val="none"/>
        </w:rPr>
      </w:pPr>
    </w:p>
    <w:p w14:paraId="40B8B372">
      <w:pPr>
        <w:rPr>
          <w:color w:val="auto"/>
          <w:highlight w:val="none"/>
        </w:rPr>
      </w:pPr>
    </w:p>
    <w:p w14:paraId="3659ED9B">
      <w:pPr>
        <w:pStyle w:val="22"/>
        <w:rPr>
          <w:rFonts w:ascii="Times New Roman" w:hAnsi="Times New Roman" w:cs="Times New Roman"/>
          <w:color w:val="auto"/>
          <w:sz w:val="24"/>
          <w:highlight w:val="none"/>
        </w:rPr>
      </w:pPr>
    </w:p>
    <w:p w14:paraId="3159FF87"/>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84" w:name="_Toc153421230"/>
      <w:bookmarkStart w:id="185" w:name="_Toc272486050"/>
      <w:bookmarkStart w:id="186" w:name="_Toc162490440"/>
      <w:r>
        <w:rPr>
          <w:rFonts w:hint="eastAsia" w:ascii="黑体" w:hAnsi="黑体" w:eastAsia="黑体" w:cs="黑体"/>
          <w:b w:val="0"/>
          <w:bCs/>
          <w:color w:val="auto"/>
          <w:sz w:val="28"/>
          <w:szCs w:val="28"/>
          <w:highlight w:val="none"/>
        </w:rPr>
        <w:t>二、</w:t>
      </w:r>
      <w:bookmarkEnd w:id="184"/>
      <w:bookmarkEnd w:id="185"/>
      <w:bookmarkEnd w:id="18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highlight w:val="none"/>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4"/>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27AB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C9E6B5A">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3A90062D">
            <w:pPr>
              <w:pStyle w:val="22"/>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highlight w:val="none"/>
                <w:lang w:val="en-US" w:eastAsia="zh-CN"/>
              </w:rPr>
              <w:t>（</w:t>
            </w:r>
            <w:r>
              <w:rPr>
                <w:rFonts w:hint="eastAsia"/>
                <w:highlight w:val="none"/>
                <w:u w:val="single"/>
                <w:lang w:val="en-US" w:eastAsia="zh-CN"/>
              </w:rPr>
              <w:t xml:space="preserve">   </w:t>
            </w:r>
            <w:r>
              <w:rPr>
                <w:rFonts w:hint="eastAsia"/>
                <w:highlight w:val="none"/>
                <w:lang w:val="en-US" w:eastAsia="zh-CN"/>
              </w:rPr>
              <w:t>包段）</w:t>
            </w:r>
          </w:p>
        </w:tc>
        <w:tc>
          <w:tcPr>
            <w:tcW w:w="2492" w:type="dxa"/>
            <w:vAlign w:val="center"/>
          </w:tcPr>
          <w:p w14:paraId="53884932">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40F16D46">
            <w:pPr>
              <w:pStyle w:val="22"/>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734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42E5D78C">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704E2FCB">
            <w:pPr>
              <w:pStyle w:val="22"/>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386D4238">
            <w:pPr>
              <w:pStyle w:val="22"/>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25D0A2AE">
            <w:pPr>
              <w:pStyle w:val="22"/>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566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1BF4DB47">
            <w:pPr>
              <w:pStyle w:val="22"/>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4F32E9FE">
            <w:pPr>
              <w:pStyle w:val="22"/>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4E7A6DDE">
      <w:pPr>
        <w:pStyle w:val="22"/>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2"/>
        <w:rPr>
          <w:color w:val="auto"/>
          <w:highlight w:val="none"/>
        </w:rPr>
      </w:pPr>
    </w:p>
    <w:p w14:paraId="1963A718">
      <w:pPr>
        <w:pStyle w:val="22"/>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21"/>
        <w:rPr>
          <w:rFonts w:hint="eastAsia"/>
          <w:color w:val="auto"/>
          <w:highlight w:val="none"/>
          <w:lang w:val="en-US" w:eastAsia="zh-CN"/>
        </w:rPr>
      </w:pPr>
    </w:p>
    <w:p w14:paraId="581676FD">
      <w:pPr>
        <w:pStyle w:val="21"/>
        <w:rPr>
          <w:rFonts w:hint="eastAsia"/>
          <w:color w:val="auto"/>
          <w:highlight w:val="none"/>
          <w:lang w:val="en-US" w:eastAsia="zh-CN"/>
        </w:rPr>
      </w:pPr>
    </w:p>
    <w:p w14:paraId="71D1A16A">
      <w:pPr>
        <w:pStyle w:val="21"/>
        <w:rPr>
          <w:rFonts w:hint="eastAsia"/>
          <w:color w:val="auto"/>
          <w:highlight w:val="none"/>
          <w:lang w:val="en-US" w:eastAsia="zh-CN"/>
        </w:rPr>
      </w:pPr>
    </w:p>
    <w:p w14:paraId="1B4DF3CC">
      <w:pPr>
        <w:pStyle w:val="21"/>
        <w:rPr>
          <w:rFonts w:hint="eastAsia"/>
          <w:color w:val="auto"/>
          <w:highlight w:val="none"/>
          <w:lang w:val="en-US" w:eastAsia="zh-CN"/>
        </w:rPr>
      </w:pPr>
    </w:p>
    <w:p w14:paraId="38B2FD7B">
      <w:pPr>
        <w:snapToGrid w:val="0"/>
        <w:spacing w:line="400" w:lineRule="exact"/>
        <w:jc w:val="left"/>
        <w:rPr>
          <w:rFonts w:hint="default" w:ascii="宋体" w:hAnsi="宋体" w:cs="宋体"/>
          <w:b/>
          <w:color w:val="auto"/>
          <w:sz w:val="24"/>
          <w:highlight w:val="yellow"/>
          <w:lang w:val="en-US" w:eastAsia="zh-CN"/>
        </w:rPr>
      </w:pPr>
      <w:r>
        <w:rPr>
          <w:rFonts w:hint="eastAsia" w:ascii="宋体" w:hAnsi="宋体" w:cs="宋体"/>
          <w:b/>
          <w:color w:val="auto"/>
          <w:sz w:val="24"/>
          <w:highlight w:val="yellow"/>
          <w:lang w:val="en-US" w:eastAsia="zh-CN"/>
        </w:rPr>
        <w:t>附报价清单</w:t>
      </w:r>
    </w:p>
    <w:p w14:paraId="619CD639">
      <w:pPr>
        <w:snapToGrid w:val="0"/>
        <w:spacing w:line="400" w:lineRule="exact"/>
        <w:jc w:val="left"/>
        <w:rPr>
          <w:rFonts w:hint="eastAsia" w:ascii="宋体" w:hAnsi="宋体" w:cs="宋体"/>
          <w:b/>
          <w:color w:val="auto"/>
          <w:sz w:val="24"/>
          <w:highlight w:val="none"/>
          <w:lang w:val="en-US" w:eastAsia="zh-CN"/>
        </w:rPr>
      </w:pPr>
    </w:p>
    <w:p w14:paraId="739D0CE6">
      <w:pPr>
        <w:snapToGrid w:val="0"/>
        <w:spacing w:line="400" w:lineRule="exact"/>
        <w:jc w:val="left"/>
        <w:rPr>
          <w:rFonts w:hint="eastAsia" w:ascii="宋体" w:hAnsi="宋体" w:cs="宋体"/>
          <w:b/>
          <w:color w:val="auto"/>
          <w:sz w:val="24"/>
          <w:highlight w:val="none"/>
          <w:lang w:val="en-US" w:eastAsia="zh-CN"/>
        </w:rPr>
      </w:pPr>
    </w:p>
    <w:p w14:paraId="2968A86D">
      <w:pPr>
        <w:snapToGrid w:val="0"/>
        <w:spacing w:line="400" w:lineRule="exact"/>
        <w:jc w:val="left"/>
        <w:rPr>
          <w:rFonts w:hint="eastAsia" w:ascii="宋体" w:hAnsi="宋体" w:cs="宋体"/>
          <w:b/>
          <w:color w:val="auto"/>
          <w:sz w:val="24"/>
          <w:highlight w:val="none"/>
          <w:lang w:val="en-US" w:eastAsia="zh-CN"/>
        </w:rPr>
      </w:pPr>
    </w:p>
    <w:p w14:paraId="5FD01344">
      <w:pPr>
        <w:snapToGrid w:val="0"/>
        <w:spacing w:line="400" w:lineRule="exact"/>
        <w:jc w:val="left"/>
        <w:rPr>
          <w:rFonts w:hint="eastAsia" w:ascii="宋体" w:hAnsi="宋体" w:cs="宋体"/>
          <w:b/>
          <w:color w:val="auto"/>
          <w:sz w:val="24"/>
          <w:highlight w:val="none"/>
          <w:lang w:val="en-US" w:eastAsia="zh-CN"/>
        </w:rPr>
      </w:pPr>
    </w:p>
    <w:p w14:paraId="5886D74D">
      <w:pPr>
        <w:snapToGrid w:val="0"/>
        <w:spacing w:line="400" w:lineRule="exact"/>
        <w:jc w:val="left"/>
        <w:rPr>
          <w:rFonts w:hint="eastAsia" w:ascii="宋体" w:hAnsi="宋体" w:cs="宋体"/>
          <w:b/>
          <w:color w:val="auto"/>
          <w:sz w:val="24"/>
          <w:highlight w:val="none"/>
          <w:lang w:val="en-US" w:eastAsia="zh-CN"/>
        </w:rPr>
      </w:pPr>
    </w:p>
    <w:p w14:paraId="504524B8">
      <w:pPr>
        <w:snapToGrid w:val="0"/>
        <w:spacing w:line="400" w:lineRule="exact"/>
        <w:jc w:val="left"/>
        <w:rPr>
          <w:rFonts w:hint="eastAsia" w:ascii="宋体" w:hAnsi="宋体" w:cs="宋体"/>
          <w:b/>
          <w:color w:val="auto"/>
          <w:sz w:val="24"/>
          <w:highlight w:val="none"/>
          <w:lang w:val="en-US" w:eastAsia="zh-CN"/>
        </w:rPr>
      </w:pPr>
    </w:p>
    <w:p w14:paraId="33F911CF">
      <w:pPr>
        <w:snapToGrid w:val="0"/>
        <w:spacing w:line="400" w:lineRule="exact"/>
        <w:jc w:val="left"/>
        <w:rPr>
          <w:rFonts w:hint="eastAsia" w:ascii="宋体" w:hAnsi="宋体" w:cs="宋体"/>
          <w:b/>
          <w:color w:val="auto"/>
          <w:sz w:val="24"/>
          <w:highlight w:val="none"/>
          <w:lang w:val="en-US" w:eastAsia="zh-CN"/>
        </w:rPr>
      </w:pPr>
    </w:p>
    <w:p w14:paraId="57CE1835">
      <w:pPr>
        <w:snapToGrid w:val="0"/>
        <w:spacing w:line="400" w:lineRule="exact"/>
        <w:jc w:val="left"/>
        <w:rPr>
          <w:rFonts w:hint="eastAsia" w:ascii="宋体" w:hAnsi="宋体" w:cs="宋体"/>
          <w:b/>
          <w:color w:val="auto"/>
          <w:sz w:val="24"/>
          <w:highlight w:val="none"/>
          <w:lang w:val="en-US" w:eastAsia="zh-CN"/>
        </w:rPr>
      </w:pPr>
    </w:p>
    <w:p w14:paraId="002D9D53">
      <w:pPr>
        <w:snapToGrid w:val="0"/>
        <w:spacing w:line="400" w:lineRule="exact"/>
        <w:jc w:val="left"/>
        <w:rPr>
          <w:rFonts w:hint="eastAsia" w:ascii="宋体" w:hAnsi="宋体" w:cs="宋体"/>
          <w:b/>
          <w:color w:val="auto"/>
          <w:sz w:val="24"/>
          <w:highlight w:val="none"/>
          <w:lang w:val="en-US" w:eastAsia="zh-CN"/>
        </w:rPr>
      </w:pPr>
    </w:p>
    <w:p w14:paraId="7C5C7FE3">
      <w:pPr>
        <w:snapToGrid w:val="0"/>
        <w:spacing w:line="400" w:lineRule="exact"/>
        <w:jc w:val="left"/>
        <w:rPr>
          <w:rFonts w:hint="eastAsia" w:ascii="宋体" w:hAnsi="宋体" w:cs="宋体"/>
          <w:b/>
          <w:color w:val="auto"/>
          <w:sz w:val="24"/>
          <w:highlight w:val="none"/>
          <w:lang w:val="en-US" w:eastAsia="zh-CN"/>
        </w:rPr>
      </w:pPr>
    </w:p>
    <w:p w14:paraId="13B292CD">
      <w:pPr>
        <w:snapToGrid w:val="0"/>
        <w:spacing w:line="400" w:lineRule="exact"/>
        <w:jc w:val="left"/>
        <w:rPr>
          <w:rFonts w:hint="eastAsia" w:ascii="宋体" w:hAnsi="宋体" w:cs="宋体"/>
          <w:b/>
          <w:color w:val="auto"/>
          <w:sz w:val="24"/>
          <w:highlight w:val="none"/>
          <w:lang w:val="en-US" w:eastAsia="zh-CN"/>
        </w:rPr>
      </w:pPr>
    </w:p>
    <w:p w14:paraId="30300C44">
      <w:pPr>
        <w:snapToGrid w:val="0"/>
        <w:spacing w:line="400" w:lineRule="exact"/>
        <w:jc w:val="left"/>
        <w:rPr>
          <w:rFonts w:hint="eastAsia" w:ascii="宋体" w:hAnsi="宋体" w:cs="宋体"/>
          <w:b/>
          <w:color w:val="auto"/>
          <w:sz w:val="24"/>
          <w:highlight w:val="none"/>
          <w:lang w:val="en-US" w:eastAsia="zh-CN"/>
        </w:rPr>
      </w:pPr>
    </w:p>
    <w:p w14:paraId="078935D2">
      <w:pPr>
        <w:snapToGrid w:val="0"/>
        <w:spacing w:line="400" w:lineRule="exact"/>
        <w:jc w:val="left"/>
        <w:rPr>
          <w:rFonts w:hint="eastAsia" w:ascii="宋体" w:hAnsi="宋体" w:cs="宋体"/>
          <w:b/>
          <w:color w:val="auto"/>
          <w:sz w:val="24"/>
          <w:highlight w:val="none"/>
          <w:lang w:val="en-US" w:eastAsia="zh-CN"/>
        </w:rPr>
      </w:pPr>
    </w:p>
    <w:p w14:paraId="56747E8D">
      <w:pPr>
        <w:snapToGrid w:val="0"/>
        <w:spacing w:line="400" w:lineRule="exact"/>
        <w:jc w:val="left"/>
        <w:rPr>
          <w:rFonts w:hint="eastAsia" w:ascii="宋体" w:hAnsi="宋体" w:cs="宋体"/>
          <w:b/>
          <w:color w:val="auto"/>
          <w:sz w:val="24"/>
          <w:highlight w:val="none"/>
          <w:lang w:val="en-US" w:eastAsia="zh-CN"/>
        </w:rPr>
      </w:pPr>
    </w:p>
    <w:p w14:paraId="5B5A1A96">
      <w:pPr>
        <w:snapToGrid w:val="0"/>
        <w:spacing w:line="400" w:lineRule="exact"/>
        <w:jc w:val="left"/>
        <w:rPr>
          <w:rFonts w:hint="eastAsia" w:ascii="宋体" w:hAnsi="宋体" w:cs="宋体"/>
          <w:b/>
          <w:color w:val="auto"/>
          <w:sz w:val="24"/>
          <w:highlight w:val="none"/>
          <w:lang w:val="en-US" w:eastAsia="zh-CN"/>
        </w:rPr>
      </w:pPr>
    </w:p>
    <w:p w14:paraId="4B3B0B7E">
      <w:pPr>
        <w:snapToGrid w:val="0"/>
        <w:spacing w:line="400" w:lineRule="exact"/>
        <w:jc w:val="left"/>
        <w:rPr>
          <w:rFonts w:hint="eastAsia" w:ascii="宋体" w:hAnsi="宋体" w:cs="宋体"/>
          <w:b/>
          <w:color w:val="auto"/>
          <w:sz w:val="24"/>
          <w:highlight w:val="none"/>
          <w:lang w:val="en-US" w:eastAsia="zh-CN"/>
        </w:rPr>
      </w:pPr>
    </w:p>
    <w:p w14:paraId="42561836">
      <w:pPr>
        <w:snapToGrid w:val="0"/>
        <w:spacing w:line="400" w:lineRule="exact"/>
        <w:jc w:val="left"/>
        <w:rPr>
          <w:rFonts w:hint="eastAsia" w:ascii="宋体" w:hAnsi="宋体" w:cs="宋体"/>
          <w:b/>
          <w:color w:val="auto"/>
          <w:sz w:val="24"/>
          <w:highlight w:val="none"/>
          <w:lang w:val="en-US" w:eastAsia="zh-CN"/>
        </w:rPr>
      </w:pPr>
    </w:p>
    <w:p w14:paraId="2666D332">
      <w:pPr>
        <w:snapToGrid w:val="0"/>
        <w:spacing w:line="400" w:lineRule="exact"/>
        <w:jc w:val="left"/>
        <w:rPr>
          <w:rFonts w:hint="eastAsia" w:ascii="宋体" w:hAnsi="宋体" w:cs="宋体"/>
          <w:b/>
          <w:color w:val="auto"/>
          <w:sz w:val="24"/>
          <w:highlight w:val="none"/>
          <w:lang w:val="en-US" w:eastAsia="zh-CN"/>
        </w:rPr>
      </w:pPr>
    </w:p>
    <w:p w14:paraId="41717935">
      <w:pPr>
        <w:snapToGrid w:val="0"/>
        <w:spacing w:line="400" w:lineRule="exact"/>
        <w:jc w:val="left"/>
        <w:rPr>
          <w:rFonts w:hint="eastAsia" w:ascii="宋体" w:hAnsi="宋体" w:cs="宋体"/>
          <w:b/>
          <w:color w:val="auto"/>
          <w:sz w:val="24"/>
          <w:highlight w:val="none"/>
          <w:lang w:val="en-US" w:eastAsia="zh-CN"/>
        </w:rPr>
      </w:pPr>
    </w:p>
    <w:p w14:paraId="72271C3E">
      <w:pPr>
        <w:snapToGrid w:val="0"/>
        <w:spacing w:line="400" w:lineRule="exact"/>
        <w:jc w:val="left"/>
        <w:rPr>
          <w:rFonts w:hint="eastAsia" w:ascii="宋体" w:hAnsi="宋体" w:cs="宋体"/>
          <w:b/>
          <w:color w:val="auto"/>
          <w:sz w:val="24"/>
          <w:highlight w:val="none"/>
          <w:lang w:val="en-US" w:eastAsia="zh-CN"/>
        </w:rPr>
      </w:pPr>
    </w:p>
    <w:p w14:paraId="649AF0C9">
      <w:pPr>
        <w:snapToGrid w:val="0"/>
        <w:spacing w:line="400" w:lineRule="exact"/>
        <w:jc w:val="left"/>
        <w:rPr>
          <w:rFonts w:hint="eastAsia" w:ascii="宋体" w:hAnsi="宋体" w:cs="宋体"/>
          <w:b/>
          <w:color w:val="auto"/>
          <w:sz w:val="24"/>
          <w:highlight w:val="none"/>
          <w:lang w:val="en-US" w:eastAsia="zh-CN"/>
        </w:rPr>
      </w:pPr>
    </w:p>
    <w:p w14:paraId="6F7A1625">
      <w:pPr>
        <w:snapToGrid w:val="0"/>
        <w:spacing w:line="400" w:lineRule="exact"/>
        <w:jc w:val="left"/>
        <w:rPr>
          <w:rFonts w:hint="eastAsia" w:ascii="宋体" w:hAnsi="宋体" w:cs="宋体"/>
          <w:b/>
          <w:color w:val="auto"/>
          <w:sz w:val="24"/>
          <w:highlight w:val="none"/>
          <w:lang w:val="en-US" w:eastAsia="zh-CN"/>
        </w:rPr>
      </w:pPr>
    </w:p>
    <w:p w14:paraId="59A14E17">
      <w:pPr>
        <w:snapToGrid w:val="0"/>
        <w:spacing w:line="400" w:lineRule="exact"/>
        <w:jc w:val="left"/>
        <w:rPr>
          <w:rFonts w:hint="eastAsia" w:ascii="宋体" w:hAnsi="宋体" w:cs="宋体"/>
          <w:b/>
          <w:color w:val="auto"/>
          <w:sz w:val="24"/>
          <w:highlight w:val="none"/>
          <w:lang w:val="en-US" w:eastAsia="zh-CN"/>
        </w:rPr>
      </w:pPr>
    </w:p>
    <w:p w14:paraId="555FAC6F">
      <w:pPr>
        <w:snapToGrid w:val="0"/>
        <w:spacing w:line="400" w:lineRule="exact"/>
        <w:jc w:val="left"/>
        <w:rPr>
          <w:rFonts w:hint="eastAsia" w:ascii="宋体" w:hAnsi="宋体" w:cs="宋体"/>
          <w:b/>
          <w:color w:val="auto"/>
          <w:sz w:val="24"/>
          <w:highlight w:val="none"/>
          <w:lang w:val="en-US" w:eastAsia="zh-CN"/>
        </w:rPr>
      </w:pPr>
    </w:p>
    <w:p w14:paraId="73A36CB0">
      <w:pPr>
        <w:snapToGrid w:val="0"/>
        <w:spacing w:line="400" w:lineRule="exact"/>
        <w:jc w:val="left"/>
        <w:rPr>
          <w:rFonts w:hint="eastAsia" w:ascii="宋体" w:hAnsi="宋体" w:cs="宋体"/>
          <w:b/>
          <w:color w:val="auto"/>
          <w:sz w:val="24"/>
          <w:highlight w:val="none"/>
          <w:lang w:val="en-US" w:eastAsia="zh-CN"/>
        </w:rPr>
      </w:pPr>
    </w:p>
    <w:p w14:paraId="7724F2CF">
      <w:pPr>
        <w:snapToGrid w:val="0"/>
        <w:spacing w:line="400" w:lineRule="exact"/>
        <w:jc w:val="left"/>
        <w:rPr>
          <w:rFonts w:hint="eastAsia" w:ascii="宋体" w:hAnsi="宋体" w:cs="宋体"/>
          <w:b/>
          <w:color w:val="auto"/>
          <w:sz w:val="24"/>
          <w:highlight w:val="none"/>
          <w:lang w:val="en-US" w:eastAsia="zh-CN"/>
        </w:rPr>
      </w:pPr>
    </w:p>
    <w:p w14:paraId="5365B5E9">
      <w:pPr>
        <w:snapToGrid w:val="0"/>
        <w:spacing w:line="400" w:lineRule="exact"/>
        <w:jc w:val="left"/>
        <w:rPr>
          <w:rFonts w:hint="eastAsia" w:ascii="宋体" w:hAnsi="宋体" w:cs="宋体"/>
          <w:b/>
          <w:color w:val="auto"/>
          <w:sz w:val="24"/>
          <w:highlight w:val="none"/>
          <w:lang w:val="en-US" w:eastAsia="zh-CN"/>
        </w:rPr>
      </w:pPr>
    </w:p>
    <w:p w14:paraId="0E4795E7">
      <w:pPr>
        <w:snapToGrid w:val="0"/>
        <w:spacing w:line="400" w:lineRule="exact"/>
        <w:jc w:val="left"/>
        <w:rPr>
          <w:rFonts w:hint="eastAsia" w:ascii="宋体" w:hAnsi="宋体" w:cs="宋体"/>
          <w:b/>
          <w:color w:val="auto"/>
          <w:sz w:val="24"/>
          <w:highlight w:val="none"/>
          <w:lang w:val="en-US" w:eastAsia="zh-CN"/>
        </w:rPr>
      </w:pPr>
    </w:p>
    <w:p w14:paraId="300622A4">
      <w:pPr>
        <w:snapToGrid w:val="0"/>
        <w:spacing w:line="400" w:lineRule="exact"/>
        <w:jc w:val="left"/>
        <w:rPr>
          <w:rFonts w:hint="eastAsia" w:ascii="宋体" w:hAnsi="宋体" w:cs="宋体"/>
          <w:b/>
          <w:color w:val="auto"/>
          <w:sz w:val="24"/>
          <w:highlight w:val="none"/>
          <w:lang w:val="en-US" w:eastAsia="zh-CN"/>
        </w:rPr>
      </w:pPr>
    </w:p>
    <w:p w14:paraId="629FB11C">
      <w:pPr>
        <w:snapToGrid w:val="0"/>
        <w:spacing w:line="400" w:lineRule="exact"/>
        <w:jc w:val="left"/>
        <w:rPr>
          <w:rFonts w:hint="eastAsia" w:ascii="宋体" w:hAnsi="宋体" w:cs="宋体"/>
          <w:b/>
          <w:color w:val="auto"/>
          <w:sz w:val="24"/>
          <w:highlight w:val="none"/>
          <w:lang w:val="en-US" w:eastAsia="zh-CN"/>
        </w:rPr>
      </w:pPr>
    </w:p>
    <w:p w14:paraId="29624E60">
      <w:pPr>
        <w:snapToGrid w:val="0"/>
        <w:spacing w:line="400" w:lineRule="exact"/>
        <w:jc w:val="left"/>
        <w:rPr>
          <w:rFonts w:hint="eastAsia" w:ascii="宋体" w:hAnsi="宋体" w:cs="宋体"/>
          <w:b/>
          <w:color w:val="auto"/>
          <w:sz w:val="24"/>
          <w:highlight w:val="none"/>
          <w:lang w:val="en-US" w:eastAsia="zh-CN"/>
        </w:rPr>
      </w:pPr>
    </w:p>
    <w:p w14:paraId="40B2A59A">
      <w:pPr>
        <w:snapToGrid w:val="0"/>
        <w:spacing w:line="400" w:lineRule="exact"/>
        <w:jc w:val="left"/>
        <w:rPr>
          <w:rFonts w:hint="eastAsia" w:ascii="宋体" w:hAnsi="宋体" w:cs="宋体"/>
          <w:b/>
          <w:color w:val="auto"/>
          <w:sz w:val="24"/>
          <w:highlight w:val="none"/>
          <w:lang w:val="en-US" w:eastAsia="zh-CN"/>
        </w:rPr>
      </w:pPr>
    </w:p>
    <w:p w14:paraId="0A00B8CB">
      <w:pPr>
        <w:snapToGrid w:val="0"/>
        <w:spacing w:line="400" w:lineRule="exact"/>
        <w:jc w:val="left"/>
        <w:rPr>
          <w:rFonts w:hint="eastAsia" w:ascii="宋体" w:hAnsi="宋体" w:cs="宋体"/>
          <w:b/>
          <w:color w:val="auto"/>
          <w:sz w:val="24"/>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576F3E66">
      <w:pPr>
        <w:snapToGrid w:val="0"/>
        <w:spacing w:line="400" w:lineRule="exact"/>
        <w:jc w:val="left"/>
        <w:rPr>
          <w:rFonts w:hint="eastAsia" w:ascii="宋体" w:hAnsi="宋体" w:cs="宋体"/>
          <w:b/>
          <w:color w:val="auto"/>
          <w:sz w:val="24"/>
          <w:highlight w:val="none"/>
          <w:lang w:val="en-US" w:eastAsia="zh-CN"/>
        </w:rPr>
      </w:pPr>
    </w:p>
    <w:p w14:paraId="37694949">
      <w:pPr>
        <w:snapToGrid w:val="0"/>
        <w:spacing w:line="400" w:lineRule="exact"/>
        <w:jc w:val="left"/>
        <w:rPr>
          <w:rFonts w:hint="eastAsia" w:ascii="宋体" w:hAnsi="宋体" w:cs="宋体"/>
          <w:b/>
          <w:color w:val="auto"/>
          <w:sz w:val="24"/>
          <w:highlight w:val="none"/>
          <w:lang w:val="en-US" w:eastAsia="zh-CN"/>
        </w:rPr>
      </w:pPr>
    </w:p>
    <w:p w14:paraId="6F041D8D">
      <w:pPr>
        <w:snapToGrid w:val="0"/>
        <w:spacing w:line="400" w:lineRule="exact"/>
        <w:jc w:val="left"/>
        <w:rPr>
          <w:rFonts w:hint="eastAsia" w:ascii="宋体" w:hAnsi="宋体" w:cs="宋体"/>
          <w:b/>
          <w:color w:val="auto"/>
          <w:sz w:val="24"/>
          <w:highlight w:val="none"/>
          <w:lang w:val="en-US" w:eastAsia="zh-CN"/>
        </w:rPr>
      </w:pPr>
    </w:p>
    <w:p w14:paraId="111F1A98">
      <w:pPr>
        <w:snapToGrid w:val="0"/>
        <w:spacing w:line="400" w:lineRule="exact"/>
        <w:jc w:val="left"/>
        <w:rPr>
          <w:rFonts w:hint="eastAsia" w:ascii="宋体" w:hAnsi="宋体" w:cs="宋体"/>
          <w:b/>
          <w:color w:val="auto"/>
          <w:sz w:val="24"/>
          <w:highlight w:val="none"/>
          <w:lang w:val="en-US" w:eastAsia="zh-CN"/>
        </w:rPr>
      </w:pPr>
    </w:p>
    <w:p w14:paraId="6295EF99">
      <w:pPr>
        <w:snapToGrid w:val="0"/>
        <w:spacing w:line="400" w:lineRule="exact"/>
        <w:jc w:val="left"/>
        <w:rPr>
          <w:rFonts w:hint="eastAsia" w:ascii="宋体" w:hAnsi="宋体" w:cs="宋体"/>
          <w:b/>
          <w:color w:val="auto"/>
          <w:sz w:val="24"/>
          <w:highlight w:val="none"/>
          <w:lang w:val="en-US" w:eastAsia="zh-CN"/>
        </w:rPr>
      </w:pPr>
    </w:p>
    <w:p w14:paraId="4C44CF36">
      <w:pPr>
        <w:snapToGrid w:val="0"/>
        <w:spacing w:line="400" w:lineRule="exact"/>
        <w:jc w:val="left"/>
        <w:rPr>
          <w:rFonts w:hint="eastAsia" w:ascii="宋体" w:hAnsi="宋体" w:cs="宋体"/>
          <w:b/>
          <w:color w:val="auto"/>
          <w:sz w:val="24"/>
          <w:highlight w:val="none"/>
          <w:lang w:val="en-US" w:eastAsia="zh-CN"/>
        </w:rPr>
      </w:pPr>
    </w:p>
    <w:p w14:paraId="52CB92FA">
      <w:pPr>
        <w:snapToGrid w:val="0"/>
        <w:spacing w:line="400" w:lineRule="exact"/>
        <w:jc w:val="left"/>
        <w:rPr>
          <w:rFonts w:hint="eastAsia" w:ascii="宋体" w:hAnsi="宋体" w:cs="宋体"/>
          <w:b/>
          <w:color w:val="auto"/>
          <w:sz w:val="24"/>
          <w:highlight w:val="none"/>
          <w:lang w:val="en-US" w:eastAsia="zh-CN"/>
        </w:rPr>
      </w:pPr>
    </w:p>
    <w:p w14:paraId="15F4F867">
      <w:pPr>
        <w:snapToGrid w:val="0"/>
        <w:spacing w:line="400" w:lineRule="exact"/>
        <w:jc w:val="left"/>
        <w:rPr>
          <w:rFonts w:hint="eastAsia" w:ascii="宋体" w:hAnsi="宋体" w:cs="宋体"/>
          <w:b/>
          <w:color w:val="auto"/>
          <w:sz w:val="24"/>
          <w:highlight w:val="none"/>
          <w:lang w:val="en-US" w:eastAsia="zh-CN"/>
        </w:rPr>
      </w:pPr>
    </w:p>
    <w:p w14:paraId="39A999BF">
      <w:pPr>
        <w:snapToGrid w:val="0"/>
        <w:spacing w:line="400" w:lineRule="exact"/>
        <w:jc w:val="left"/>
        <w:rPr>
          <w:rFonts w:hint="eastAsia" w:ascii="宋体" w:hAnsi="宋体" w:cs="宋体"/>
          <w:b/>
          <w:color w:val="auto"/>
          <w:sz w:val="24"/>
          <w:highlight w:val="none"/>
          <w:lang w:val="en-US" w:eastAsia="zh-CN"/>
        </w:rPr>
      </w:pPr>
    </w:p>
    <w:p w14:paraId="1A465820">
      <w:pPr>
        <w:snapToGrid w:val="0"/>
        <w:spacing w:line="400" w:lineRule="exact"/>
        <w:jc w:val="left"/>
        <w:rPr>
          <w:rFonts w:hint="eastAsia" w:ascii="宋体" w:hAnsi="宋体" w:cs="宋体"/>
          <w:b/>
          <w:color w:val="auto"/>
          <w:sz w:val="24"/>
          <w:highlight w:val="none"/>
          <w:lang w:val="en-US" w:eastAsia="zh-CN"/>
        </w:rPr>
      </w:pPr>
    </w:p>
    <w:p w14:paraId="6DDBC10F">
      <w:pPr>
        <w:snapToGrid w:val="0"/>
        <w:spacing w:line="400" w:lineRule="exact"/>
        <w:jc w:val="left"/>
        <w:rPr>
          <w:rFonts w:hint="eastAsia" w:ascii="宋体" w:hAnsi="宋体" w:cs="宋体"/>
          <w:b/>
          <w:color w:val="auto"/>
          <w:sz w:val="24"/>
          <w:highlight w:val="none"/>
          <w:lang w:val="en-US" w:eastAsia="zh-CN"/>
        </w:rPr>
      </w:pPr>
    </w:p>
    <w:p w14:paraId="62B5D6FC">
      <w:pPr>
        <w:snapToGrid w:val="0"/>
        <w:spacing w:line="400" w:lineRule="exact"/>
        <w:jc w:val="left"/>
        <w:rPr>
          <w:rFonts w:hint="eastAsia" w:ascii="宋体" w:hAnsi="宋体" w:cs="宋体"/>
          <w:b/>
          <w:color w:val="auto"/>
          <w:sz w:val="24"/>
          <w:highlight w:val="none"/>
          <w:lang w:val="en-US" w:eastAsia="zh-CN"/>
        </w:rPr>
      </w:pPr>
    </w:p>
    <w:p w14:paraId="75C3B37E">
      <w:pPr>
        <w:snapToGrid w:val="0"/>
        <w:spacing w:line="400" w:lineRule="exact"/>
        <w:jc w:val="left"/>
        <w:rPr>
          <w:rFonts w:hint="eastAsia" w:ascii="宋体" w:hAnsi="宋体" w:cs="宋体"/>
          <w:b/>
          <w:color w:val="auto"/>
          <w:sz w:val="24"/>
          <w:highlight w:val="none"/>
          <w:lang w:val="en-US" w:eastAsia="zh-CN"/>
        </w:rPr>
      </w:pPr>
    </w:p>
    <w:p w14:paraId="00DEB0C9">
      <w:pPr>
        <w:snapToGrid w:val="0"/>
        <w:spacing w:line="400" w:lineRule="exact"/>
        <w:jc w:val="left"/>
        <w:rPr>
          <w:rFonts w:hint="eastAsia" w:ascii="宋体" w:hAnsi="宋体" w:cs="宋体"/>
          <w:b/>
          <w:color w:val="auto"/>
          <w:sz w:val="24"/>
          <w:highlight w:val="none"/>
          <w:lang w:val="en-US" w:eastAsia="zh-CN"/>
        </w:rPr>
      </w:pPr>
    </w:p>
    <w:p w14:paraId="3414A7BF">
      <w:pPr>
        <w:snapToGrid w:val="0"/>
        <w:spacing w:line="400" w:lineRule="exact"/>
        <w:jc w:val="left"/>
        <w:rPr>
          <w:rFonts w:hint="eastAsia" w:ascii="宋体" w:hAnsi="宋体" w:cs="宋体"/>
          <w:b/>
          <w:color w:val="auto"/>
          <w:sz w:val="24"/>
          <w:highlight w:val="none"/>
          <w:lang w:val="en-US" w:eastAsia="zh-CN"/>
        </w:rPr>
      </w:pPr>
    </w:p>
    <w:p w14:paraId="3958917D">
      <w:pPr>
        <w:snapToGrid w:val="0"/>
        <w:spacing w:line="400" w:lineRule="exact"/>
        <w:jc w:val="left"/>
        <w:rPr>
          <w:rFonts w:hint="eastAsia" w:ascii="宋体" w:hAnsi="宋体" w:cs="宋体"/>
          <w:b/>
          <w:color w:val="auto"/>
          <w:sz w:val="24"/>
          <w:highlight w:val="none"/>
          <w:lang w:val="en-US" w:eastAsia="zh-CN"/>
        </w:rPr>
      </w:pPr>
    </w:p>
    <w:p w14:paraId="10DC3E78">
      <w:pPr>
        <w:snapToGrid w:val="0"/>
        <w:spacing w:line="400" w:lineRule="exact"/>
        <w:jc w:val="left"/>
        <w:rPr>
          <w:rFonts w:hint="eastAsia" w:ascii="宋体" w:hAnsi="宋体" w:cs="宋体"/>
          <w:b/>
          <w:color w:val="auto"/>
          <w:sz w:val="24"/>
          <w:highlight w:val="none"/>
          <w:lang w:val="en-US" w:eastAsia="zh-CN"/>
        </w:rPr>
      </w:pPr>
    </w:p>
    <w:p w14:paraId="5308F343">
      <w:pPr>
        <w:snapToGrid w:val="0"/>
        <w:spacing w:line="400" w:lineRule="exact"/>
        <w:jc w:val="left"/>
        <w:rPr>
          <w:rFonts w:hint="eastAsia" w:ascii="宋体" w:hAnsi="宋体" w:cs="宋体"/>
          <w:b/>
          <w:color w:val="auto"/>
          <w:sz w:val="24"/>
          <w:highlight w:val="none"/>
          <w:lang w:val="en-US" w:eastAsia="zh-CN"/>
        </w:rPr>
      </w:pPr>
    </w:p>
    <w:p w14:paraId="3956E207">
      <w:pPr>
        <w:snapToGrid w:val="0"/>
        <w:spacing w:line="400" w:lineRule="exact"/>
        <w:jc w:val="left"/>
        <w:rPr>
          <w:rFonts w:hint="eastAsia" w:ascii="宋体" w:hAnsi="宋体" w:cs="宋体"/>
          <w:b/>
          <w:color w:val="auto"/>
          <w:sz w:val="24"/>
          <w:highlight w:val="none"/>
          <w:lang w:val="en-US" w:eastAsia="zh-CN"/>
        </w:rPr>
      </w:pPr>
    </w:p>
    <w:p w14:paraId="41E9E810">
      <w:pPr>
        <w:jc w:val="center"/>
        <w:rPr>
          <w:rFonts w:hint="eastAsia" w:ascii="Times New Roman" w:hAnsi="Times New Roman" w:eastAsia="华文中宋" w:cs="Times New Roman"/>
          <w:b/>
          <w:smallCaps/>
          <w:color w:val="auto"/>
          <w:sz w:val="24"/>
          <w:szCs w:val="24"/>
          <w:highlight w:val="none"/>
          <w:lang w:val="en-US" w:eastAsia="zh-CN"/>
        </w:rPr>
      </w:pPr>
      <w:r>
        <w:rPr>
          <w:rFonts w:hint="eastAsia" w:ascii="Times New Roman" w:hAnsi="Times New Roman" w:eastAsia="华文中宋" w:cs="Times New Roman"/>
          <w:b/>
          <w:smallCaps/>
          <w:color w:val="auto"/>
          <w:sz w:val="24"/>
          <w:szCs w:val="24"/>
          <w:highlight w:val="none"/>
          <w:lang w:val="en-US" w:eastAsia="zh-CN"/>
        </w:rPr>
        <w:t>材料品牌推荐表</w:t>
      </w:r>
    </w:p>
    <w:p w14:paraId="6ACE013C">
      <w:pPr>
        <w:jc w:val="center"/>
        <w:rPr>
          <w:rFonts w:hint="eastAsia" w:ascii="Times New Roman" w:hAnsi="Times New Roman" w:eastAsia="华文中宋" w:cs="Times New Roman"/>
          <w:b/>
          <w:smallCaps/>
          <w:color w:val="auto"/>
          <w:sz w:val="24"/>
          <w:szCs w:val="24"/>
          <w:highlight w:val="none"/>
          <w:lang w:val="en-US" w:eastAsia="zh-CN"/>
        </w:rPr>
      </w:pPr>
    </w:p>
    <w:p w14:paraId="78AECED2">
      <w:pPr>
        <w:jc w:val="center"/>
      </w:pPr>
    </w:p>
    <w:p w14:paraId="6CFC0814">
      <w:pPr>
        <w:jc w:val="center"/>
      </w:pPr>
    </w:p>
    <w:p w14:paraId="3FD6D248">
      <w:pPr>
        <w:jc w:val="center"/>
      </w:pPr>
    </w:p>
    <w:p w14:paraId="3658E6C9">
      <w:pPr>
        <w:jc w:val="center"/>
        <w:rPr>
          <w:rFonts w:hint="eastAsia" w:eastAsiaTheme="minorEastAsia"/>
          <w:lang w:val="en-US" w:eastAsia="zh-CN"/>
        </w:rPr>
      </w:pPr>
      <w:r>
        <w:rPr>
          <w:rFonts w:hint="eastAsia"/>
          <w:lang w:val="en-US" w:eastAsia="zh-CN"/>
        </w:rPr>
        <w:t>/</w:t>
      </w:r>
    </w:p>
    <w:p w14:paraId="76032F83">
      <w:pPr>
        <w:jc w:val="center"/>
      </w:pPr>
    </w:p>
    <w:p w14:paraId="547DBCBA">
      <w:pPr>
        <w:jc w:val="center"/>
      </w:pPr>
    </w:p>
    <w:p w14:paraId="2978AA85">
      <w:pPr>
        <w:jc w:val="center"/>
      </w:pPr>
    </w:p>
    <w:p w14:paraId="07E6D59A">
      <w:pPr>
        <w:jc w:val="center"/>
      </w:pPr>
    </w:p>
    <w:p w14:paraId="5C867DE9">
      <w:pPr>
        <w:jc w:val="center"/>
      </w:pPr>
    </w:p>
    <w:p w14:paraId="67A44995">
      <w:pPr>
        <w:jc w:val="center"/>
      </w:pPr>
    </w:p>
    <w:p w14:paraId="1458151B">
      <w:pPr>
        <w:jc w:val="center"/>
      </w:pPr>
    </w:p>
    <w:p w14:paraId="167FA9F9">
      <w:pPr>
        <w:jc w:val="center"/>
      </w:pPr>
    </w:p>
    <w:p w14:paraId="564D2935">
      <w:pPr>
        <w:jc w:val="center"/>
      </w:pPr>
    </w:p>
    <w:p w14:paraId="4213C83C">
      <w:pPr>
        <w:jc w:val="center"/>
      </w:pPr>
    </w:p>
    <w:p w14:paraId="2BA860F8">
      <w:pPr>
        <w:jc w:val="center"/>
      </w:pPr>
    </w:p>
    <w:p w14:paraId="075DE5E6">
      <w:pPr>
        <w:jc w:val="center"/>
      </w:pPr>
    </w:p>
    <w:p w14:paraId="55FBB4C3">
      <w:pPr>
        <w:jc w:val="center"/>
      </w:pPr>
    </w:p>
    <w:p w14:paraId="5BC60AE7">
      <w:pPr>
        <w:jc w:val="center"/>
      </w:pPr>
    </w:p>
    <w:p w14:paraId="1AA97D35">
      <w:pPr>
        <w:jc w:val="center"/>
      </w:pPr>
    </w:p>
    <w:p w14:paraId="181E0EC9">
      <w:pPr>
        <w:jc w:val="center"/>
      </w:pPr>
    </w:p>
    <w:p w14:paraId="0B0B0BD5">
      <w:pPr>
        <w:jc w:val="center"/>
      </w:pPr>
    </w:p>
    <w:p w14:paraId="542FF72F">
      <w:pPr>
        <w:jc w:val="center"/>
      </w:pPr>
    </w:p>
    <w:p w14:paraId="6E8EA25A">
      <w:pPr>
        <w:jc w:val="center"/>
      </w:pPr>
    </w:p>
    <w:p w14:paraId="2720BC77">
      <w:pPr>
        <w:jc w:val="center"/>
      </w:pPr>
    </w:p>
    <w:p w14:paraId="2660B60D">
      <w:pPr>
        <w:jc w:val="center"/>
      </w:pPr>
    </w:p>
    <w:p w14:paraId="44AAD41A">
      <w:pPr>
        <w:jc w:val="center"/>
      </w:pPr>
    </w:p>
    <w:p w14:paraId="3184893A">
      <w:pPr>
        <w:jc w:val="center"/>
      </w:pPr>
    </w:p>
    <w:p w14:paraId="59137DFD">
      <w:pPr>
        <w:jc w:val="center"/>
      </w:pPr>
    </w:p>
    <w:p w14:paraId="354AEBB9">
      <w:pPr>
        <w:jc w:val="center"/>
      </w:pPr>
    </w:p>
    <w:p w14:paraId="475F9F77">
      <w:pPr>
        <w:jc w:val="center"/>
      </w:pPr>
    </w:p>
    <w:p w14:paraId="0AC544DC">
      <w:pPr>
        <w:jc w:val="center"/>
      </w:pPr>
    </w:p>
    <w:p w14:paraId="37975945">
      <w:pPr>
        <w:jc w:val="center"/>
      </w:pPr>
    </w:p>
    <w:p w14:paraId="08976249">
      <w:pPr>
        <w:jc w:val="center"/>
      </w:pPr>
    </w:p>
    <w:p w14:paraId="2B7E32A1">
      <w:pPr>
        <w:jc w:val="center"/>
      </w:pPr>
    </w:p>
    <w:p w14:paraId="35EF7F3B">
      <w:pPr>
        <w:jc w:val="center"/>
        <w:rPr>
          <w:rFonts w:hint="eastAsia"/>
          <w:lang w:val="en-US" w:eastAsia="zh-CN"/>
        </w:rPr>
      </w:pPr>
    </w:p>
    <w:p w14:paraId="1D1FDED6">
      <w:pPr>
        <w:snapToGrid w:val="0"/>
        <w:spacing w:line="400" w:lineRule="exact"/>
        <w:jc w:val="left"/>
      </w:pPr>
    </w:p>
    <w:p w14:paraId="5B751D09">
      <w:pPr>
        <w:snapToGrid w:val="0"/>
        <w:spacing w:line="400" w:lineRule="exact"/>
        <w:jc w:val="left"/>
        <w:rPr>
          <w:rFonts w:hint="eastAsia"/>
          <w:lang w:val="en-US" w:eastAsia="zh-CN"/>
        </w:rPr>
      </w:pPr>
    </w:p>
    <w:p w14:paraId="22437099">
      <w:pPr>
        <w:snapToGrid w:val="0"/>
        <w:spacing w:line="400" w:lineRule="exact"/>
        <w:jc w:val="left"/>
        <w:rPr>
          <w:rFonts w:hint="eastAsia" w:ascii="宋体" w:hAnsi="宋体" w:cs="宋体"/>
          <w:b/>
          <w:color w:val="auto"/>
          <w:sz w:val="24"/>
          <w:highlight w:val="none"/>
          <w:lang w:val="en-US" w:eastAsia="zh-CN"/>
        </w:rPr>
      </w:pPr>
    </w:p>
    <w:p w14:paraId="4EC94178">
      <w:pPr>
        <w:snapToGrid w:val="0"/>
        <w:spacing w:line="400" w:lineRule="exact"/>
        <w:jc w:val="left"/>
        <w:rPr>
          <w:rFonts w:hint="eastAsia" w:ascii="宋体" w:hAnsi="宋体" w:cs="宋体"/>
          <w:b/>
          <w:color w:val="auto"/>
          <w:sz w:val="24"/>
          <w:highlight w:val="none"/>
          <w:lang w:val="en-US" w:eastAsia="zh-CN"/>
        </w:rPr>
      </w:pPr>
    </w:p>
    <w:p w14:paraId="52ADB07E">
      <w:pPr>
        <w:snapToGrid w:val="0"/>
        <w:spacing w:line="400" w:lineRule="exact"/>
        <w:jc w:val="left"/>
        <w:rPr>
          <w:rFonts w:hint="eastAsia" w:ascii="宋体" w:hAnsi="宋体" w:cs="宋体"/>
          <w:b/>
          <w:color w:val="auto"/>
          <w:sz w:val="24"/>
          <w:highlight w:val="none"/>
          <w:lang w:val="en-US" w:eastAsia="zh-CN"/>
        </w:rPr>
      </w:pP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2"/>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2"/>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2"/>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2"/>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5"/>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21"/>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64F6">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tFCLnAQAAxwMAAA4AAABkcnMvZTJvRG9jLnhtbK1TwW7bMAy9D9g/&#10;CLovdlK0C4woxdagxYBhG9DtAxRZjgVIoiApsbMP2P5gp11233flO0bJdjq0lx56sSmRfOR7pFbX&#10;vdHkIH1QYBmdz0pKpBVQK7tj9NvX2zdLSkLktuYarGT0KAO9Xr9+tepcJRfQgq6lJwhiQ9U5RtsY&#10;XVUUQbTS8DADJy06G/CGRzz6XVF73iG60cWiLK+KDnztPAgZAt5uBicdEf1zAKFplJAbEHsjbRxQ&#10;vdQ8IqXQKhfoOnfbNFLEz00TZCSaUWQa8xeLoL1N32K94tXOc9cqMbbAn9PCI06GK4tFz1AbHjnZ&#10;e/UEyijhIUATZwJMMRDJiiCLeflIm/uWO5m5oNTBnUUPLwcrPh2+eKJqRt9SYrnBgZ9+/Tz9/nv6&#10;84PMkzydCxVG3TuMi/176HFppvuAl4l133iT/siHoB/FPZ7FlX0kIiUtF8tliS6BvumA+MVDuvMh&#10;3kkwJBmMepxeFpUfPoY4hE4hqZqFW6V1nqC2pGP06uKyzAlnD4JrizUSiaHZZMV+24/MtlAfkRi+&#10;ByzYgv9OSYfbwKjF5adEf7AodlqcyfCTsZ0MbgUmMhopGcybOCzY3nm1axF3npsK7t0+YsuZSWpj&#10;qD12h/PNWoy7mBbo/3OOenh/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K0UIucBAADH&#10;AwAADgAAAAAAAAABACAAAAAfAQAAZHJzL2Uyb0RvYy54bWxQSwUGAAAAAAYABgBZAQAAeAUAAAAA&#10;">
              <v:fill on="f" focussize="0,0"/>
              <v:stroke on="f" weight="0.5pt"/>
              <v:imagedata o:title=""/>
              <o:lock v:ext="edit" aspectratio="f"/>
              <v:textbox inset="0mm,0mm,0mm,0mm" style="mso-fit-shape-to-text:t;">
                <w:txbxContent>
                  <w:p w14:paraId="6E336A39">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19</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5"/>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5"/>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2049" o:spt="136" type="#_x0000_t136" style="position:absolute;left:0pt;height:62.3pt;width:524.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F0A7">
    <w:pPr>
      <w:pStyle w:val="15"/>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FCBD0"/>
    <w:multiLevelType w:val="singleLevel"/>
    <w:tmpl w:val="944FCBD0"/>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D0384C7"/>
    <w:multiLevelType w:val="singleLevel"/>
    <w:tmpl w:val="4D0384C7"/>
    <w:lvl w:ilvl="0" w:tentative="0">
      <w:start w:val="1"/>
      <w:numFmt w:val="chineseCounting"/>
      <w:suff w:val="space"/>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113BD"/>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932C1B"/>
    <w:rsid w:val="02B159B4"/>
    <w:rsid w:val="02C26D91"/>
    <w:rsid w:val="02D346A3"/>
    <w:rsid w:val="02DF3606"/>
    <w:rsid w:val="02F05C02"/>
    <w:rsid w:val="03200295"/>
    <w:rsid w:val="033A0C2B"/>
    <w:rsid w:val="036118B1"/>
    <w:rsid w:val="0371289F"/>
    <w:rsid w:val="038863C7"/>
    <w:rsid w:val="03A9557F"/>
    <w:rsid w:val="03B86BA8"/>
    <w:rsid w:val="03F914B2"/>
    <w:rsid w:val="03FB03BA"/>
    <w:rsid w:val="04230E30"/>
    <w:rsid w:val="042516B9"/>
    <w:rsid w:val="042F2C67"/>
    <w:rsid w:val="045E338A"/>
    <w:rsid w:val="047010F6"/>
    <w:rsid w:val="04701D1E"/>
    <w:rsid w:val="04E034BC"/>
    <w:rsid w:val="05085F79"/>
    <w:rsid w:val="0535195E"/>
    <w:rsid w:val="054416D2"/>
    <w:rsid w:val="05A76A4C"/>
    <w:rsid w:val="05AF29EE"/>
    <w:rsid w:val="05B2719F"/>
    <w:rsid w:val="05D2339D"/>
    <w:rsid w:val="05F62696"/>
    <w:rsid w:val="05F94BA8"/>
    <w:rsid w:val="060774EA"/>
    <w:rsid w:val="06341F34"/>
    <w:rsid w:val="0662134E"/>
    <w:rsid w:val="06663933"/>
    <w:rsid w:val="068727A0"/>
    <w:rsid w:val="06AE3E0A"/>
    <w:rsid w:val="06C30263"/>
    <w:rsid w:val="07063EDC"/>
    <w:rsid w:val="071432F2"/>
    <w:rsid w:val="073835B2"/>
    <w:rsid w:val="07571DAC"/>
    <w:rsid w:val="076958CF"/>
    <w:rsid w:val="07A31864"/>
    <w:rsid w:val="07AF3996"/>
    <w:rsid w:val="07C951F6"/>
    <w:rsid w:val="080B2B96"/>
    <w:rsid w:val="081D6FC0"/>
    <w:rsid w:val="08412974"/>
    <w:rsid w:val="0881185D"/>
    <w:rsid w:val="08907C6B"/>
    <w:rsid w:val="08E91129"/>
    <w:rsid w:val="09187C60"/>
    <w:rsid w:val="091A677A"/>
    <w:rsid w:val="09210464"/>
    <w:rsid w:val="094840A2"/>
    <w:rsid w:val="095E1B17"/>
    <w:rsid w:val="096867B1"/>
    <w:rsid w:val="09B13FF7"/>
    <w:rsid w:val="09CD27F9"/>
    <w:rsid w:val="0A0A244D"/>
    <w:rsid w:val="0A2E7496"/>
    <w:rsid w:val="0A466107"/>
    <w:rsid w:val="0A64315D"/>
    <w:rsid w:val="0A856C30"/>
    <w:rsid w:val="0A941F2B"/>
    <w:rsid w:val="0AAD73BC"/>
    <w:rsid w:val="0AB84C95"/>
    <w:rsid w:val="0AEA2F37"/>
    <w:rsid w:val="0AED0915"/>
    <w:rsid w:val="0AF3003D"/>
    <w:rsid w:val="0B286939"/>
    <w:rsid w:val="0B2E4625"/>
    <w:rsid w:val="0B416FFB"/>
    <w:rsid w:val="0B6B22C9"/>
    <w:rsid w:val="0BA10DDD"/>
    <w:rsid w:val="0BB2614A"/>
    <w:rsid w:val="0BC86369"/>
    <w:rsid w:val="0BCC3D77"/>
    <w:rsid w:val="0BDD422F"/>
    <w:rsid w:val="0C024903"/>
    <w:rsid w:val="0C0B7829"/>
    <w:rsid w:val="0C126BE9"/>
    <w:rsid w:val="0C252478"/>
    <w:rsid w:val="0C425774"/>
    <w:rsid w:val="0C433DD8"/>
    <w:rsid w:val="0C744B9E"/>
    <w:rsid w:val="0CA667B4"/>
    <w:rsid w:val="0CB62B1E"/>
    <w:rsid w:val="0CF62067"/>
    <w:rsid w:val="0D183D8B"/>
    <w:rsid w:val="0D604989"/>
    <w:rsid w:val="0D676CED"/>
    <w:rsid w:val="0DBD0BDC"/>
    <w:rsid w:val="0DC42165"/>
    <w:rsid w:val="0DE02F17"/>
    <w:rsid w:val="0E436CA2"/>
    <w:rsid w:val="0E541DD8"/>
    <w:rsid w:val="0EA07AC2"/>
    <w:rsid w:val="0EA967E6"/>
    <w:rsid w:val="0EB73ADA"/>
    <w:rsid w:val="0EBA46A3"/>
    <w:rsid w:val="0EBB2DAD"/>
    <w:rsid w:val="0EBE6BB4"/>
    <w:rsid w:val="0ED411DA"/>
    <w:rsid w:val="0EDA1544"/>
    <w:rsid w:val="0EF05DCE"/>
    <w:rsid w:val="0F4E0E85"/>
    <w:rsid w:val="0F4E7639"/>
    <w:rsid w:val="0F531ACB"/>
    <w:rsid w:val="0F6F4854"/>
    <w:rsid w:val="0F8C6CB2"/>
    <w:rsid w:val="0F9D4A1B"/>
    <w:rsid w:val="0F9F0794"/>
    <w:rsid w:val="0FA0723A"/>
    <w:rsid w:val="0FB568C1"/>
    <w:rsid w:val="0FBE1FCA"/>
    <w:rsid w:val="0FD41FBD"/>
    <w:rsid w:val="0FD4370B"/>
    <w:rsid w:val="10142F30"/>
    <w:rsid w:val="101A751A"/>
    <w:rsid w:val="103E486A"/>
    <w:rsid w:val="105477D0"/>
    <w:rsid w:val="106D5B52"/>
    <w:rsid w:val="106F63B8"/>
    <w:rsid w:val="1090350E"/>
    <w:rsid w:val="10944070"/>
    <w:rsid w:val="10A6372F"/>
    <w:rsid w:val="10A97373"/>
    <w:rsid w:val="10DA535D"/>
    <w:rsid w:val="10F863AD"/>
    <w:rsid w:val="110D2AFF"/>
    <w:rsid w:val="112131E2"/>
    <w:rsid w:val="114809B7"/>
    <w:rsid w:val="11681ED6"/>
    <w:rsid w:val="119C482A"/>
    <w:rsid w:val="11C6025A"/>
    <w:rsid w:val="11DE3F50"/>
    <w:rsid w:val="11DF30C9"/>
    <w:rsid w:val="11F528ED"/>
    <w:rsid w:val="11FD4CD5"/>
    <w:rsid w:val="12371157"/>
    <w:rsid w:val="129325F3"/>
    <w:rsid w:val="12983425"/>
    <w:rsid w:val="12BD1492"/>
    <w:rsid w:val="12FA3B2F"/>
    <w:rsid w:val="13431F92"/>
    <w:rsid w:val="13955E86"/>
    <w:rsid w:val="13C13BEB"/>
    <w:rsid w:val="13D604FC"/>
    <w:rsid w:val="13E11194"/>
    <w:rsid w:val="13EC1865"/>
    <w:rsid w:val="140B464A"/>
    <w:rsid w:val="144A391D"/>
    <w:rsid w:val="145D3899"/>
    <w:rsid w:val="14B7657F"/>
    <w:rsid w:val="14CE63E8"/>
    <w:rsid w:val="150E5893"/>
    <w:rsid w:val="15133F2C"/>
    <w:rsid w:val="1517701E"/>
    <w:rsid w:val="154A11A2"/>
    <w:rsid w:val="156A35F2"/>
    <w:rsid w:val="15AF385B"/>
    <w:rsid w:val="15C3657D"/>
    <w:rsid w:val="15ED748E"/>
    <w:rsid w:val="16201F02"/>
    <w:rsid w:val="163D1F3A"/>
    <w:rsid w:val="16414AC9"/>
    <w:rsid w:val="167C0AF5"/>
    <w:rsid w:val="167C76AF"/>
    <w:rsid w:val="16A14FAE"/>
    <w:rsid w:val="16EA49EA"/>
    <w:rsid w:val="16F72C63"/>
    <w:rsid w:val="16FF3D15"/>
    <w:rsid w:val="17024379"/>
    <w:rsid w:val="17263548"/>
    <w:rsid w:val="172C05D9"/>
    <w:rsid w:val="17755202"/>
    <w:rsid w:val="1776370C"/>
    <w:rsid w:val="179761F4"/>
    <w:rsid w:val="17CF3BE0"/>
    <w:rsid w:val="186C7681"/>
    <w:rsid w:val="18786026"/>
    <w:rsid w:val="188C4113"/>
    <w:rsid w:val="189E5E26"/>
    <w:rsid w:val="18BC23B6"/>
    <w:rsid w:val="18D04606"/>
    <w:rsid w:val="18D70F9E"/>
    <w:rsid w:val="18FA5B52"/>
    <w:rsid w:val="19053D5D"/>
    <w:rsid w:val="190D676E"/>
    <w:rsid w:val="191843C1"/>
    <w:rsid w:val="191A46EE"/>
    <w:rsid w:val="193D5CAC"/>
    <w:rsid w:val="19600F94"/>
    <w:rsid w:val="19647370"/>
    <w:rsid w:val="198A7DBF"/>
    <w:rsid w:val="19C83B53"/>
    <w:rsid w:val="19DE1C05"/>
    <w:rsid w:val="19EB0A7A"/>
    <w:rsid w:val="1A185E2C"/>
    <w:rsid w:val="1A253F8B"/>
    <w:rsid w:val="1A3C6E09"/>
    <w:rsid w:val="1A5D3725"/>
    <w:rsid w:val="1A600465"/>
    <w:rsid w:val="1A654388"/>
    <w:rsid w:val="1A657CD8"/>
    <w:rsid w:val="1A741F99"/>
    <w:rsid w:val="1A807414"/>
    <w:rsid w:val="1AA97D25"/>
    <w:rsid w:val="1AAC1FB7"/>
    <w:rsid w:val="1B1F49AA"/>
    <w:rsid w:val="1B416BA3"/>
    <w:rsid w:val="1B87260E"/>
    <w:rsid w:val="1B8A15C4"/>
    <w:rsid w:val="1B9916E8"/>
    <w:rsid w:val="1B9969DF"/>
    <w:rsid w:val="1BAA5C22"/>
    <w:rsid w:val="1BF956CF"/>
    <w:rsid w:val="1BFD0D5D"/>
    <w:rsid w:val="1C0C5403"/>
    <w:rsid w:val="1C511068"/>
    <w:rsid w:val="1C7D1E5D"/>
    <w:rsid w:val="1C9D0478"/>
    <w:rsid w:val="1CB03FE0"/>
    <w:rsid w:val="1CB304A3"/>
    <w:rsid w:val="1CD07137"/>
    <w:rsid w:val="1CE76D4F"/>
    <w:rsid w:val="1CF12CD2"/>
    <w:rsid w:val="1D3320C5"/>
    <w:rsid w:val="1D3772E3"/>
    <w:rsid w:val="1D3F5364"/>
    <w:rsid w:val="1D5030CD"/>
    <w:rsid w:val="1D686669"/>
    <w:rsid w:val="1D927B8A"/>
    <w:rsid w:val="1D9C6C71"/>
    <w:rsid w:val="1DBF4066"/>
    <w:rsid w:val="1DC0096E"/>
    <w:rsid w:val="1DD02C25"/>
    <w:rsid w:val="1DFB32CC"/>
    <w:rsid w:val="1E085F02"/>
    <w:rsid w:val="1E304C77"/>
    <w:rsid w:val="1E454BFC"/>
    <w:rsid w:val="1E4B3220"/>
    <w:rsid w:val="1E764DB5"/>
    <w:rsid w:val="1E7E7378"/>
    <w:rsid w:val="1EEE0DF0"/>
    <w:rsid w:val="1F0529C7"/>
    <w:rsid w:val="1F091FF2"/>
    <w:rsid w:val="1F172B9E"/>
    <w:rsid w:val="1F6B68E4"/>
    <w:rsid w:val="1F8615BF"/>
    <w:rsid w:val="1F93095F"/>
    <w:rsid w:val="1FB449F5"/>
    <w:rsid w:val="1FC01B05"/>
    <w:rsid w:val="1FE64151"/>
    <w:rsid w:val="1FEA7927"/>
    <w:rsid w:val="20220D88"/>
    <w:rsid w:val="202D724A"/>
    <w:rsid w:val="20432E03"/>
    <w:rsid w:val="20703AC9"/>
    <w:rsid w:val="20852D2F"/>
    <w:rsid w:val="20CE5700"/>
    <w:rsid w:val="20CE712B"/>
    <w:rsid w:val="20E701EC"/>
    <w:rsid w:val="21366A7E"/>
    <w:rsid w:val="21670058"/>
    <w:rsid w:val="216C51F8"/>
    <w:rsid w:val="21705735"/>
    <w:rsid w:val="21D6599F"/>
    <w:rsid w:val="21EC1864"/>
    <w:rsid w:val="2211172D"/>
    <w:rsid w:val="221E69DD"/>
    <w:rsid w:val="222F5C4D"/>
    <w:rsid w:val="22456F98"/>
    <w:rsid w:val="22694276"/>
    <w:rsid w:val="22853AE2"/>
    <w:rsid w:val="22886585"/>
    <w:rsid w:val="22A243CB"/>
    <w:rsid w:val="22D402FC"/>
    <w:rsid w:val="233E4325"/>
    <w:rsid w:val="23610B8C"/>
    <w:rsid w:val="23767E36"/>
    <w:rsid w:val="239B7B47"/>
    <w:rsid w:val="23E812A0"/>
    <w:rsid w:val="241155A9"/>
    <w:rsid w:val="241D716E"/>
    <w:rsid w:val="244412FB"/>
    <w:rsid w:val="2472524B"/>
    <w:rsid w:val="249935AC"/>
    <w:rsid w:val="24AD2EBF"/>
    <w:rsid w:val="24BB5C18"/>
    <w:rsid w:val="251D6FC5"/>
    <w:rsid w:val="253902A6"/>
    <w:rsid w:val="253F05F7"/>
    <w:rsid w:val="254A0D4A"/>
    <w:rsid w:val="254B358D"/>
    <w:rsid w:val="25517C49"/>
    <w:rsid w:val="256E6DFD"/>
    <w:rsid w:val="25891872"/>
    <w:rsid w:val="25B60EA7"/>
    <w:rsid w:val="25B678EC"/>
    <w:rsid w:val="25B736EC"/>
    <w:rsid w:val="25CC7C14"/>
    <w:rsid w:val="25F767DC"/>
    <w:rsid w:val="2613091A"/>
    <w:rsid w:val="26357C95"/>
    <w:rsid w:val="264D0AF2"/>
    <w:rsid w:val="265909F3"/>
    <w:rsid w:val="26867B60"/>
    <w:rsid w:val="26B33519"/>
    <w:rsid w:val="26BB5A5B"/>
    <w:rsid w:val="26E0066E"/>
    <w:rsid w:val="26E81DCB"/>
    <w:rsid w:val="26FE3B9A"/>
    <w:rsid w:val="273571C2"/>
    <w:rsid w:val="275A75F4"/>
    <w:rsid w:val="275E50DA"/>
    <w:rsid w:val="27621A0B"/>
    <w:rsid w:val="27633148"/>
    <w:rsid w:val="279E7B84"/>
    <w:rsid w:val="27B103DE"/>
    <w:rsid w:val="27DC4161"/>
    <w:rsid w:val="27E27527"/>
    <w:rsid w:val="28302479"/>
    <w:rsid w:val="285445B2"/>
    <w:rsid w:val="28AE4089"/>
    <w:rsid w:val="28B44E58"/>
    <w:rsid w:val="28D24D9C"/>
    <w:rsid w:val="28F25980"/>
    <w:rsid w:val="28FE7045"/>
    <w:rsid w:val="2941798C"/>
    <w:rsid w:val="294C5129"/>
    <w:rsid w:val="295C70D0"/>
    <w:rsid w:val="295E4EA3"/>
    <w:rsid w:val="296F6FD1"/>
    <w:rsid w:val="29C70BBB"/>
    <w:rsid w:val="29CD4E78"/>
    <w:rsid w:val="29E4351B"/>
    <w:rsid w:val="29FD45DD"/>
    <w:rsid w:val="2A305480"/>
    <w:rsid w:val="2A4E6005"/>
    <w:rsid w:val="2A8F70B0"/>
    <w:rsid w:val="2A9767DF"/>
    <w:rsid w:val="2A9C3DF6"/>
    <w:rsid w:val="2AE43776"/>
    <w:rsid w:val="2B06015E"/>
    <w:rsid w:val="2B1D5459"/>
    <w:rsid w:val="2B276CB6"/>
    <w:rsid w:val="2B4F4ECF"/>
    <w:rsid w:val="2B6F284F"/>
    <w:rsid w:val="2BA74026"/>
    <w:rsid w:val="2BB4516F"/>
    <w:rsid w:val="2C2263B3"/>
    <w:rsid w:val="2C6426F1"/>
    <w:rsid w:val="2C9C2F72"/>
    <w:rsid w:val="2CC15D7F"/>
    <w:rsid w:val="2CE83322"/>
    <w:rsid w:val="2D141CF6"/>
    <w:rsid w:val="2D502872"/>
    <w:rsid w:val="2D764930"/>
    <w:rsid w:val="2D984126"/>
    <w:rsid w:val="2DB17BB8"/>
    <w:rsid w:val="2DB31BE6"/>
    <w:rsid w:val="2DBE22D5"/>
    <w:rsid w:val="2E0221C2"/>
    <w:rsid w:val="2E0A4375"/>
    <w:rsid w:val="2E0C3040"/>
    <w:rsid w:val="2E0D52BF"/>
    <w:rsid w:val="2E35623B"/>
    <w:rsid w:val="2E4E3659"/>
    <w:rsid w:val="2E6740D2"/>
    <w:rsid w:val="2EC138D2"/>
    <w:rsid w:val="2ED8288A"/>
    <w:rsid w:val="2EE205A6"/>
    <w:rsid w:val="2EEB317F"/>
    <w:rsid w:val="2F18216E"/>
    <w:rsid w:val="2F1E127D"/>
    <w:rsid w:val="2F1F6DA3"/>
    <w:rsid w:val="2F2969EB"/>
    <w:rsid w:val="2F401502"/>
    <w:rsid w:val="2F462582"/>
    <w:rsid w:val="2F5673B3"/>
    <w:rsid w:val="2F597F13"/>
    <w:rsid w:val="2F6F24CC"/>
    <w:rsid w:val="2F714B04"/>
    <w:rsid w:val="2F806EF6"/>
    <w:rsid w:val="2F917CA1"/>
    <w:rsid w:val="2F920A3A"/>
    <w:rsid w:val="2FE9188B"/>
    <w:rsid w:val="2FED3439"/>
    <w:rsid w:val="2FFB71AB"/>
    <w:rsid w:val="300246FB"/>
    <w:rsid w:val="30030473"/>
    <w:rsid w:val="30064FDA"/>
    <w:rsid w:val="303773D1"/>
    <w:rsid w:val="30793AE8"/>
    <w:rsid w:val="30B55C11"/>
    <w:rsid w:val="30D140CD"/>
    <w:rsid w:val="30D75B88"/>
    <w:rsid w:val="31165933"/>
    <w:rsid w:val="31523460"/>
    <w:rsid w:val="315A40C3"/>
    <w:rsid w:val="316E7428"/>
    <w:rsid w:val="319B3695"/>
    <w:rsid w:val="319C292D"/>
    <w:rsid w:val="31BF0E0A"/>
    <w:rsid w:val="31D35B62"/>
    <w:rsid w:val="31D976DD"/>
    <w:rsid w:val="32164205"/>
    <w:rsid w:val="321C75CA"/>
    <w:rsid w:val="32332253"/>
    <w:rsid w:val="324271A8"/>
    <w:rsid w:val="329D4BAF"/>
    <w:rsid w:val="32B67A1F"/>
    <w:rsid w:val="32D10F12"/>
    <w:rsid w:val="331D35FA"/>
    <w:rsid w:val="333B777A"/>
    <w:rsid w:val="333F226C"/>
    <w:rsid w:val="339A2E9C"/>
    <w:rsid w:val="33A51F6D"/>
    <w:rsid w:val="33C26030"/>
    <w:rsid w:val="33C547A5"/>
    <w:rsid w:val="33E864A6"/>
    <w:rsid w:val="34526CBA"/>
    <w:rsid w:val="345A580A"/>
    <w:rsid w:val="34B22DB1"/>
    <w:rsid w:val="34EA1595"/>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6D6646"/>
    <w:rsid w:val="36C144C3"/>
    <w:rsid w:val="36D44917"/>
    <w:rsid w:val="372633C5"/>
    <w:rsid w:val="37661A13"/>
    <w:rsid w:val="37677539"/>
    <w:rsid w:val="377C4EB7"/>
    <w:rsid w:val="385F275A"/>
    <w:rsid w:val="3885411B"/>
    <w:rsid w:val="388C7CC2"/>
    <w:rsid w:val="38B92676"/>
    <w:rsid w:val="38C23C8C"/>
    <w:rsid w:val="38DC28FD"/>
    <w:rsid w:val="390A63CE"/>
    <w:rsid w:val="394B7113"/>
    <w:rsid w:val="394D1ECD"/>
    <w:rsid w:val="39B20761"/>
    <w:rsid w:val="39D37108"/>
    <w:rsid w:val="39F257E0"/>
    <w:rsid w:val="3A1C1BAF"/>
    <w:rsid w:val="3A1F1997"/>
    <w:rsid w:val="3A282A5D"/>
    <w:rsid w:val="3A7129B2"/>
    <w:rsid w:val="3A777A93"/>
    <w:rsid w:val="3A992E93"/>
    <w:rsid w:val="3AB605BC"/>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BE16CCB"/>
    <w:rsid w:val="3BE92C13"/>
    <w:rsid w:val="3C123F18"/>
    <w:rsid w:val="3C243C4B"/>
    <w:rsid w:val="3C4D6CFE"/>
    <w:rsid w:val="3C651D50"/>
    <w:rsid w:val="3C8666FD"/>
    <w:rsid w:val="3CA408E8"/>
    <w:rsid w:val="3CA523B3"/>
    <w:rsid w:val="3CAF79B9"/>
    <w:rsid w:val="3CF7310E"/>
    <w:rsid w:val="3CFD709B"/>
    <w:rsid w:val="3D3103CE"/>
    <w:rsid w:val="3D361E88"/>
    <w:rsid w:val="3D4041F2"/>
    <w:rsid w:val="3D734E8A"/>
    <w:rsid w:val="3D805368"/>
    <w:rsid w:val="3D820C29"/>
    <w:rsid w:val="3DB57993"/>
    <w:rsid w:val="3DF132CA"/>
    <w:rsid w:val="3E103B9E"/>
    <w:rsid w:val="3E2829E9"/>
    <w:rsid w:val="3E5113D8"/>
    <w:rsid w:val="3E7569E0"/>
    <w:rsid w:val="3E832EAB"/>
    <w:rsid w:val="3EBE76C5"/>
    <w:rsid w:val="3ECC22A5"/>
    <w:rsid w:val="3EDB2CE7"/>
    <w:rsid w:val="3F1E0E25"/>
    <w:rsid w:val="3F2F4DE1"/>
    <w:rsid w:val="3F324E7C"/>
    <w:rsid w:val="3F3E1D92"/>
    <w:rsid w:val="3F3E3276"/>
    <w:rsid w:val="3F544847"/>
    <w:rsid w:val="3F5C54AA"/>
    <w:rsid w:val="3F5D36FC"/>
    <w:rsid w:val="3FA70E1B"/>
    <w:rsid w:val="3FB452E6"/>
    <w:rsid w:val="3FB5178A"/>
    <w:rsid w:val="3FBB0422"/>
    <w:rsid w:val="3FF744E4"/>
    <w:rsid w:val="3FFF2A05"/>
    <w:rsid w:val="40077B0C"/>
    <w:rsid w:val="40290860"/>
    <w:rsid w:val="40297A82"/>
    <w:rsid w:val="403D54CD"/>
    <w:rsid w:val="40532D2B"/>
    <w:rsid w:val="406D41CF"/>
    <w:rsid w:val="407707ED"/>
    <w:rsid w:val="408028ED"/>
    <w:rsid w:val="4081166C"/>
    <w:rsid w:val="40C7284E"/>
    <w:rsid w:val="40D55514"/>
    <w:rsid w:val="40D95004"/>
    <w:rsid w:val="40E104DF"/>
    <w:rsid w:val="40F13E3D"/>
    <w:rsid w:val="40F97454"/>
    <w:rsid w:val="40FB5C66"/>
    <w:rsid w:val="41212AAF"/>
    <w:rsid w:val="41597EF3"/>
    <w:rsid w:val="4178455B"/>
    <w:rsid w:val="41864339"/>
    <w:rsid w:val="41A90E7A"/>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B73128"/>
    <w:rsid w:val="42CD0B98"/>
    <w:rsid w:val="42E414A5"/>
    <w:rsid w:val="42ED38B0"/>
    <w:rsid w:val="430239C6"/>
    <w:rsid w:val="430C466C"/>
    <w:rsid w:val="435F025C"/>
    <w:rsid w:val="43676230"/>
    <w:rsid w:val="43D9531B"/>
    <w:rsid w:val="442716E3"/>
    <w:rsid w:val="442A3DC9"/>
    <w:rsid w:val="44316131"/>
    <w:rsid w:val="443A04B0"/>
    <w:rsid w:val="445B0426"/>
    <w:rsid w:val="44623B29"/>
    <w:rsid w:val="446C43E1"/>
    <w:rsid w:val="44AC6153"/>
    <w:rsid w:val="44CB7E92"/>
    <w:rsid w:val="44D37FBC"/>
    <w:rsid w:val="44D53D34"/>
    <w:rsid w:val="44D81267"/>
    <w:rsid w:val="44DD1721"/>
    <w:rsid w:val="44F06DC0"/>
    <w:rsid w:val="45260A34"/>
    <w:rsid w:val="45303661"/>
    <w:rsid w:val="4551727C"/>
    <w:rsid w:val="45653B06"/>
    <w:rsid w:val="45675307"/>
    <w:rsid w:val="4574425A"/>
    <w:rsid w:val="45833790"/>
    <w:rsid w:val="458D6DA1"/>
    <w:rsid w:val="458F2670"/>
    <w:rsid w:val="45CF2E79"/>
    <w:rsid w:val="45D1463A"/>
    <w:rsid w:val="45E82159"/>
    <w:rsid w:val="45ED0F61"/>
    <w:rsid w:val="45FB77CB"/>
    <w:rsid w:val="460C19D8"/>
    <w:rsid w:val="464F7B16"/>
    <w:rsid w:val="46767799"/>
    <w:rsid w:val="46B5206F"/>
    <w:rsid w:val="46CA0775"/>
    <w:rsid w:val="46CE1038"/>
    <w:rsid w:val="46D53D73"/>
    <w:rsid w:val="46F10BCE"/>
    <w:rsid w:val="471825FE"/>
    <w:rsid w:val="4727514F"/>
    <w:rsid w:val="47451645"/>
    <w:rsid w:val="47463896"/>
    <w:rsid w:val="475036EC"/>
    <w:rsid w:val="476304E5"/>
    <w:rsid w:val="482F19AD"/>
    <w:rsid w:val="483671E0"/>
    <w:rsid w:val="483D1893"/>
    <w:rsid w:val="48407E8B"/>
    <w:rsid w:val="48492B5E"/>
    <w:rsid w:val="48662638"/>
    <w:rsid w:val="486A70F8"/>
    <w:rsid w:val="48941C0A"/>
    <w:rsid w:val="48D016B1"/>
    <w:rsid w:val="48EB621C"/>
    <w:rsid w:val="48EF63BC"/>
    <w:rsid w:val="48F03833"/>
    <w:rsid w:val="49143FE3"/>
    <w:rsid w:val="491D5CAA"/>
    <w:rsid w:val="49410045"/>
    <w:rsid w:val="497B5EAF"/>
    <w:rsid w:val="49BB5BEF"/>
    <w:rsid w:val="49E550B8"/>
    <w:rsid w:val="49EA0282"/>
    <w:rsid w:val="4A304D72"/>
    <w:rsid w:val="4ABD50B2"/>
    <w:rsid w:val="4ADA08DD"/>
    <w:rsid w:val="4AF53CDA"/>
    <w:rsid w:val="4B302190"/>
    <w:rsid w:val="4B4B4D50"/>
    <w:rsid w:val="4B920BD1"/>
    <w:rsid w:val="4BCD1E1A"/>
    <w:rsid w:val="4C0D05F0"/>
    <w:rsid w:val="4C336232"/>
    <w:rsid w:val="4C4D68A6"/>
    <w:rsid w:val="4C5440D8"/>
    <w:rsid w:val="4C5B1CC0"/>
    <w:rsid w:val="4C6063F0"/>
    <w:rsid w:val="4C6D0CF6"/>
    <w:rsid w:val="4C912C37"/>
    <w:rsid w:val="4CDE25B8"/>
    <w:rsid w:val="4D031C9B"/>
    <w:rsid w:val="4D237C5B"/>
    <w:rsid w:val="4D2A6BE7"/>
    <w:rsid w:val="4D2F41FE"/>
    <w:rsid w:val="4D567F0A"/>
    <w:rsid w:val="4D6E195B"/>
    <w:rsid w:val="4D882C83"/>
    <w:rsid w:val="4DB33731"/>
    <w:rsid w:val="4DB34E9F"/>
    <w:rsid w:val="4DD45985"/>
    <w:rsid w:val="4DDE57A5"/>
    <w:rsid w:val="4DE4323A"/>
    <w:rsid w:val="4DED5CE9"/>
    <w:rsid w:val="4DEE38E9"/>
    <w:rsid w:val="4E015B9A"/>
    <w:rsid w:val="4E040F77"/>
    <w:rsid w:val="4E0D2791"/>
    <w:rsid w:val="4E2528C4"/>
    <w:rsid w:val="4E381FE7"/>
    <w:rsid w:val="4E683E6B"/>
    <w:rsid w:val="4E7D3760"/>
    <w:rsid w:val="4EF15C0F"/>
    <w:rsid w:val="4F0478A8"/>
    <w:rsid w:val="4F0E4A13"/>
    <w:rsid w:val="4F245FE4"/>
    <w:rsid w:val="4F471CD3"/>
    <w:rsid w:val="4F570614"/>
    <w:rsid w:val="4F7A3E56"/>
    <w:rsid w:val="4F7E3AF1"/>
    <w:rsid w:val="4FC81DBA"/>
    <w:rsid w:val="4FE062C8"/>
    <w:rsid w:val="4FF260E2"/>
    <w:rsid w:val="50083210"/>
    <w:rsid w:val="501047BA"/>
    <w:rsid w:val="50493828"/>
    <w:rsid w:val="5051384E"/>
    <w:rsid w:val="50792360"/>
    <w:rsid w:val="507C1E50"/>
    <w:rsid w:val="50932863"/>
    <w:rsid w:val="50A92418"/>
    <w:rsid w:val="50C64757"/>
    <w:rsid w:val="50E04186"/>
    <w:rsid w:val="510C719C"/>
    <w:rsid w:val="511A7AB0"/>
    <w:rsid w:val="512E2388"/>
    <w:rsid w:val="51801680"/>
    <w:rsid w:val="51CF2578"/>
    <w:rsid w:val="51D44165"/>
    <w:rsid w:val="51D82289"/>
    <w:rsid w:val="51E101BC"/>
    <w:rsid w:val="52036385"/>
    <w:rsid w:val="520E4D2A"/>
    <w:rsid w:val="52102850"/>
    <w:rsid w:val="522600D8"/>
    <w:rsid w:val="5230624E"/>
    <w:rsid w:val="52306A4E"/>
    <w:rsid w:val="52416EAD"/>
    <w:rsid w:val="524B7D2C"/>
    <w:rsid w:val="525E7F64"/>
    <w:rsid w:val="527F3531"/>
    <w:rsid w:val="528B597C"/>
    <w:rsid w:val="52A031D1"/>
    <w:rsid w:val="52A92912"/>
    <w:rsid w:val="52B24B47"/>
    <w:rsid w:val="52B3031A"/>
    <w:rsid w:val="52BA1516"/>
    <w:rsid w:val="52D33D8B"/>
    <w:rsid w:val="52EF06B7"/>
    <w:rsid w:val="531039DD"/>
    <w:rsid w:val="53180D32"/>
    <w:rsid w:val="53642E53"/>
    <w:rsid w:val="537938E1"/>
    <w:rsid w:val="53807F59"/>
    <w:rsid w:val="53966D81"/>
    <w:rsid w:val="539F20DD"/>
    <w:rsid w:val="53A729BB"/>
    <w:rsid w:val="53C77F81"/>
    <w:rsid w:val="549A6B3D"/>
    <w:rsid w:val="549C03CB"/>
    <w:rsid w:val="54C469B0"/>
    <w:rsid w:val="54E35FFA"/>
    <w:rsid w:val="54F71AA5"/>
    <w:rsid w:val="54F77CF7"/>
    <w:rsid w:val="551254D1"/>
    <w:rsid w:val="55164621"/>
    <w:rsid w:val="55184EF2"/>
    <w:rsid w:val="551B5793"/>
    <w:rsid w:val="557F5C64"/>
    <w:rsid w:val="55CE5FAF"/>
    <w:rsid w:val="55D65B5E"/>
    <w:rsid w:val="55DF2C65"/>
    <w:rsid w:val="55FF50B5"/>
    <w:rsid w:val="563E671E"/>
    <w:rsid w:val="5647080A"/>
    <w:rsid w:val="56695122"/>
    <w:rsid w:val="567C6706"/>
    <w:rsid w:val="568D4A8B"/>
    <w:rsid w:val="56AD68BF"/>
    <w:rsid w:val="56E322E1"/>
    <w:rsid w:val="56F72C39"/>
    <w:rsid w:val="57265724"/>
    <w:rsid w:val="5741059C"/>
    <w:rsid w:val="57821C5F"/>
    <w:rsid w:val="5787376C"/>
    <w:rsid w:val="57EC71D5"/>
    <w:rsid w:val="581A249A"/>
    <w:rsid w:val="58340631"/>
    <w:rsid w:val="587E1D30"/>
    <w:rsid w:val="588621CE"/>
    <w:rsid w:val="588927B2"/>
    <w:rsid w:val="58A14202"/>
    <w:rsid w:val="58AC03AC"/>
    <w:rsid w:val="58B3037A"/>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BC62B9"/>
    <w:rsid w:val="5ACE451A"/>
    <w:rsid w:val="5ADF7263"/>
    <w:rsid w:val="5AEC372E"/>
    <w:rsid w:val="5AED4C1B"/>
    <w:rsid w:val="5B2D4472"/>
    <w:rsid w:val="5BA52831"/>
    <w:rsid w:val="5BC0596D"/>
    <w:rsid w:val="5BE014E5"/>
    <w:rsid w:val="5BE5635E"/>
    <w:rsid w:val="5BE74621"/>
    <w:rsid w:val="5C03587B"/>
    <w:rsid w:val="5C082ED9"/>
    <w:rsid w:val="5C453255"/>
    <w:rsid w:val="5C4805D9"/>
    <w:rsid w:val="5C482D1B"/>
    <w:rsid w:val="5C7236C4"/>
    <w:rsid w:val="5C8C4DD7"/>
    <w:rsid w:val="5C8E7193"/>
    <w:rsid w:val="5CAD7A90"/>
    <w:rsid w:val="5CB82BDC"/>
    <w:rsid w:val="5CBA0A27"/>
    <w:rsid w:val="5CE24F97"/>
    <w:rsid w:val="5CEC3B27"/>
    <w:rsid w:val="5D047455"/>
    <w:rsid w:val="5D543F38"/>
    <w:rsid w:val="5D656145"/>
    <w:rsid w:val="5D804893"/>
    <w:rsid w:val="5DA53F1B"/>
    <w:rsid w:val="5DA54794"/>
    <w:rsid w:val="5DC63FF9"/>
    <w:rsid w:val="5E7128C8"/>
    <w:rsid w:val="5E79352B"/>
    <w:rsid w:val="5EFA37B3"/>
    <w:rsid w:val="5F335DCF"/>
    <w:rsid w:val="5F4571B2"/>
    <w:rsid w:val="5F4F2373"/>
    <w:rsid w:val="5F6A078D"/>
    <w:rsid w:val="5F9A7BFD"/>
    <w:rsid w:val="5FA23A48"/>
    <w:rsid w:val="5FB36CBE"/>
    <w:rsid w:val="5FC627A0"/>
    <w:rsid w:val="5FD076A0"/>
    <w:rsid w:val="5FE21555"/>
    <w:rsid w:val="5FED36FB"/>
    <w:rsid w:val="60067040"/>
    <w:rsid w:val="606F72DB"/>
    <w:rsid w:val="60BC5E8F"/>
    <w:rsid w:val="60C170FF"/>
    <w:rsid w:val="60CC0666"/>
    <w:rsid w:val="610E27AB"/>
    <w:rsid w:val="611511C3"/>
    <w:rsid w:val="61393910"/>
    <w:rsid w:val="61710A64"/>
    <w:rsid w:val="619B697B"/>
    <w:rsid w:val="61D84352"/>
    <w:rsid w:val="61DA4AD9"/>
    <w:rsid w:val="61F335F4"/>
    <w:rsid w:val="623D3E1F"/>
    <w:rsid w:val="62626313"/>
    <w:rsid w:val="629D4803"/>
    <w:rsid w:val="629E17B2"/>
    <w:rsid w:val="62AE498D"/>
    <w:rsid w:val="62ED1A72"/>
    <w:rsid w:val="62F46B2D"/>
    <w:rsid w:val="63100901"/>
    <w:rsid w:val="637F5A87"/>
    <w:rsid w:val="638048A2"/>
    <w:rsid w:val="638A2399"/>
    <w:rsid w:val="63A70B3A"/>
    <w:rsid w:val="63D57455"/>
    <w:rsid w:val="63EF2CB1"/>
    <w:rsid w:val="63EF49BB"/>
    <w:rsid w:val="63F74842"/>
    <w:rsid w:val="63FF44D2"/>
    <w:rsid w:val="64077840"/>
    <w:rsid w:val="641504F8"/>
    <w:rsid w:val="641F4B74"/>
    <w:rsid w:val="6435406C"/>
    <w:rsid w:val="644051D2"/>
    <w:rsid w:val="64601415"/>
    <w:rsid w:val="64774677"/>
    <w:rsid w:val="64AB0CD1"/>
    <w:rsid w:val="64C96613"/>
    <w:rsid w:val="64CA50C2"/>
    <w:rsid w:val="64D709C5"/>
    <w:rsid w:val="64D84E1A"/>
    <w:rsid w:val="65312DB1"/>
    <w:rsid w:val="6558033E"/>
    <w:rsid w:val="656606E0"/>
    <w:rsid w:val="65675ED4"/>
    <w:rsid w:val="658C2053"/>
    <w:rsid w:val="65A05841"/>
    <w:rsid w:val="65D5373C"/>
    <w:rsid w:val="65DA0D53"/>
    <w:rsid w:val="65EB11B2"/>
    <w:rsid w:val="65F51A97"/>
    <w:rsid w:val="66576847"/>
    <w:rsid w:val="66672543"/>
    <w:rsid w:val="6683497C"/>
    <w:rsid w:val="66B21CD0"/>
    <w:rsid w:val="66E872A7"/>
    <w:rsid w:val="67191D4F"/>
    <w:rsid w:val="676E5CC7"/>
    <w:rsid w:val="67D85766"/>
    <w:rsid w:val="67E14BAB"/>
    <w:rsid w:val="67EE0AE5"/>
    <w:rsid w:val="67F71E56"/>
    <w:rsid w:val="68120C78"/>
    <w:rsid w:val="68145423"/>
    <w:rsid w:val="683A3D2B"/>
    <w:rsid w:val="684C44B3"/>
    <w:rsid w:val="686D2352"/>
    <w:rsid w:val="68880F3A"/>
    <w:rsid w:val="68DE4FFE"/>
    <w:rsid w:val="690F1726"/>
    <w:rsid w:val="691922CA"/>
    <w:rsid w:val="6942765C"/>
    <w:rsid w:val="69BD2E65"/>
    <w:rsid w:val="69D201EA"/>
    <w:rsid w:val="69D8608D"/>
    <w:rsid w:val="6A0445F0"/>
    <w:rsid w:val="6A2D5CB0"/>
    <w:rsid w:val="6A4D2110"/>
    <w:rsid w:val="6A663992"/>
    <w:rsid w:val="6A7D0A56"/>
    <w:rsid w:val="6AB10CF8"/>
    <w:rsid w:val="6ABA6C3B"/>
    <w:rsid w:val="6B4078AA"/>
    <w:rsid w:val="6B4663C9"/>
    <w:rsid w:val="6B767770"/>
    <w:rsid w:val="6B7B7F55"/>
    <w:rsid w:val="6B981494"/>
    <w:rsid w:val="6BA57CEF"/>
    <w:rsid w:val="6BB90159"/>
    <w:rsid w:val="6BCC3834"/>
    <w:rsid w:val="6BD84130"/>
    <w:rsid w:val="6C031CBB"/>
    <w:rsid w:val="6C111246"/>
    <w:rsid w:val="6C124248"/>
    <w:rsid w:val="6C6B059F"/>
    <w:rsid w:val="6C8E6D3B"/>
    <w:rsid w:val="6C9555FE"/>
    <w:rsid w:val="6C97605D"/>
    <w:rsid w:val="6CA00B62"/>
    <w:rsid w:val="6CBD4F2A"/>
    <w:rsid w:val="6CFE27E3"/>
    <w:rsid w:val="6D274D94"/>
    <w:rsid w:val="6D8C026B"/>
    <w:rsid w:val="6D955447"/>
    <w:rsid w:val="6D9E0D2D"/>
    <w:rsid w:val="6D9E2EF6"/>
    <w:rsid w:val="6DAD3879"/>
    <w:rsid w:val="6DD01AB0"/>
    <w:rsid w:val="6DD857F0"/>
    <w:rsid w:val="6DE94229"/>
    <w:rsid w:val="6DEB139F"/>
    <w:rsid w:val="6DF350A8"/>
    <w:rsid w:val="6E105C5A"/>
    <w:rsid w:val="6E4A3AA9"/>
    <w:rsid w:val="6E557B10"/>
    <w:rsid w:val="6E62222D"/>
    <w:rsid w:val="6E741A47"/>
    <w:rsid w:val="6E846891"/>
    <w:rsid w:val="6E8B3FD1"/>
    <w:rsid w:val="6E9D5013"/>
    <w:rsid w:val="6E9E14B7"/>
    <w:rsid w:val="6EB34837"/>
    <w:rsid w:val="6EC73382"/>
    <w:rsid w:val="6EDB181C"/>
    <w:rsid w:val="6EF015E7"/>
    <w:rsid w:val="6EF40B34"/>
    <w:rsid w:val="6F0843FC"/>
    <w:rsid w:val="6F0C014F"/>
    <w:rsid w:val="6F0D11E7"/>
    <w:rsid w:val="6F1D644C"/>
    <w:rsid w:val="6F3239AE"/>
    <w:rsid w:val="6F4D02A4"/>
    <w:rsid w:val="6F793947"/>
    <w:rsid w:val="6FB97C2B"/>
    <w:rsid w:val="6FC83DE4"/>
    <w:rsid w:val="6FD9651F"/>
    <w:rsid w:val="6FDB7D0C"/>
    <w:rsid w:val="6FDC23B5"/>
    <w:rsid w:val="6FE733CE"/>
    <w:rsid w:val="702A28D7"/>
    <w:rsid w:val="705D0EFE"/>
    <w:rsid w:val="7060279C"/>
    <w:rsid w:val="706B3710"/>
    <w:rsid w:val="706B4417"/>
    <w:rsid w:val="70784F6A"/>
    <w:rsid w:val="70AD066D"/>
    <w:rsid w:val="70B2470E"/>
    <w:rsid w:val="70B46822"/>
    <w:rsid w:val="70D77260"/>
    <w:rsid w:val="70E17439"/>
    <w:rsid w:val="70EC5DDE"/>
    <w:rsid w:val="710377E1"/>
    <w:rsid w:val="713117D3"/>
    <w:rsid w:val="713F23B2"/>
    <w:rsid w:val="715F2A54"/>
    <w:rsid w:val="716B764B"/>
    <w:rsid w:val="717B1097"/>
    <w:rsid w:val="71817101"/>
    <w:rsid w:val="718304F0"/>
    <w:rsid w:val="71943263"/>
    <w:rsid w:val="71A10531"/>
    <w:rsid w:val="71B80224"/>
    <w:rsid w:val="71BF42AC"/>
    <w:rsid w:val="71CF7BDA"/>
    <w:rsid w:val="71DE09E8"/>
    <w:rsid w:val="720B21A0"/>
    <w:rsid w:val="72231CD3"/>
    <w:rsid w:val="72414B2C"/>
    <w:rsid w:val="725956F5"/>
    <w:rsid w:val="72771820"/>
    <w:rsid w:val="72775B5D"/>
    <w:rsid w:val="728E35F1"/>
    <w:rsid w:val="72E163D5"/>
    <w:rsid w:val="73010267"/>
    <w:rsid w:val="730651BF"/>
    <w:rsid w:val="732C1100"/>
    <w:rsid w:val="73400A3E"/>
    <w:rsid w:val="734D2E7F"/>
    <w:rsid w:val="735D7E91"/>
    <w:rsid w:val="737A5923"/>
    <w:rsid w:val="7395275D"/>
    <w:rsid w:val="739F538A"/>
    <w:rsid w:val="73CF6471"/>
    <w:rsid w:val="73F118A1"/>
    <w:rsid w:val="74956EB9"/>
    <w:rsid w:val="7496678D"/>
    <w:rsid w:val="749E5641"/>
    <w:rsid w:val="74EE7509"/>
    <w:rsid w:val="751540E3"/>
    <w:rsid w:val="757762DF"/>
    <w:rsid w:val="75C422FE"/>
    <w:rsid w:val="75D91027"/>
    <w:rsid w:val="76085468"/>
    <w:rsid w:val="76183CDA"/>
    <w:rsid w:val="763149BF"/>
    <w:rsid w:val="764861AD"/>
    <w:rsid w:val="764C0E19"/>
    <w:rsid w:val="76570D9E"/>
    <w:rsid w:val="765A1D4D"/>
    <w:rsid w:val="766308F1"/>
    <w:rsid w:val="769E7B7B"/>
    <w:rsid w:val="76B55A6D"/>
    <w:rsid w:val="772B58B2"/>
    <w:rsid w:val="772F009D"/>
    <w:rsid w:val="777763A3"/>
    <w:rsid w:val="777E3905"/>
    <w:rsid w:val="777F6544"/>
    <w:rsid w:val="77813724"/>
    <w:rsid w:val="77822AD2"/>
    <w:rsid w:val="779A33A8"/>
    <w:rsid w:val="78263FA6"/>
    <w:rsid w:val="783E7867"/>
    <w:rsid w:val="78436B13"/>
    <w:rsid w:val="7846297D"/>
    <w:rsid w:val="7859644F"/>
    <w:rsid w:val="78941235"/>
    <w:rsid w:val="78B13B95"/>
    <w:rsid w:val="78E40FA3"/>
    <w:rsid w:val="79020895"/>
    <w:rsid w:val="791E0B39"/>
    <w:rsid w:val="79487052"/>
    <w:rsid w:val="79586707"/>
    <w:rsid w:val="79941F77"/>
    <w:rsid w:val="799A287B"/>
    <w:rsid w:val="79B853F7"/>
    <w:rsid w:val="79BE0C60"/>
    <w:rsid w:val="79C218C0"/>
    <w:rsid w:val="79E06FD9"/>
    <w:rsid w:val="79F006ED"/>
    <w:rsid w:val="79F53437"/>
    <w:rsid w:val="7A052A13"/>
    <w:rsid w:val="7A144B1A"/>
    <w:rsid w:val="7A150154"/>
    <w:rsid w:val="7A2B3BCE"/>
    <w:rsid w:val="7A7430CC"/>
    <w:rsid w:val="7A80169B"/>
    <w:rsid w:val="7AC3206E"/>
    <w:rsid w:val="7AC51215"/>
    <w:rsid w:val="7AE446F6"/>
    <w:rsid w:val="7AFF6ACD"/>
    <w:rsid w:val="7B0326A2"/>
    <w:rsid w:val="7B0F54EB"/>
    <w:rsid w:val="7B436E21"/>
    <w:rsid w:val="7B54666E"/>
    <w:rsid w:val="7B5B0429"/>
    <w:rsid w:val="7B615E02"/>
    <w:rsid w:val="7B6B795B"/>
    <w:rsid w:val="7BBC6B0F"/>
    <w:rsid w:val="7BF1357F"/>
    <w:rsid w:val="7C372603"/>
    <w:rsid w:val="7C4A2065"/>
    <w:rsid w:val="7C796F1F"/>
    <w:rsid w:val="7C855349"/>
    <w:rsid w:val="7CAA6238"/>
    <w:rsid w:val="7CFE65CC"/>
    <w:rsid w:val="7D085F7C"/>
    <w:rsid w:val="7D404FB3"/>
    <w:rsid w:val="7D8C349D"/>
    <w:rsid w:val="7D8C697F"/>
    <w:rsid w:val="7D965A4F"/>
    <w:rsid w:val="7DA02855"/>
    <w:rsid w:val="7DB14637"/>
    <w:rsid w:val="7DC73E5B"/>
    <w:rsid w:val="7DC73F51"/>
    <w:rsid w:val="7DCE6F97"/>
    <w:rsid w:val="7E0B1DFF"/>
    <w:rsid w:val="7E134C71"/>
    <w:rsid w:val="7E1A042F"/>
    <w:rsid w:val="7E2352CD"/>
    <w:rsid w:val="7E2A3C98"/>
    <w:rsid w:val="7E33504C"/>
    <w:rsid w:val="7E372D8F"/>
    <w:rsid w:val="7E5043EB"/>
    <w:rsid w:val="7E604231"/>
    <w:rsid w:val="7EA146AC"/>
    <w:rsid w:val="7EB34E00"/>
    <w:rsid w:val="7ED4682F"/>
    <w:rsid w:val="7EF2571C"/>
    <w:rsid w:val="7F107F87"/>
    <w:rsid w:val="7F210F90"/>
    <w:rsid w:val="7F3405C5"/>
    <w:rsid w:val="7F361298"/>
    <w:rsid w:val="7F4D0390"/>
    <w:rsid w:val="7F837A13"/>
    <w:rsid w:val="7F9F2560"/>
    <w:rsid w:val="7FA24979"/>
    <w:rsid w:val="7FE14A90"/>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Normal Indent"/>
    <w:next w:val="8"/>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link w:val="41"/>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2"/>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6">
    <w:name w:val="Quote"/>
    <w:basedOn w:val="1"/>
    <w:next w:val="1"/>
    <w:unhideWhenUsed/>
    <w:qFormat/>
    <w:uiPriority w:val="99"/>
    <w:pPr>
      <w:ind w:left="864" w:right="864"/>
      <w:jc w:val="center"/>
    </w:pPr>
    <w:rPr>
      <w:rFonts w:ascii="Times New Roman" w:hAnsi="Times New Roman"/>
      <w:i/>
      <w:iCs/>
      <w:color w:val="404040"/>
      <w:szCs w:val="21"/>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0">
    <w:name w:val="Title"/>
    <w:basedOn w:val="1"/>
    <w:next w:val="1"/>
    <w:qFormat/>
    <w:uiPriority w:val="0"/>
    <w:pPr>
      <w:tabs>
        <w:tab w:val="left" w:pos="450"/>
      </w:tabs>
      <w:ind w:left="450" w:hanging="450"/>
      <w:jc w:val="center"/>
    </w:pPr>
    <w:rPr>
      <w:rFonts w:ascii="黑体" w:eastAsia="黑体"/>
      <w:sz w:val="32"/>
      <w:szCs w:val="20"/>
    </w:rPr>
  </w:style>
  <w:style w:type="paragraph" w:styleId="21">
    <w:name w:val="Body Text First Indent"/>
    <w:basedOn w:val="10"/>
    <w:qFormat/>
    <w:uiPriority w:val="99"/>
    <w:pPr>
      <w:ind w:firstLine="420" w:firstLineChars="100"/>
    </w:pPr>
  </w:style>
  <w:style w:type="paragraph" w:styleId="22">
    <w:name w:val="Body Text First Indent 2"/>
    <w:basedOn w:val="11"/>
    <w:next w:val="1"/>
    <w:qFormat/>
    <w:uiPriority w:val="0"/>
    <w:pPr>
      <w:ind w:firstLine="420" w:firstLineChars="200"/>
    </w:pPr>
    <w:rPr>
      <w:rFonts w:ascii="Calibri" w:hAnsi="Calibri"/>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basedOn w:val="25"/>
    <w:qFormat/>
    <w:uiPriority w:val="0"/>
    <w:rPr>
      <w:color w:val="555555"/>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Variable"/>
    <w:basedOn w:val="25"/>
    <w:qFormat/>
    <w:uiPriority w:val="0"/>
  </w:style>
  <w:style w:type="character" w:styleId="31">
    <w:name w:val="Hyperlink"/>
    <w:basedOn w:val="25"/>
    <w:unhideWhenUsed/>
    <w:qFormat/>
    <w:uiPriority w:val="99"/>
    <w:rPr>
      <w:rFonts w:ascii="Times New Roman" w:hAnsi="Times New Roman" w:eastAsia="宋体" w:cs="Times New Roman"/>
      <w:color w:val="0000FF"/>
      <w:kern w:val="2"/>
      <w:sz w:val="21"/>
      <w:szCs w:val="24"/>
      <w:u w:val="single"/>
      <w:lang w:eastAsia="zh-CN"/>
    </w:rPr>
  </w:style>
  <w:style w:type="character" w:styleId="32">
    <w:name w:val="HTML Cite"/>
    <w:basedOn w:val="25"/>
    <w:qFormat/>
    <w:uiPriority w:val="0"/>
  </w:style>
  <w:style w:type="character" w:styleId="33">
    <w:name w:val="footnote reference"/>
    <w:unhideWhenUsed/>
    <w:qFormat/>
    <w:uiPriority w:val="0"/>
    <w:rPr>
      <w:vertAlign w:val="superscript"/>
    </w:rPr>
  </w:style>
  <w:style w:type="paragraph" w:customStyle="1" w:styleId="34">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5">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character" w:customStyle="1" w:styleId="37">
    <w:name w:val="font61"/>
    <w:basedOn w:val="25"/>
    <w:qFormat/>
    <w:uiPriority w:val="0"/>
    <w:rPr>
      <w:rFonts w:hint="eastAsia" w:ascii="宋体" w:hAnsi="宋体" w:eastAsia="宋体" w:cs="宋体"/>
      <w:color w:val="000000"/>
      <w:sz w:val="20"/>
      <w:szCs w:val="20"/>
      <w:u w:val="none"/>
    </w:rPr>
  </w:style>
  <w:style w:type="character" w:customStyle="1" w:styleId="38">
    <w:name w:val="font141"/>
    <w:basedOn w:val="25"/>
    <w:qFormat/>
    <w:uiPriority w:val="0"/>
    <w:rPr>
      <w:rFonts w:hint="eastAsia" w:ascii="宋体" w:hAnsi="宋体" w:eastAsia="宋体" w:cs="宋体"/>
      <w:color w:val="000000"/>
      <w:sz w:val="24"/>
      <w:szCs w:val="24"/>
      <w:u w:val="none"/>
      <w:vertAlign w:val="superscript"/>
    </w:rPr>
  </w:style>
  <w:style w:type="paragraph" w:customStyle="1" w:styleId="3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40">
    <w:name w:val="List Paragraph"/>
    <w:basedOn w:val="1"/>
    <w:qFormat/>
    <w:uiPriority w:val="1"/>
    <w:pPr>
      <w:ind w:left="235" w:hanging="527"/>
    </w:pPr>
    <w:rPr>
      <w:rFonts w:ascii="宋体" w:hAnsi="宋体" w:eastAsia="宋体" w:cs="宋体"/>
      <w:lang w:val="zh-CN" w:eastAsia="zh-CN" w:bidi="zh-CN"/>
    </w:rPr>
  </w:style>
  <w:style w:type="character" w:customStyle="1" w:styleId="41">
    <w:name w:val="正文文本缩进 Char"/>
    <w:link w:val="11"/>
    <w:qFormat/>
    <w:uiPriority w:val="0"/>
  </w:style>
  <w:style w:type="character" w:customStyle="1" w:styleId="42">
    <w:name w:val="纯文本 Char"/>
    <w:link w:val="13"/>
    <w:qFormat/>
    <w:uiPriority w:val="0"/>
    <w:rPr>
      <w:rFonts w:ascii="宋体" w:hAnsi="Courier New"/>
      <w:szCs w:val="20"/>
    </w:rPr>
  </w:style>
  <w:style w:type="paragraph" w:customStyle="1" w:styleId="43">
    <w:name w:val="Table Paragraph"/>
    <w:basedOn w:val="1"/>
    <w:qFormat/>
    <w:uiPriority w:val="1"/>
    <w:rPr>
      <w:rFonts w:ascii="宋体" w:hAnsi="宋体" w:eastAsia="宋体" w:cs="宋体"/>
    </w:rPr>
  </w:style>
  <w:style w:type="table" w:customStyle="1" w:styleId="4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5">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6">
    <w:name w:val="font41"/>
    <w:basedOn w:val="25"/>
    <w:qFormat/>
    <w:uiPriority w:val="0"/>
    <w:rPr>
      <w:rFonts w:hint="eastAsia" w:ascii="宋体" w:hAnsi="宋体" w:eastAsia="宋体" w:cs="宋体"/>
      <w:color w:val="000000"/>
      <w:sz w:val="22"/>
      <w:szCs w:val="22"/>
      <w:u w:val="none"/>
    </w:rPr>
  </w:style>
  <w:style w:type="character" w:customStyle="1" w:styleId="47">
    <w:name w:val="font51"/>
    <w:basedOn w:val="25"/>
    <w:qFormat/>
    <w:uiPriority w:val="0"/>
    <w:rPr>
      <w:rFonts w:hint="eastAsia" w:ascii="宋体" w:hAnsi="宋体" w:eastAsia="宋体" w:cs="宋体"/>
      <w:color w:val="000000"/>
      <w:sz w:val="22"/>
      <w:szCs w:val="22"/>
      <w:u w:val="none"/>
    </w:rPr>
  </w:style>
  <w:style w:type="character" w:customStyle="1" w:styleId="48">
    <w:name w:val="font91"/>
    <w:basedOn w:val="25"/>
    <w:qFormat/>
    <w:uiPriority w:val="0"/>
    <w:rPr>
      <w:rFonts w:ascii="Arial" w:hAnsi="Arial" w:cs="Arial"/>
      <w:color w:val="000000"/>
      <w:sz w:val="22"/>
      <w:szCs w:val="22"/>
      <w:u w:val="none"/>
    </w:rPr>
  </w:style>
  <w:style w:type="character" w:customStyle="1" w:styleId="49">
    <w:name w:val="font121"/>
    <w:autoRedefine/>
    <w:qFormat/>
    <w:uiPriority w:val="0"/>
    <w:rPr>
      <w:rFonts w:hint="default" w:ascii="Calibri" w:hAnsi="Calibri" w:cs="Calibri"/>
      <w:color w:val="000000"/>
      <w:sz w:val="24"/>
      <w:szCs w:val="24"/>
      <w:u w:val="none"/>
    </w:rPr>
  </w:style>
  <w:style w:type="character" w:customStyle="1" w:styleId="50">
    <w:name w:val="font11"/>
    <w:basedOn w:val="25"/>
    <w:qFormat/>
    <w:uiPriority w:val="0"/>
    <w:rPr>
      <w:rFonts w:ascii="Arial" w:hAnsi="Arial" w:cs="Arial"/>
      <w:color w:val="000000"/>
      <w:sz w:val="20"/>
      <w:szCs w:val="20"/>
      <w:u w:val="none"/>
    </w:rPr>
  </w:style>
  <w:style w:type="character" w:customStyle="1" w:styleId="51">
    <w:name w:val="font21"/>
    <w:basedOn w:val="25"/>
    <w:qFormat/>
    <w:uiPriority w:val="0"/>
    <w:rPr>
      <w:rFonts w:hint="eastAsia" w:ascii="宋体" w:hAnsi="宋体" w:eastAsia="宋体" w:cs="宋体"/>
      <w:color w:val="000000"/>
      <w:sz w:val="20"/>
      <w:szCs w:val="20"/>
      <w:u w:val="none"/>
    </w:rPr>
  </w:style>
  <w:style w:type="character" w:customStyle="1" w:styleId="52">
    <w:name w:val="font3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9757</Words>
  <Characters>10548</Characters>
  <Lines>1</Lines>
  <Paragraphs>1</Paragraphs>
  <TotalTime>0</TotalTime>
  <ScaleCrop>false</ScaleCrop>
  <LinksUpToDate>false</LinksUpToDate>
  <CharactersWithSpaces>10938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2025-02-20T10:47:00Z</cp:lastPrinted>
  <dcterms:modified xsi:type="dcterms:W3CDTF">2025-06-21T05:23:24Z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6208F3DAE83244A3BBBB9AA1E6CA254B_13</vt:lpwstr>
  </property>
  <property fmtid="{D5CDD505-2E9C-101B-9397-08002B2CF9AE}" pid="4" name="KSOTemplateDocerSaveRecord">
    <vt:lpwstr>eyJoZGlkIjoiYjQxMjg1NjViOTI2YzZhN2U4YmQyNzA3ZTU0NThhZGYiLCJ1c2VySWQiOiI0MDU4NDYwODgifQ==</vt:lpwstr>
  </property>
</Properties>
</file>