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98"/>
          <w:kern w:val="10"/>
          <w:sz w:val="44"/>
          <w:szCs w:val="44"/>
          <w:highlight w:val="none"/>
          <w:u w:val="none"/>
          <w:lang w:val="en-US" w:eastAsia="zh-CN"/>
        </w:rPr>
        <w:t xml:space="preserve">东至至鄱阳高速公路安徽段东至管理分中心项目铝合金门窗采购及安装项目 </w:t>
      </w: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1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FF0000"/>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6</w:t>
      </w:r>
      <w:r>
        <w:rPr>
          <w:rFonts w:hint="eastAsia" w:ascii="黑体" w:hAnsi="黑体" w:eastAsia="黑体" w:cs="黑体"/>
          <w:color w:val="auto"/>
          <w:sz w:val="32"/>
          <w:szCs w:val="32"/>
          <w:highlight w:val="none"/>
        </w:rPr>
        <w:t>月</w:t>
      </w:r>
    </w:p>
    <w:p w14:paraId="3E39F1BE">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FF0000"/>
          <w:sz w:val="32"/>
          <w:szCs w:val="32"/>
          <w:highlight w:val="none"/>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13F932F2">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_Toc14374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_Toc14374 \h </w:instrText>
          </w:r>
          <w:r>
            <w:fldChar w:fldCharType="separate"/>
          </w:r>
          <w:r>
            <w:t>3</w:t>
          </w:r>
          <w:r>
            <w:fldChar w:fldCharType="end"/>
          </w:r>
          <w:r>
            <w:rPr>
              <w:rFonts w:hint="eastAsia" w:ascii="宋体" w:hAnsi="宋体" w:eastAsia="宋体" w:cs="宋体"/>
              <w:color w:val="auto"/>
              <w:szCs w:val="24"/>
              <w:highlight w:val="none"/>
            </w:rPr>
            <w:fldChar w:fldCharType="end"/>
          </w:r>
        </w:p>
        <w:p w14:paraId="36C3A97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_Toc2825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_Toc2825 \h </w:instrText>
          </w:r>
          <w:r>
            <w:fldChar w:fldCharType="separate"/>
          </w:r>
          <w:r>
            <w:t>7</w:t>
          </w:r>
          <w:r>
            <w:fldChar w:fldCharType="end"/>
          </w:r>
          <w:r>
            <w:rPr>
              <w:rFonts w:hint="eastAsia" w:ascii="宋体" w:hAnsi="宋体" w:eastAsia="宋体" w:cs="宋体"/>
              <w:color w:val="auto"/>
              <w:szCs w:val="24"/>
              <w:highlight w:val="none"/>
            </w:rPr>
            <w:fldChar w:fldCharType="end"/>
          </w:r>
        </w:p>
        <w:p w14:paraId="6C6F64C3">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_Toc17915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_Toc17915 \h </w:instrText>
          </w:r>
          <w:r>
            <w:fldChar w:fldCharType="separate"/>
          </w:r>
          <w:r>
            <w:t>19</w:t>
          </w:r>
          <w:r>
            <w:fldChar w:fldCharType="end"/>
          </w:r>
          <w:r>
            <w:rPr>
              <w:rFonts w:hint="eastAsia" w:ascii="宋体" w:hAnsi="宋体" w:eastAsia="宋体" w:cs="宋体"/>
              <w:color w:val="auto"/>
              <w:szCs w:val="24"/>
              <w:highlight w:val="none"/>
            </w:rPr>
            <w:fldChar w:fldCharType="end"/>
          </w:r>
        </w:p>
        <w:p w14:paraId="6B828035">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_Toc23173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_Toc23173 \h </w:instrText>
          </w:r>
          <w:r>
            <w:fldChar w:fldCharType="separate"/>
          </w:r>
          <w:r>
            <w:t>27</w:t>
          </w:r>
          <w:r>
            <w:fldChar w:fldCharType="end"/>
          </w:r>
          <w:r>
            <w:rPr>
              <w:rFonts w:hint="eastAsia" w:ascii="宋体" w:hAnsi="宋体" w:eastAsia="宋体" w:cs="宋体"/>
              <w:color w:val="auto"/>
              <w:szCs w:val="24"/>
              <w:highlight w:val="none"/>
            </w:rPr>
            <w:fldChar w:fldCharType="end"/>
          </w:r>
        </w:p>
        <w:p w14:paraId="07445419">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_Toc27699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_Toc27699 \h </w:instrText>
          </w:r>
          <w:r>
            <w:fldChar w:fldCharType="separate"/>
          </w:r>
          <w:r>
            <w:t>41</w:t>
          </w:r>
          <w:r>
            <w:fldChar w:fldCharType="end"/>
          </w:r>
          <w:r>
            <w:rPr>
              <w:rFonts w:hint="eastAsia" w:ascii="宋体" w:hAnsi="宋体" w:eastAsia="宋体" w:cs="宋体"/>
              <w:color w:val="auto"/>
              <w:szCs w:val="24"/>
              <w:highlight w:val="none"/>
            </w:rPr>
            <w:fldChar w:fldCharType="end"/>
          </w:r>
        </w:p>
        <w:p w14:paraId="72949D31">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_Toc10995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_Toc10995 \h </w:instrText>
          </w:r>
          <w:r>
            <w:fldChar w:fldCharType="separate"/>
          </w:r>
          <w:r>
            <w:t>46</w:t>
          </w:r>
          <w: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14374"/>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13871"/>
      <w:bookmarkStart w:id="3" w:name="_Toc24354_WPSOffice_Level2"/>
      <w:bookmarkStart w:id="4" w:name="_Toc10395_WPSOffice_Level2"/>
      <w:bookmarkStart w:id="5" w:name="_Toc4489_WPSOffice_Level2"/>
      <w:bookmarkStart w:id="6" w:name="_Toc525632585"/>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东至至鄱阳高速公路安徽段东至管理分中心项目铝合金门窗采购及安装项目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cs="Times New Roman"/>
          <w:color w:val="auto"/>
          <w:szCs w:val="22"/>
          <w:highlight w:val="none"/>
          <w:u w:val="single"/>
          <w:lang w:val="en-US" w:eastAsia="zh-CN"/>
        </w:rPr>
        <w:t>东鄱高速项目，采用PPP方式建设，根据项目办的安排，采用永临结合模式建设，该分中心建设后作为东鄱高速项目办用房，后期移交管理中心。该项目东至收费站用地范围内建设东至分中心，综合楼(4层)、食堂、设备房，总建筑面积3620平方米</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10274"/>
      <w:bookmarkStart w:id="10" w:name="_Toc525632586"/>
      <w:bookmarkStart w:id="11" w:name="_Toc18367_WPSOffice_Level2"/>
      <w:bookmarkStart w:id="12" w:name="_Toc18453"/>
      <w:bookmarkStart w:id="13" w:name="_Toc8128_WPSOffice_Level2"/>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yellow"/>
          <w:lang w:val="en-US" w:eastAsia="zh-CN"/>
        </w:rPr>
        <w:t>2.4 品牌范围：</w:t>
      </w:r>
      <w:r>
        <w:rPr>
          <w:rFonts w:hint="eastAsia" w:ascii="宋体" w:hAnsi="宋体" w:eastAsia="宋体" w:cs="宋体"/>
          <w:color w:val="auto"/>
          <w:szCs w:val="21"/>
          <w:highlight w:val="yellow"/>
          <w:u w:val="single"/>
          <w:lang w:val="en-US" w:eastAsia="zh-CN"/>
        </w:rPr>
        <w:t>产品品牌及参数详见材料品牌推荐表及采购清单</w:t>
      </w:r>
      <w:r>
        <w:rPr>
          <w:rFonts w:hint="eastAsia" w:ascii="宋体" w:hAnsi="宋体" w:eastAsia="宋体" w:cs="宋体"/>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yellow"/>
        </w:rPr>
        <w:t>2.</w:t>
      </w:r>
      <w:r>
        <w:rPr>
          <w:rFonts w:hint="default" w:ascii="Times New Roman" w:hAnsi="Times New Roman" w:eastAsia="宋体" w:cs="Times New Roman"/>
          <w:color w:val="auto"/>
          <w:szCs w:val="21"/>
          <w:highlight w:val="yellow"/>
          <w:lang w:val="en-US" w:eastAsia="zh-CN"/>
        </w:rPr>
        <w:t>6</w:t>
      </w:r>
      <w:r>
        <w:rPr>
          <w:rFonts w:hint="default" w:ascii="Times New Roman" w:hAnsi="Times New Roman" w:eastAsia="宋体" w:cs="Times New Roman"/>
          <w:color w:val="auto"/>
          <w:szCs w:val="21"/>
          <w:highlight w:val="yellow"/>
        </w:rPr>
        <w:t xml:space="preserve"> 最高限价：</w:t>
      </w:r>
      <w:bookmarkEnd w:id="17"/>
      <w:r>
        <w:rPr>
          <w:rFonts w:hint="eastAsia" w:ascii="Times New Roman" w:hAnsi="Times New Roman" w:cs="Times New Roman"/>
          <w:color w:val="auto"/>
          <w:szCs w:val="22"/>
          <w:highlight w:val="yellow"/>
          <w:u w:val="single"/>
          <w:lang w:val="en-US" w:eastAsia="zh-CN"/>
        </w:rPr>
        <w:t>人民币48万元</w:t>
      </w:r>
      <w:r>
        <w:rPr>
          <w:rFonts w:hint="eastAsia" w:ascii="宋体" w:hAnsi="宋体" w:eastAsia="宋体" w:cs="宋体"/>
          <w:b w:val="0"/>
          <w:bCs w:val="0"/>
          <w:color w:val="auto"/>
          <w:szCs w:val="21"/>
          <w:highlight w:val="yellow"/>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yellow"/>
        </w:rPr>
        <w:t>2.</w:t>
      </w:r>
      <w:r>
        <w:rPr>
          <w:rFonts w:hint="default" w:ascii="Times New Roman" w:hAnsi="Times New Roman" w:eastAsia="宋体" w:cs="Times New Roman"/>
          <w:color w:val="auto"/>
          <w:szCs w:val="21"/>
          <w:highlight w:val="yellow"/>
          <w:lang w:val="en-US" w:eastAsia="zh-CN"/>
        </w:rPr>
        <w:t>7</w:t>
      </w:r>
      <w:r>
        <w:rPr>
          <w:rFonts w:hint="default" w:ascii="Times New Roman" w:hAnsi="Times New Roman" w:eastAsia="宋体" w:cs="Times New Roman"/>
          <w:color w:val="auto"/>
          <w:szCs w:val="21"/>
          <w:highlight w:val="yellow"/>
        </w:rPr>
        <w:t xml:space="preserve"> </w:t>
      </w:r>
      <w:r>
        <w:rPr>
          <w:rFonts w:hint="default" w:ascii="Times New Roman" w:hAnsi="Times New Roman" w:eastAsia="宋体" w:cs="Times New Roman"/>
          <w:color w:val="auto"/>
          <w:szCs w:val="21"/>
          <w:highlight w:val="yellow"/>
          <w:lang w:val="en-US" w:eastAsia="zh-CN"/>
        </w:rPr>
        <w:t>交货期</w:t>
      </w:r>
      <w:r>
        <w:rPr>
          <w:rFonts w:hint="default" w:ascii="Times New Roman" w:hAnsi="Times New Roman" w:eastAsia="宋体" w:cs="Times New Roman"/>
          <w:color w:val="auto"/>
          <w:szCs w:val="21"/>
          <w:highlight w:val="yellow"/>
        </w:rPr>
        <w:t>：</w:t>
      </w:r>
      <w:r>
        <w:rPr>
          <w:rFonts w:hint="eastAsia" w:ascii="宋体" w:hAnsi="宋体" w:eastAsia="宋体" w:cs="宋体"/>
          <w:color w:val="auto"/>
          <w:sz w:val="21"/>
          <w:szCs w:val="21"/>
          <w:highlight w:val="yellow"/>
          <w:u w:val="single"/>
          <w:lang w:val="en-US" w:eastAsia="zh-CN"/>
        </w:rPr>
        <w:t>在接到甲方通知进场之日起及时进场量尺或根据图纸尺寸约尺生产，15天内完成窗框安装，10天内完成玻璃固定、窗扇安装等全部工作</w:t>
      </w:r>
      <w:r>
        <w:rPr>
          <w:rFonts w:hint="eastAsia" w:ascii="宋体" w:hAnsi="宋体" w:eastAsia="宋体" w:cs="宋体"/>
          <w:color w:val="auto"/>
          <w:kern w:val="0"/>
          <w:sz w:val="21"/>
          <w:szCs w:val="21"/>
          <w:highlight w:val="yellow"/>
          <w:u w:val="single"/>
          <w:lang w:val="en-US" w:eastAsia="zh-CN"/>
        </w:rPr>
        <w:t>（具体根据实际情况安排进度）</w:t>
      </w:r>
      <w:r>
        <w:rPr>
          <w:rFonts w:hint="eastAsia" w:ascii="宋体" w:hAnsi="宋体" w:eastAsia="宋体" w:cs="宋体"/>
          <w:color w:val="auto"/>
          <w:kern w:val="0"/>
          <w:sz w:val="21"/>
          <w:szCs w:val="21"/>
          <w:highlight w:val="yellow"/>
          <w:u w:val="none"/>
          <w:lang w:eastAsia="zh-CN"/>
        </w:rPr>
        <w:t>。</w:t>
      </w:r>
      <w:r>
        <w:rPr>
          <w:rFonts w:hint="eastAsia" w:ascii="宋体" w:hAnsi="宋体" w:eastAsia="宋体" w:cs="宋体"/>
          <w:color w:val="auto"/>
          <w:szCs w:val="21"/>
          <w:highlight w:val="yellow"/>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b w:val="0"/>
          <w:bCs w:val="0"/>
          <w:color w:val="auto"/>
          <w:szCs w:val="21"/>
          <w:highlight w:val="none"/>
          <w:u w:val="single"/>
          <w:lang w:val="en-US" w:eastAsia="zh-CN"/>
        </w:rPr>
        <w:t>东至县高速出口处（S27安东高速入口处），</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yellow"/>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 xml:space="preserve"> 40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铝合金门窗</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eastAsia" w:ascii="Times New Roman" w:hAnsi="Times New Roman" w:cs="Times New Roman"/>
          <w:b w:val="0"/>
          <w:bCs w:val="0"/>
          <w:color w:val="auto"/>
          <w:szCs w:val="21"/>
          <w:highlight w:val="yellow"/>
          <w:u w:val="single"/>
          <w:lang w:val="en-US" w:eastAsia="zh-CN"/>
        </w:rPr>
        <w:t>每个业绩至少提供不低于合同金额50%的增值税发票（或提供不低于资格审查要求业绩金额的增值税发票），未提供或提供发票金额不足的，该业绩无效。</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3C29E56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6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lang w:eastAsia="zh-CN"/>
        </w:rPr>
        <w:t>（</w:t>
      </w:r>
      <w:r>
        <w:rPr>
          <w:rFonts w:hint="eastAsia" w:ascii="Times New Roman" w:hAnsi="Times New Roman"/>
          <w:color w:val="auto"/>
          <w:sz w:val="21"/>
          <w:szCs w:val="24"/>
          <w:highlight w:val="yellow"/>
          <w:lang w:val="en-US" w:eastAsia="zh-CN"/>
        </w:rPr>
        <w:t>4</w:t>
      </w:r>
      <w:r>
        <w:rPr>
          <w:rFonts w:hint="eastAsia" w:ascii="Times New Roman" w:hAnsi="Times New Roman"/>
          <w:color w:val="auto"/>
          <w:sz w:val="21"/>
          <w:szCs w:val="24"/>
          <w:highlight w:val="yellow"/>
          <w:lang w:eastAsia="zh-CN"/>
        </w:rPr>
        <w:t>）</w:t>
      </w:r>
      <w:r>
        <w:rPr>
          <w:rFonts w:hint="eastAsia" w:ascii="Times New Roman" w:hAnsi="Times New Roman"/>
          <w:color w:val="auto"/>
          <w:sz w:val="21"/>
          <w:szCs w:val="24"/>
          <w:highlight w:val="yellow"/>
        </w:rPr>
        <w:t>送样要求：</w:t>
      </w:r>
    </w:p>
    <w:p w14:paraId="34AE2E1B">
      <w:pPr>
        <w:snapToGrid w:val="0"/>
        <w:spacing w:beforeLines="0" w:afterLines="0" w:line="460" w:lineRule="exact"/>
        <w:ind w:firstLine="420" w:firstLineChars="200"/>
        <w:rPr>
          <w:rFonts w:hint="eastAsia" w:ascii="Times New Roman" w:hAnsi="Times New Roman"/>
          <w:b w:val="0"/>
          <w:bCs w:val="0"/>
          <w:color w:val="auto"/>
          <w:sz w:val="21"/>
          <w:szCs w:val="24"/>
          <w:highlight w:val="yellow"/>
        </w:rPr>
      </w:pPr>
      <w:r>
        <w:rPr>
          <w:rFonts w:hint="eastAsia" w:ascii="Times New Roman" w:hAnsi="Times New Roman"/>
          <w:b w:val="0"/>
          <w:bCs w:val="0"/>
          <w:color w:val="auto"/>
          <w:sz w:val="21"/>
          <w:szCs w:val="24"/>
          <w:highlight w:val="yellow"/>
        </w:rPr>
        <w:t>①</w:t>
      </w:r>
      <w:r>
        <w:rPr>
          <w:rFonts w:hint="eastAsia" w:ascii="Times New Roman" w:hAnsi="Times New Roman"/>
          <w:b w:val="0"/>
          <w:bCs w:val="0"/>
          <w:color w:val="auto"/>
          <w:sz w:val="21"/>
          <w:szCs w:val="24"/>
          <w:highlight w:val="yellow"/>
          <w:lang w:val="en-US" w:eastAsia="zh-CN"/>
        </w:rPr>
        <w:t>拟中标人响应采购人需求，根据图纸、清单、品牌要求、质量参数等，须进行标后送样（包含五金、型材、玻璃、密封胶等），在采购人通知之日起3日内送样并经采购人确认、封样。</w:t>
      </w:r>
    </w:p>
    <w:p w14:paraId="518088BF">
      <w:pPr>
        <w:snapToGrid w:val="0"/>
        <w:spacing w:beforeLines="0" w:afterLines="0" w:line="460" w:lineRule="exact"/>
        <w:ind w:firstLine="420" w:firstLineChars="200"/>
        <w:rPr>
          <w:rFonts w:hint="eastAsia" w:ascii="Times New Roman" w:hAnsi="Times New Roman" w:eastAsia="Times New Roman"/>
          <w:b w:val="0"/>
          <w:bCs w:val="0"/>
          <w:color w:val="FF0000"/>
          <w:sz w:val="21"/>
          <w:szCs w:val="24"/>
          <w:highlight w:val="none"/>
        </w:rPr>
      </w:pPr>
      <w:r>
        <w:rPr>
          <w:rFonts w:hint="eastAsia" w:ascii="Times New Roman" w:hAnsi="Times New Roman"/>
          <w:b w:val="0"/>
          <w:bCs w:val="0"/>
          <w:color w:val="auto"/>
          <w:sz w:val="21"/>
          <w:szCs w:val="24"/>
          <w:highlight w:val="yellow"/>
          <w:lang w:val="en-US" w:eastAsia="zh-CN"/>
        </w:rPr>
        <w:t>②</w:t>
      </w:r>
      <w:r>
        <w:rPr>
          <w:rFonts w:hint="eastAsia" w:ascii="Times New Roman" w:hAnsi="Times New Roman"/>
          <w:b w:val="0"/>
          <w:bCs w:val="0"/>
          <w:color w:val="auto"/>
          <w:sz w:val="21"/>
          <w:szCs w:val="24"/>
          <w:highlight w:val="yellow"/>
        </w:rPr>
        <w:t>样品表面须贴标签，标签内容：单位名称、样品型号、规格、参数等信息。</w:t>
      </w:r>
    </w:p>
    <w:p w14:paraId="27F16BA9">
      <w:pPr>
        <w:snapToGrid w:val="0"/>
        <w:spacing w:beforeLines="0" w:afterLines="0" w:line="460" w:lineRule="exact"/>
        <w:ind w:firstLine="420" w:firstLineChars="200"/>
        <w:rPr>
          <w:rFonts w:hint="eastAsia" w:ascii="Times New Roman" w:hAnsi="Times New Roman" w:eastAsiaTheme="minorEastAsia"/>
          <w:b w:val="0"/>
          <w:bCs w:val="0"/>
          <w:color w:val="FF0000"/>
          <w:sz w:val="21"/>
          <w:szCs w:val="24"/>
          <w:highlight w:val="none"/>
          <w:lang w:eastAsia="zh-CN"/>
        </w:rPr>
      </w:pPr>
      <w:r>
        <w:rPr>
          <w:rFonts w:hint="eastAsia" w:ascii="Times New Roman" w:hAnsi="Times New Roman"/>
          <w:b w:val="0"/>
          <w:bCs w:val="0"/>
          <w:color w:val="auto"/>
          <w:sz w:val="21"/>
          <w:szCs w:val="24"/>
          <w:highlight w:val="yellow"/>
          <w:lang w:val="en-US" w:eastAsia="zh-CN"/>
        </w:rPr>
        <w:t>③</w:t>
      </w:r>
      <w:r>
        <w:rPr>
          <w:rFonts w:hint="eastAsia" w:ascii="Times New Roman" w:hAnsi="Times New Roman"/>
          <w:b w:val="0"/>
          <w:bCs w:val="0"/>
          <w:color w:val="auto"/>
          <w:sz w:val="21"/>
          <w:szCs w:val="24"/>
          <w:highlight w:val="yellow"/>
        </w:rPr>
        <w:t>样品递交至</w:t>
      </w:r>
      <w:r>
        <w:rPr>
          <w:rFonts w:hint="eastAsia" w:ascii="Times New Roman" w:hAnsi="Times New Roman"/>
          <w:b w:val="0"/>
          <w:bCs w:val="0"/>
          <w:color w:val="auto"/>
          <w:sz w:val="21"/>
          <w:szCs w:val="24"/>
          <w:highlight w:val="yellow"/>
          <w:u w:val="single"/>
          <w:lang w:val="en-US" w:eastAsia="zh-CN"/>
        </w:rPr>
        <w:t xml:space="preserve">   东至收费站    </w:t>
      </w:r>
      <w:r>
        <w:rPr>
          <w:rFonts w:hint="eastAsia" w:ascii="Times New Roman" w:hAnsi="Times New Roman"/>
          <w:b w:val="0"/>
          <w:bCs w:val="0"/>
          <w:color w:val="auto"/>
          <w:sz w:val="21"/>
          <w:szCs w:val="24"/>
          <w:highlight w:val="yellow"/>
        </w:rPr>
        <w:t>（联系人：</w:t>
      </w:r>
      <w:r>
        <w:rPr>
          <w:rFonts w:hint="eastAsia" w:ascii="Times New Roman" w:hAnsi="Times New Roman"/>
          <w:b w:val="0"/>
          <w:bCs w:val="0"/>
          <w:color w:val="auto"/>
          <w:sz w:val="21"/>
          <w:szCs w:val="24"/>
          <w:highlight w:val="yellow"/>
          <w:u w:val="single"/>
          <w:lang w:val="en-US" w:eastAsia="zh-CN"/>
        </w:rPr>
        <w:t xml:space="preserve">  崔小春13856968446  </w:t>
      </w:r>
      <w:r>
        <w:rPr>
          <w:rFonts w:hint="eastAsia" w:ascii="Times New Roman" w:hAnsi="Times New Roman"/>
          <w:b w:val="0"/>
          <w:bCs w:val="0"/>
          <w:color w:val="auto"/>
          <w:sz w:val="21"/>
          <w:szCs w:val="24"/>
          <w:highlight w:val="yellow"/>
        </w:rPr>
        <w:t>）</w:t>
      </w:r>
      <w:r>
        <w:rPr>
          <w:rFonts w:hint="eastAsia" w:ascii="Times New Roman" w:hAnsi="Times New Roman"/>
          <w:b w:val="0"/>
          <w:bCs w:val="0"/>
          <w:color w:val="auto"/>
          <w:sz w:val="21"/>
          <w:szCs w:val="24"/>
          <w:highlight w:val="yellow"/>
          <w:lang w:eastAsia="zh-CN"/>
        </w:rPr>
        <w:t>。</w:t>
      </w:r>
    </w:p>
    <w:p w14:paraId="71B4AE02">
      <w:pPr>
        <w:snapToGrid w:val="0"/>
        <w:spacing w:beforeLines="0" w:afterLines="0" w:line="460" w:lineRule="exact"/>
        <w:ind w:firstLine="420" w:firstLineChars="200"/>
        <w:rPr>
          <w:rFonts w:hint="eastAsia" w:ascii="Times New Roman" w:hAnsi="Times New Roman" w:eastAsia="Times New Roman"/>
          <w:b w:val="0"/>
          <w:bCs w:val="0"/>
          <w:sz w:val="21"/>
          <w:szCs w:val="24"/>
          <w:highlight w:val="none"/>
        </w:rPr>
      </w:pPr>
      <w:r>
        <w:rPr>
          <w:rFonts w:hint="eastAsia" w:ascii="Times New Roman" w:hAnsi="Times New Roman"/>
          <w:b w:val="0"/>
          <w:bCs w:val="0"/>
          <w:color w:val="auto"/>
          <w:sz w:val="21"/>
          <w:szCs w:val="24"/>
          <w:highlight w:val="yellow"/>
          <w:lang w:val="en-US" w:eastAsia="zh-CN"/>
        </w:rPr>
        <w:t>④</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如所送样品不符合要求，采购人有权没收投标保证金，按中标候选人排序重新确定成交人；或重新组织采购。</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8"/>
      <w:bookmarkStart w:id="19" w:name="_Toc2996_WPSOffice_Level2"/>
      <w:bookmarkStart w:id="20" w:name="_Toc4109_WPSOffice_Level2"/>
      <w:bookmarkStart w:id="21" w:name="_Toc1994"/>
      <w:bookmarkStart w:id="22" w:name="_Toc4751"/>
      <w:bookmarkStart w:id="23" w:name="_Toc29452_WPSOffice_Level2"/>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525632589"/>
      <w:bookmarkStart w:id="26" w:name="_Toc726"/>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yellow"/>
          <w:u w:val="single"/>
          <w:lang w:val="en-US" w:eastAsia="zh-CN" w:bidi="ar-SA"/>
        </w:rPr>
        <w:t xml:space="preserve"> 2025 </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 xml:space="preserve"> 7 </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 xml:space="preserve">  2  </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 xml:space="preserve"> 14 </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 xml:space="preserve"> 30 </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5C115EE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yellow"/>
          <w:lang w:val="en-US" w:eastAsia="zh-CN" w:bidi="ar-SA"/>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u w:val="single"/>
          <w:lang w:val="en-US" w:eastAsia="zh-CN" w:bidi="ar-SA"/>
        </w:rPr>
        <w:t xml:space="preserve"> 5000 </w:t>
      </w:r>
      <w:r>
        <w:rPr>
          <w:rFonts w:hint="eastAsia" w:ascii="Times New Roman" w:hAnsi="Times New Roman" w:eastAsia="宋体" w:cs="Times New Roman"/>
          <w:b/>
          <w:bCs/>
          <w:color w:val="auto"/>
          <w:kern w:val="2"/>
          <w:sz w:val="21"/>
          <w:szCs w:val="21"/>
          <w:highlight w:val="yellow"/>
          <w:lang w:val="en-US" w:eastAsia="zh-CN" w:bidi="ar-SA"/>
        </w:rPr>
        <w:t>元（大写：</w:t>
      </w:r>
      <w:r>
        <w:rPr>
          <w:rFonts w:hint="eastAsia" w:ascii="Times New Roman" w:hAnsi="Times New Roman" w:eastAsia="宋体" w:cs="Times New Roman"/>
          <w:b/>
          <w:bCs/>
          <w:color w:val="auto"/>
          <w:kern w:val="2"/>
          <w:sz w:val="21"/>
          <w:szCs w:val="21"/>
          <w:highlight w:val="yellow"/>
          <w:u w:val="single"/>
          <w:lang w:val="en-US" w:eastAsia="zh-CN" w:bidi="ar-SA"/>
        </w:rPr>
        <w:t xml:space="preserve"> 伍仟元整  </w:t>
      </w:r>
      <w:r>
        <w:rPr>
          <w:rFonts w:hint="eastAsia" w:ascii="Times New Roman" w:hAnsi="Times New Roman" w:eastAsia="宋体" w:cs="Times New Roman"/>
          <w:b/>
          <w:bCs/>
          <w:color w:val="auto"/>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付款备注：东鄱合金门窗响应保证金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FF0000"/>
          <w:szCs w:val="21"/>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w:t>
      </w:r>
      <w:r>
        <w:rPr>
          <w:rFonts w:hint="eastAsia" w:ascii="宋体" w:hAnsi="宋体" w:cs="宋体"/>
          <w:b/>
          <w:color w:val="auto"/>
          <w:sz w:val="21"/>
          <w:szCs w:val="21"/>
          <w:highlight w:val="yellow"/>
          <w:lang w:val="en-US" w:eastAsia="zh-CN" w:bidi="ar"/>
        </w:rPr>
        <w:t>中标公示后，投标保证金自动转为履约保证金。</w:t>
      </w:r>
      <w:r>
        <w:rPr>
          <w:rFonts w:hint="eastAsia" w:ascii="宋体" w:hAnsi="宋体" w:eastAsia="宋体" w:cs="宋体"/>
          <w:color w:val="FF0000"/>
          <w:szCs w:val="21"/>
        </w:rPr>
        <w:t xml:space="preserve">  </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6829"/>
      <w:bookmarkStart w:id="30" w:name="_Toc321_WPSOffice_Level2"/>
      <w:bookmarkStart w:id="31" w:name="_Toc20572_WPSOffice_Level2"/>
      <w:bookmarkStart w:id="32" w:name="_Toc28571_WPSOffice_Level2"/>
      <w:bookmarkStart w:id="33" w:name="_Toc525632592"/>
      <w:bookmarkStart w:id="34" w:name="_Toc8501"/>
      <w:bookmarkStart w:id="35" w:name="_Toc14943_WPSOffice_Level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64659C16">
      <w:pPr>
        <w:pStyle w:val="33"/>
        <w:jc w:val="both"/>
        <w:rPr>
          <w:rFonts w:hint="eastAsia" w:ascii="宋体" w:hAnsi="宋体" w:eastAsia="宋体" w:cs="宋体"/>
          <w:color w:val="auto"/>
          <w:sz w:val="21"/>
          <w:szCs w:val="21"/>
          <w:highlight w:val="none"/>
        </w:rPr>
      </w:pPr>
    </w:p>
    <w:p w14:paraId="07C64947">
      <w:pPr>
        <w:pStyle w:val="33"/>
        <w:jc w:val="both"/>
        <w:rPr>
          <w:rFonts w:hint="eastAsia" w:ascii="宋体" w:hAnsi="宋体" w:eastAsia="宋体" w:cs="宋体"/>
          <w:color w:val="auto"/>
          <w:sz w:val="21"/>
          <w:szCs w:val="21"/>
          <w:highlight w:val="none"/>
        </w:rPr>
      </w:pPr>
    </w:p>
    <w:p w14:paraId="34DA6046">
      <w:pPr>
        <w:pStyle w:val="33"/>
        <w:jc w:val="both"/>
        <w:rPr>
          <w:rFonts w:hint="eastAsia" w:ascii="宋体" w:hAnsi="宋体" w:eastAsia="宋体" w:cs="宋体"/>
          <w:color w:val="auto"/>
          <w:sz w:val="21"/>
          <w:szCs w:val="21"/>
          <w:highlight w:val="none"/>
        </w:rPr>
      </w:pPr>
    </w:p>
    <w:p w14:paraId="29E08280">
      <w:pPr>
        <w:pStyle w:val="33"/>
        <w:jc w:val="both"/>
        <w:rPr>
          <w:rFonts w:hint="eastAsia" w:ascii="宋体" w:hAnsi="宋体" w:eastAsia="宋体" w:cs="宋体"/>
          <w:color w:val="auto"/>
          <w:sz w:val="21"/>
          <w:szCs w:val="21"/>
          <w:highlight w:val="none"/>
        </w:rPr>
      </w:pPr>
    </w:p>
    <w:p w14:paraId="3585E9B0">
      <w:pPr>
        <w:pStyle w:val="33"/>
        <w:jc w:val="both"/>
        <w:rPr>
          <w:rFonts w:hint="eastAsia" w:ascii="宋体" w:hAnsi="宋体" w:eastAsia="宋体" w:cs="宋体"/>
          <w:color w:val="auto"/>
          <w:sz w:val="21"/>
          <w:szCs w:val="21"/>
          <w:highlight w:val="none"/>
        </w:rPr>
      </w:pPr>
    </w:p>
    <w:p w14:paraId="4649E476">
      <w:pPr>
        <w:pStyle w:val="33"/>
        <w:jc w:val="both"/>
        <w:rPr>
          <w:rFonts w:hint="eastAsia" w:ascii="宋体" w:hAnsi="宋体" w:eastAsia="宋体" w:cs="宋体"/>
          <w:color w:val="auto"/>
          <w:sz w:val="21"/>
          <w:szCs w:val="21"/>
          <w:highlight w:val="none"/>
        </w:rPr>
      </w:pPr>
    </w:p>
    <w:p w14:paraId="2198F814">
      <w:pPr>
        <w:pStyle w:val="33"/>
        <w:jc w:val="both"/>
        <w:rPr>
          <w:rFonts w:hint="eastAsia" w:ascii="宋体" w:hAnsi="宋体" w:eastAsia="宋体" w:cs="宋体"/>
          <w:color w:val="auto"/>
          <w:sz w:val="21"/>
          <w:szCs w:val="21"/>
          <w:highlight w:val="none"/>
        </w:rPr>
      </w:pPr>
    </w:p>
    <w:p w14:paraId="388D5946">
      <w:pPr>
        <w:pStyle w:val="33"/>
        <w:jc w:val="both"/>
        <w:rPr>
          <w:rFonts w:hint="eastAsia" w:ascii="宋体" w:hAnsi="宋体" w:eastAsia="宋体" w:cs="宋体"/>
          <w:color w:val="auto"/>
          <w:sz w:val="21"/>
          <w:szCs w:val="21"/>
          <w:highlight w:val="none"/>
        </w:rPr>
      </w:pPr>
    </w:p>
    <w:p w14:paraId="507D6DE9">
      <w:pPr>
        <w:pStyle w:val="33"/>
        <w:jc w:val="both"/>
        <w:rPr>
          <w:rFonts w:hint="eastAsia" w:ascii="宋体" w:hAnsi="宋体" w:eastAsia="宋体" w:cs="宋体"/>
          <w:color w:val="auto"/>
          <w:sz w:val="21"/>
          <w:szCs w:val="21"/>
          <w:highlight w:val="none"/>
        </w:rPr>
      </w:pPr>
    </w:p>
    <w:p w14:paraId="0F7AB1C8">
      <w:pPr>
        <w:pStyle w:val="33"/>
        <w:jc w:val="both"/>
        <w:rPr>
          <w:rFonts w:hint="eastAsia" w:ascii="宋体" w:hAnsi="宋体" w:eastAsia="宋体" w:cs="宋体"/>
          <w:color w:val="auto"/>
          <w:sz w:val="21"/>
          <w:szCs w:val="21"/>
          <w:highlight w:val="none"/>
        </w:rPr>
      </w:pPr>
    </w:p>
    <w:p w14:paraId="77F64585">
      <w:pPr>
        <w:pStyle w:val="33"/>
        <w:jc w:val="both"/>
        <w:rPr>
          <w:rFonts w:hint="eastAsia" w:ascii="宋体" w:hAnsi="宋体" w:eastAsia="宋体" w:cs="宋体"/>
          <w:color w:val="auto"/>
          <w:sz w:val="21"/>
          <w:szCs w:val="21"/>
          <w:highlight w:val="none"/>
        </w:rPr>
      </w:pPr>
    </w:p>
    <w:p w14:paraId="2F35C518">
      <w:pPr>
        <w:pStyle w:val="33"/>
        <w:jc w:val="both"/>
        <w:rPr>
          <w:rFonts w:hint="eastAsia" w:ascii="宋体" w:hAnsi="宋体" w:eastAsia="宋体" w:cs="宋体"/>
          <w:color w:val="auto"/>
          <w:sz w:val="21"/>
          <w:szCs w:val="21"/>
          <w:highlight w:val="none"/>
        </w:rPr>
      </w:pPr>
    </w:p>
    <w:p w14:paraId="5B955243">
      <w:pPr>
        <w:pStyle w:val="33"/>
        <w:jc w:val="both"/>
        <w:rPr>
          <w:rFonts w:hint="eastAsia" w:ascii="宋体" w:hAnsi="宋体" w:eastAsia="宋体" w:cs="宋体"/>
          <w:color w:val="auto"/>
          <w:sz w:val="21"/>
          <w:szCs w:val="21"/>
          <w:highlight w:val="none"/>
        </w:rPr>
      </w:pPr>
    </w:p>
    <w:p w14:paraId="178BF362">
      <w:pPr>
        <w:pStyle w:val="33"/>
        <w:jc w:val="both"/>
        <w:rPr>
          <w:rFonts w:hint="eastAsia" w:ascii="宋体" w:hAnsi="宋体" w:eastAsia="宋体" w:cs="宋体"/>
          <w:color w:val="auto"/>
          <w:sz w:val="21"/>
          <w:szCs w:val="21"/>
          <w:highlight w:val="none"/>
        </w:rPr>
      </w:pPr>
    </w:p>
    <w:p w14:paraId="6615E05D">
      <w:pPr>
        <w:pStyle w:val="33"/>
        <w:jc w:val="both"/>
        <w:rPr>
          <w:rFonts w:hint="eastAsia" w:ascii="宋体" w:hAnsi="宋体" w:eastAsia="宋体" w:cs="宋体"/>
          <w:color w:val="auto"/>
          <w:sz w:val="21"/>
          <w:szCs w:val="21"/>
          <w:highlight w:val="none"/>
        </w:rPr>
      </w:pPr>
    </w:p>
    <w:p w14:paraId="1300C25D">
      <w:pPr>
        <w:pStyle w:val="33"/>
        <w:jc w:val="both"/>
        <w:rPr>
          <w:rFonts w:hint="eastAsia" w:ascii="宋体" w:hAnsi="宋体" w:eastAsia="宋体" w:cs="宋体"/>
          <w:color w:val="auto"/>
          <w:sz w:val="21"/>
          <w:szCs w:val="21"/>
          <w:highlight w:val="none"/>
        </w:rPr>
      </w:pPr>
    </w:p>
    <w:p w14:paraId="2A0569A8">
      <w:pPr>
        <w:pStyle w:val="33"/>
        <w:jc w:val="both"/>
        <w:rPr>
          <w:rFonts w:hint="eastAsia" w:ascii="宋体" w:hAnsi="宋体" w:eastAsia="宋体" w:cs="宋体"/>
          <w:color w:val="auto"/>
          <w:sz w:val="21"/>
          <w:szCs w:val="21"/>
          <w:highlight w:val="none"/>
        </w:rPr>
      </w:pPr>
    </w:p>
    <w:p w14:paraId="15FA1C32">
      <w:pPr>
        <w:pStyle w:val="33"/>
        <w:jc w:val="both"/>
        <w:rPr>
          <w:rFonts w:hint="eastAsia" w:ascii="宋体" w:hAnsi="宋体" w:eastAsia="宋体" w:cs="宋体"/>
          <w:color w:val="auto"/>
          <w:sz w:val="21"/>
          <w:szCs w:val="21"/>
          <w:highlight w:val="none"/>
        </w:rPr>
      </w:pPr>
    </w:p>
    <w:p w14:paraId="459D04EB">
      <w:pPr>
        <w:pStyle w:val="33"/>
        <w:jc w:val="both"/>
        <w:rPr>
          <w:rFonts w:hint="eastAsia" w:ascii="宋体" w:hAnsi="宋体" w:eastAsia="宋体" w:cs="宋体"/>
          <w:color w:val="auto"/>
          <w:sz w:val="21"/>
          <w:szCs w:val="21"/>
          <w:highlight w:val="none"/>
        </w:rPr>
      </w:pPr>
    </w:p>
    <w:p w14:paraId="749B04F5">
      <w:pPr>
        <w:pStyle w:val="33"/>
        <w:jc w:val="both"/>
        <w:rPr>
          <w:rFonts w:hint="eastAsia" w:ascii="宋体" w:hAnsi="宋体" w:eastAsia="宋体" w:cs="宋体"/>
          <w:color w:val="auto"/>
          <w:sz w:val="21"/>
          <w:szCs w:val="21"/>
          <w:highlight w:val="none"/>
        </w:rPr>
      </w:pPr>
    </w:p>
    <w:p w14:paraId="3E1B71CF">
      <w:pPr>
        <w:pStyle w:val="33"/>
        <w:jc w:val="both"/>
        <w:rPr>
          <w:rFonts w:hint="eastAsia" w:ascii="宋体" w:hAnsi="宋体" w:eastAsia="宋体" w:cs="宋体"/>
          <w:color w:val="auto"/>
          <w:sz w:val="21"/>
          <w:szCs w:val="21"/>
          <w:highlight w:val="none"/>
        </w:rPr>
      </w:pPr>
    </w:p>
    <w:p w14:paraId="778E82CA">
      <w:pPr>
        <w:pStyle w:val="33"/>
        <w:jc w:val="both"/>
        <w:rPr>
          <w:rFonts w:hint="eastAsia" w:ascii="宋体" w:hAnsi="宋体" w:eastAsia="宋体" w:cs="宋体"/>
          <w:color w:val="auto"/>
          <w:sz w:val="21"/>
          <w:szCs w:val="21"/>
          <w:highlight w:val="none"/>
        </w:rPr>
      </w:pPr>
    </w:p>
    <w:p w14:paraId="19F95BBE">
      <w:pPr>
        <w:pStyle w:val="33"/>
        <w:jc w:val="both"/>
        <w:rPr>
          <w:rFonts w:hint="eastAsia" w:ascii="宋体" w:hAnsi="宋体" w:eastAsia="宋体" w:cs="宋体"/>
          <w:color w:val="auto"/>
          <w:sz w:val="21"/>
          <w:szCs w:val="21"/>
          <w:highlight w:val="none"/>
        </w:rPr>
      </w:pPr>
    </w:p>
    <w:p w14:paraId="4D5FA120">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2825"/>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6069"/>
      <w:bookmarkStart w:id="38" w:name="_Toc19501"/>
      <w:bookmarkStart w:id="39" w:name="_Toc55466811"/>
      <w:bookmarkStart w:id="40" w:name="_Toc29381_WPSOffice_Level2"/>
      <w:bookmarkStart w:id="41" w:name="_Toc26656928"/>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响应文件的扫描件一份（PDF版）、在报价文件密封袋内需用U盘放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yellow"/>
                <w:lang w:eastAsia="zh-CN"/>
              </w:rPr>
            </w:pPr>
            <w:r>
              <w:rPr>
                <w:rFonts w:hint="eastAsia"/>
                <w:color w:val="auto"/>
                <w:sz w:val="22"/>
                <w:szCs w:val="22"/>
                <w:highlight w:val="yellow"/>
                <w:lang w:eastAsia="zh-CN"/>
              </w:rPr>
              <w:t>履约保证金</w:t>
            </w:r>
          </w:p>
        </w:tc>
        <w:tc>
          <w:tcPr>
            <w:tcW w:w="6347" w:type="dxa"/>
            <w:vAlign w:val="center"/>
          </w:tcPr>
          <w:p w14:paraId="2476513D">
            <w:pPr>
              <w:keepNext w:val="0"/>
              <w:keepLines w:val="0"/>
              <w:suppressLineNumbers w:val="0"/>
              <w:spacing w:before="0" w:beforeLines="0" w:beforeAutospacing="0" w:after="0" w:afterLines="0" w:afterAutospacing="0" w:line="440" w:lineRule="exact"/>
              <w:ind w:left="0" w:right="0"/>
              <w:rPr>
                <w:rFonts w:hint="eastAsia" w:ascii="宋体" w:hAnsi="宋体" w:eastAsia="宋体" w:cs="宋体"/>
                <w:color w:val="auto"/>
                <w:szCs w:val="21"/>
                <w:highlight w:val="yellow"/>
                <w:lang w:val="en-US" w:eastAsia="zh-CN"/>
              </w:rPr>
            </w:pPr>
            <w:r>
              <w:rPr>
                <w:rFonts w:hint="eastAsia" w:ascii="宋体" w:hAnsi="宋体" w:eastAsia="宋体" w:cs="宋体"/>
                <w:szCs w:val="21"/>
                <w:highlight w:val="yellow"/>
              </w:rPr>
              <w:t>（1</w:t>
            </w:r>
            <w:r>
              <w:rPr>
                <w:rFonts w:hint="eastAsia" w:ascii="宋体" w:hAnsi="宋体" w:eastAsia="宋体" w:cs="宋体"/>
                <w:color w:val="auto"/>
                <w:szCs w:val="21"/>
                <w:highlight w:val="yellow"/>
              </w:rPr>
              <w:t>）</w:t>
            </w:r>
            <w:r>
              <w:rPr>
                <w:rFonts w:hint="eastAsia" w:ascii="宋体" w:hAnsi="宋体" w:eastAsia="宋体" w:cs="宋体"/>
                <w:color w:val="auto"/>
                <w:szCs w:val="21"/>
                <w:highlight w:val="yellow"/>
                <w:lang w:val="en-US" w:eastAsia="zh-CN"/>
              </w:rPr>
              <w:t>中标公示后，投标保证金自动转为履约保证金。</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yellow"/>
                <w:lang w:eastAsia="zh-CN"/>
              </w:rPr>
            </w:pPr>
            <w:r>
              <w:rPr>
                <w:rFonts w:hint="eastAsia" w:ascii="宋体" w:hAnsi="宋体" w:eastAsia="宋体" w:cs="宋体"/>
                <w:szCs w:val="21"/>
                <w:highlight w:val="yellow"/>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FF0000"/>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FF0000"/>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2687D65F">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1.拟中标人须在采购人通知之日起3日内送样并经采购人确认、封样，如所送样品不符合产品要求或在供应过程中达不到采购人要求的： </w:t>
            </w:r>
          </w:p>
          <w:p w14:paraId="08697D56">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1）采购人有权终止中标候选人资格，并没收投标保证金；按候选人公示顺延成交人或重新采购。 </w:t>
            </w:r>
          </w:p>
          <w:p w14:paraId="484A2ADC">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4E850B2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3）采购人有权对拟中标人违约行为按照约定进行处罚。 </w:t>
            </w:r>
          </w:p>
          <w:p w14:paraId="3E43AA2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FF0000"/>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26656938"/>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64AAF5A6">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3A08058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具备独立法人资格，持有有效的营业执照。</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single"/>
                <w:lang w:val="en-US" w:eastAsia="zh-CN"/>
              </w:rPr>
              <w:t>40</w:t>
            </w:r>
            <w:r>
              <w:rPr>
                <w:rFonts w:hint="eastAsia"/>
                <w:color w:val="auto"/>
                <w:highlight w:val="none"/>
                <w:lang w:val="en-US" w:eastAsia="zh-CN"/>
              </w:rPr>
              <w:t>万元的</w:t>
            </w:r>
            <w:r>
              <w:rPr>
                <w:rFonts w:hint="eastAsia"/>
                <w:color w:val="auto"/>
                <w:highlight w:val="none"/>
                <w:lang w:val="en-US" w:eastAsia="zh-CN"/>
              </w:rPr>
              <w:t>铝合金门窗供应及安装合同业绩，每个业绩至少提供不低于合同金额50%的增值税发票（或提供不低于资格审查要求业绩金额的增值税发票），未提供或提供发票金额不足的，该业绩无效。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sz w:val="24"/>
          <w:szCs w:val="24"/>
          <w:highlight w:val="none"/>
        </w:rPr>
      </w:pPr>
    </w:p>
    <w:p w14:paraId="1BAF51CA">
      <w:pPr>
        <w:jc w:val="center"/>
        <w:rPr>
          <w:rFonts w:hint="eastAsia" w:ascii="黑体" w:eastAsia="黑体"/>
          <w:sz w:val="24"/>
          <w:szCs w:val="24"/>
          <w:highlight w:val="none"/>
        </w:rPr>
      </w:pPr>
    </w:p>
    <w:p w14:paraId="6368398A">
      <w:pPr>
        <w:jc w:val="center"/>
        <w:rPr>
          <w:rFonts w:hint="eastAsia" w:ascii="黑体" w:eastAsia="黑体"/>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4</w:t>
      </w:r>
      <w:r>
        <w:rPr>
          <w:rFonts w:hint="eastAsia" w:ascii="黑体" w:eastAsia="黑体"/>
          <w:color w:val="auto"/>
          <w:sz w:val="24"/>
          <w:szCs w:val="24"/>
          <w:highlight w:val="none"/>
        </w:rPr>
        <w:t>资格审查条件（</w:t>
      </w:r>
      <w:r>
        <w:rPr>
          <w:rFonts w:hint="eastAsia" w:ascii="黑体" w:eastAsia="黑体"/>
          <w:color w:val="auto"/>
          <w:sz w:val="24"/>
          <w:szCs w:val="24"/>
          <w:highlight w:val="none"/>
          <w:lang w:val="en-US" w:eastAsia="zh-CN"/>
        </w:rPr>
        <w:t>投标材料</w:t>
      </w:r>
      <w:r>
        <w:rPr>
          <w:rFonts w:hint="eastAsia" w:ascii="黑体" w:eastAsia="黑体"/>
          <w:color w:val="000000" w:themeColor="text1"/>
          <w:sz w:val="24"/>
          <w:szCs w:val="24"/>
          <w:highlight w:val="none"/>
          <w:lang w:val="en-US" w:eastAsia="zh-CN"/>
          <w14:textFill>
            <w14:solidFill>
              <w14:schemeClr w14:val="tx1"/>
            </w14:solidFill>
          </w14:textFill>
        </w:rPr>
        <w:t>送样</w:t>
      </w:r>
      <w:r>
        <w:rPr>
          <w:rFonts w:hint="eastAsia" w:ascii="黑体" w:eastAsia="黑体"/>
          <w:color w:val="auto"/>
          <w:sz w:val="24"/>
          <w:szCs w:val="24"/>
          <w:highlight w:val="none"/>
        </w:rPr>
        <w:t>）</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13C76FE9">
            <w:pPr>
              <w:keepNext w:val="0"/>
              <w:keepLines w:val="0"/>
              <w:suppressLineNumbers w:val="0"/>
              <w:snapToGrid w:val="0"/>
              <w:spacing w:before="0" w:beforeLines="0" w:beforeAutospacing="0" w:after="0" w:afterLines="0" w:afterAutospacing="0" w:line="460" w:lineRule="exact"/>
              <w:ind w:left="0" w:right="0" w:firstLine="420" w:firstLineChars="200"/>
              <w:rPr>
                <w:rFonts w:hint="eastAsia" w:ascii="Times New Roman" w:hAnsi="Times New Roman"/>
                <w:b w:val="0"/>
                <w:bCs w:val="0"/>
                <w:color w:val="auto"/>
                <w:sz w:val="21"/>
                <w:szCs w:val="24"/>
                <w:highlight w:val="yellow"/>
              </w:rPr>
            </w:pPr>
            <w:r>
              <w:rPr>
                <w:rFonts w:hint="eastAsia" w:ascii="Times New Roman" w:hAnsi="Times New Roman"/>
                <w:b w:val="0"/>
                <w:bCs w:val="0"/>
                <w:color w:val="auto"/>
                <w:sz w:val="21"/>
                <w:szCs w:val="24"/>
                <w:highlight w:val="yellow"/>
              </w:rPr>
              <w:t>①</w:t>
            </w:r>
            <w:r>
              <w:rPr>
                <w:rFonts w:hint="eastAsia" w:ascii="Times New Roman" w:hAnsi="Times New Roman"/>
                <w:b w:val="0"/>
                <w:bCs w:val="0"/>
                <w:color w:val="auto"/>
                <w:sz w:val="21"/>
                <w:szCs w:val="24"/>
                <w:highlight w:val="yellow"/>
                <w:lang w:val="en-US" w:eastAsia="zh-CN"/>
              </w:rPr>
              <w:t>拟中标人响应采购人需求，根据图纸、清单、品牌要求、质量参数等，须进行标后送样（包含五金、型材、玻璃、密封胶等），在采购人通知之日起3日内送样并经采购人确认、封样。</w:t>
            </w:r>
          </w:p>
          <w:p w14:paraId="4A86B203">
            <w:pPr>
              <w:keepNext w:val="0"/>
              <w:keepLines w:val="0"/>
              <w:suppressLineNumbers w:val="0"/>
              <w:snapToGrid w:val="0"/>
              <w:spacing w:before="0" w:beforeLines="0" w:beforeAutospacing="0" w:after="0" w:afterLines="0" w:afterAutospacing="0" w:line="460" w:lineRule="exact"/>
              <w:ind w:left="0" w:right="0" w:firstLine="420" w:firstLineChars="200"/>
              <w:rPr>
                <w:rFonts w:hint="eastAsia" w:ascii="Times New Roman" w:hAnsi="Times New Roman" w:eastAsia="Times New Roman"/>
                <w:b w:val="0"/>
                <w:bCs w:val="0"/>
                <w:color w:val="FF0000"/>
                <w:sz w:val="21"/>
                <w:szCs w:val="24"/>
                <w:highlight w:val="none"/>
              </w:rPr>
            </w:pPr>
            <w:r>
              <w:rPr>
                <w:rFonts w:hint="eastAsia" w:ascii="Times New Roman" w:hAnsi="Times New Roman"/>
                <w:b w:val="0"/>
                <w:bCs w:val="0"/>
                <w:color w:val="auto"/>
                <w:sz w:val="21"/>
                <w:szCs w:val="24"/>
                <w:highlight w:val="yellow"/>
                <w:lang w:val="en-US" w:eastAsia="zh-CN"/>
              </w:rPr>
              <w:t>②</w:t>
            </w:r>
            <w:r>
              <w:rPr>
                <w:rFonts w:hint="eastAsia" w:ascii="Times New Roman" w:hAnsi="Times New Roman"/>
                <w:b w:val="0"/>
                <w:bCs w:val="0"/>
                <w:color w:val="auto"/>
                <w:sz w:val="21"/>
                <w:szCs w:val="24"/>
                <w:highlight w:val="yellow"/>
              </w:rPr>
              <w:t>样品表面须贴标签，标签内容：单位名称、样品型号、规格、参数等信息。</w:t>
            </w:r>
          </w:p>
          <w:p w14:paraId="711E34E8">
            <w:pPr>
              <w:keepNext w:val="0"/>
              <w:keepLines w:val="0"/>
              <w:suppressLineNumbers w:val="0"/>
              <w:snapToGrid w:val="0"/>
              <w:spacing w:before="0" w:beforeLines="0" w:beforeAutospacing="0" w:after="0" w:afterLines="0" w:afterAutospacing="0" w:line="460" w:lineRule="exact"/>
              <w:ind w:left="0" w:right="0" w:firstLine="420" w:firstLineChars="200"/>
              <w:rPr>
                <w:rFonts w:hint="eastAsia" w:ascii="Times New Roman" w:hAnsi="Times New Roman" w:eastAsiaTheme="minorEastAsia"/>
                <w:b w:val="0"/>
                <w:bCs w:val="0"/>
                <w:color w:val="FF0000"/>
                <w:sz w:val="21"/>
                <w:szCs w:val="24"/>
                <w:highlight w:val="none"/>
                <w:lang w:eastAsia="zh-CN"/>
              </w:rPr>
            </w:pPr>
            <w:r>
              <w:rPr>
                <w:rFonts w:hint="eastAsia" w:ascii="Times New Roman" w:hAnsi="Times New Roman"/>
                <w:b w:val="0"/>
                <w:bCs w:val="0"/>
                <w:color w:val="auto"/>
                <w:sz w:val="21"/>
                <w:szCs w:val="24"/>
                <w:highlight w:val="yellow"/>
                <w:lang w:val="en-US" w:eastAsia="zh-CN"/>
              </w:rPr>
              <w:t>③</w:t>
            </w:r>
            <w:r>
              <w:rPr>
                <w:rFonts w:hint="eastAsia" w:ascii="Times New Roman" w:hAnsi="Times New Roman"/>
                <w:b w:val="0"/>
                <w:bCs w:val="0"/>
                <w:color w:val="auto"/>
                <w:sz w:val="21"/>
                <w:szCs w:val="24"/>
                <w:highlight w:val="yellow"/>
              </w:rPr>
              <w:t>样品递交至</w:t>
            </w:r>
            <w:r>
              <w:rPr>
                <w:rFonts w:hint="eastAsia" w:ascii="Times New Roman" w:hAnsi="Times New Roman"/>
                <w:b w:val="0"/>
                <w:bCs w:val="0"/>
                <w:color w:val="auto"/>
                <w:sz w:val="21"/>
                <w:szCs w:val="24"/>
                <w:highlight w:val="yellow"/>
                <w:u w:val="single"/>
                <w:lang w:val="en-US" w:eastAsia="zh-CN"/>
              </w:rPr>
              <w:t xml:space="preserve">   东至收费站    </w:t>
            </w:r>
            <w:r>
              <w:rPr>
                <w:rFonts w:hint="eastAsia" w:ascii="Times New Roman" w:hAnsi="Times New Roman"/>
                <w:b w:val="0"/>
                <w:bCs w:val="0"/>
                <w:color w:val="auto"/>
                <w:sz w:val="21"/>
                <w:szCs w:val="24"/>
                <w:highlight w:val="yellow"/>
              </w:rPr>
              <w:t>（联系人：</w:t>
            </w:r>
            <w:r>
              <w:rPr>
                <w:rFonts w:hint="eastAsia" w:ascii="Times New Roman" w:hAnsi="Times New Roman"/>
                <w:b w:val="0"/>
                <w:bCs w:val="0"/>
                <w:color w:val="auto"/>
                <w:sz w:val="21"/>
                <w:szCs w:val="24"/>
                <w:highlight w:val="yellow"/>
                <w:u w:val="single"/>
                <w:lang w:val="en-US" w:eastAsia="zh-CN"/>
              </w:rPr>
              <w:t xml:space="preserve">  崔小春13856968446  </w:t>
            </w:r>
            <w:r>
              <w:rPr>
                <w:rFonts w:hint="eastAsia" w:ascii="Times New Roman" w:hAnsi="Times New Roman"/>
                <w:b w:val="0"/>
                <w:bCs w:val="0"/>
                <w:color w:val="auto"/>
                <w:sz w:val="21"/>
                <w:szCs w:val="24"/>
                <w:highlight w:val="yellow"/>
              </w:rPr>
              <w:t>）</w:t>
            </w:r>
            <w:r>
              <w:rPr>
                <w:rFonts w:hint="eastAsia" w:ascii="Times New Roman" w:hAnsi="Times New Roman"/>
                <w:b w:val="0"/>
                <w:bCs w:val="0"/>
                <w:color w:val="auto"/>
                <w:sz w:val="21"/>
                <w:szCs w:val="24"/>
                <w:highlight w:val="yellow"/>
                <w:lang w:eastAsia="zh-CN"/>
              </w:rPr>
              <w:t>。</w:t>
            </w:r>
          </w:p>
          <w:p w14:paraId="09DC179E">
            <w:pPr>
              <w:keepNext w:val="0"/>
              <w:keepLines w:val="0"/>
              <w:suppressLineNumbers w:val="0"/>
              <w:snapToGrid w:val="0"/>
              <w:spacing w:before="0" w:beforeLines="0" w:beforeAutospacing="0" w:after="0" w:afterLines="0" w:afterAutospacing="0" w:line="460" w:lineRule="exact"/>
              <w:ind w:left="0" w:right="0" w:firstLine="420" w:firstLineChars="200"/>
              <w:rPr>
                <w:rFonts w:hint="default"/>
                <w:color w:val="auto"/>
                <w:highlight w:val="none"/>
                <w:lang w:val="en-US" w:eastAsia="zh-CN"/>
              </w:rPr>
            </w:pPr>
            <w:r>
              <w:rPr>
                <w:rFonts w:hint="eastAsia" w:ascii="Times New Roman" w:hAnsi="Times New Roman"/>
                <w:b w:val="0"/>
                <w:bCs w:val="0"/>
                <w:color w:val="auto"/>
                <w:sz w:val="21"/>
                <w:szCs w:val="24"/>
                <w:highlight w:val="yellow"/>
                <w:lang w:val="en-US" w:eastAsia="zh-CN"/>
              </w:rPr>
              <w:t>④</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如所送样品不符合要求，采购人有权没收投标保证金，按中标候选人排序重新确定成交人；或重新组织采购。</w:t>
            </w:r>
          </w:p>
        </w:tc>
      </w:tr>
    </w:tbl>
    <w:p w14:paraId="43ED56AD">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1405627F">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供货要求</w:t>
      </w:r>
      <w:r>
        <w:rPr>
          <w:rFonts w:ascii="Times New Roman" w:hAnsi="Times New Roman" w:cs="Times New Roman"/>
          <w:color w:val="auto"/>
          <w:highlight w:val="none"/>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生产体系认证；</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向未中标人办理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中标公示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val="en-US" w:eastAsia="zh-CN"/>
        </w:rPr>
        <w:t>投标保证金自动转为履约保证金</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906772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9067731"/>
      <w:bookmarkStart w:id="54"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5EC83685">
      <w:pPr>
        <w:spacing w:line="440" w:lineRule="exact"/>
        <w:ind w:firstLine="420"/>
        <w:rPr>
          <w:rFonts w:hint="eastAsia" w:ascii="Times New Roman" w:hAnsi="Times New Roman"/>
          <w:color w:val="auto"/>
          <w:sz w:val="21"/>
          <w:szCs w:val="24"/>
          <w:highlight w:val="none"/>
        </w:rPr>
      </w:pPr>
    </w:p>
    <w:p w14:paraId="37087C90">
      <w:pPr>
        <w:spacing w:line="440" w:lineRule="exact"/>
        <w:ind w:firstLine="420"/>
        <w:rPr>
          <w:rFonts w:hint="eastAsia" w:ascii="Times New Roman" w:hAnsi="Times New Roman"/>
          <w:color w:val="auto"/>
          <w:sz w:val="21"/>
          <w:szCs w:val="24"/>
          <w:highlight w:val="none"/>
        </w:rPr>
      </w:pPr>
    </w:p>
    <w:p w14:paraId="5C8FA54B">
      <w:pPr>
        <w:spacing w:line="440" w:lineRule="exact"/>
        <w:ind w:firstLine="420"/>
        <w:rPr>
          <w:rFonts w:hint="eastAsia" w:ascii="Times New Roman" w:hAnsi="Times New Roman"/>
          <w:color w:val="auto"/>
          <w:sz w:val="21"/>
          <w:szCs w:val="24"/>
          <w:highlight w:val="none"/>
        </w:rPr>
      </w:pPr>
    </w:p>
    <w:p w14:paraId="5C274470">
      <w:pPr>
        <w:spacing w:line="440" w:lineRule="exact"/>
        <w:ind w:firstLine="420"/>
        <w:rPr>
          <w:rFonts w:hint="eastAsia" w:ascii="Times New Roman" w:hAnsi="Times New Roman"/>
          <w:color w:val="auto"/>
          <w:sz w:val="21"/>
          <w:szCs w:val="24"/>
          <w:highlight w:val="none"/>
        </w:rPr>
      </w:pPr>
    </w:p>
    <w:p w14:paraId="003154E2">
      <w:pPr>
        <w:spacing w:line="440" w:lineRule="exact"/>
        <w:ind w:firstLine="420"/>
        <w:rPr>
          <w:rFonts w:hint="eastAsia" w:ascii="Times New Roman" w:hAnsi="Times New Roman"/>
          <w:color w:val="auto"/>
          <w:sz w:val="21"/>
          <w:szCs w:val="24"/>
          <w:highlight w:val="none"/>
        </w:rPr>
      </w:pPr>
    </w:p>
    <w:p w14:paraId="2EB43E35">
      <w:pPr>
        <w:spacing w:line="440" w:lineRule="exact"/>
        <w:ind w:firstLine="420"/>
        <w:rPr>
          <w:rFonts w:hint="eastAsia" w:ascii="Times New Roman" w:hAnsi="Times New Roman"/>
          <w:color w:val="auto"/>
          <w:sz w:val="21"/>
          <w:szCs w:val="24"/>
          <w:highlight w:val="none"/>
        </w:rPr>
      </w:pPr>
    </w:p>
    <w:p w14:paraId="65B95DDA">
      <w:pPr>
        <w:spacing w:line="440" w:lineRule="exact"/>
        <w:ind w:firstLine="420"/>
        <w:rPr>
          <w:rFonts w:hint="eastAsia" w:ascii="Times New Roman" w:hAnsi="Times New Roman"/>
          <w:color w:val="auto"/>
          <w:sz w:val="21"/>
          <w:szCs w:val="24"/>
          <w:highlight w:val="none"/>
        </w:rPr>
      </w:pPr>
    </w:p>
    <w:p w14:paraId="2350C917">
      <w:pPr>
        <w:spacing w:line="440" w:lineRule="exact"/>
        <w:ind w:firstLine="420"/>
        <w:rPr>
          <w:rFonts w:hint="eastAsia" w:ascii="Times New Roman" w:hAnsi="Times New Roman"/>
          <w:color w:val="auto"/>
          <w:sz w:val="21"/>
          <w:szCs w:val="24"/>
          <w:highlight w:val="none"/>
        </w:rPr>
      </w:pPr>
    </w:p>
    <w:p w14:paraId="10F719E7">
      <w:pPr>
        <w:spacing w:line="440" w:lineRule="exact"/>
        <w:ind w:firstLine="420"/>
        <w:rPr>
          <w:rFonts w:hint="eastAsia" w:ascii="Times New Roman" w:hAnsi="Times New Roman"/>
          <w:color w:val="auto"/>
          <w:sz w:val="21"/>
          <w:szCs w:val="24"/>
          <w:highlight w:val="none"/>
        </w:rPr>
      </w:pPr>
    </w:p>
    <w:p w14:paraId="6FB9C6F2">
      <w:pPr>
        <w:spacing w:line="440" w:lineRule="exact"/>
        <w:ind w:firstLine="420"/>
        <w:rPr>
          <w:rFonts w:hint="eastAsia" w:ascii="Times New Roman" w:hAnsi="Times New Roman"/>
          <w:color w:val="auto"/>
          <w:sz w:val="21"/>
          <w:szCs w:val="24"/>
          <w:highlight w:val="none"/>
        </w:rPr>
      </w:pPr>
    </w:p>
    <w:p w14:paraId="41F8E55B">
      <w:pPr>
        <w:spacing w:line="440" w:lineRule="exact"/>
        <w:ind w:firstLine="420"/>
        <w:rPr>
          <w:rFonts w:hint="eastAsia" w:ascii="Times New Roman" w:hAnsi="Times New Roman"/>
          <w:color w:val="auto"/>
          <w:sz w:val="21"/>
          <w:szCs w:val="24"/>
          <w:highlight w:val="none"/>
        </w:rPr>
      </w:pPr>
    </w:p>
    <w:p w14:paraId="37ACA3A7">
      <w:pPr>
        <w:spacing w:line="440" w:lineRule="exact"/>
        <w:ind w:firstLine="420"/>
        <w:rPr>
          <w:rFonts w:hint="eastAsia" w:ascii="Times New Roman" w:hAnsi="Times New Roman"/>
          <w:color w:val="auto"/>
          <w:sz w:val="21"/>
          <w:szCs w:val="24"/>
          <w:highlight w:val="none"/>
        </w:rPr>
      </w:pPr>
    </w:p>
    <w:p w14:paraId="66D8E197">
      <w:pPr>
        <w:spacing w:line="440" w:lineRule="exact"/>
        <w:ind w:firstLine="420"/>
        <w:rPr>
          <w:rFonts w:hint="eastAsia" w:ascii="Times New Roman" w:hAnsi="Times New Roman"/>
          <w:color w:val="auto"/>
          <w:sz w:val="21"/>
          <w:szCs w:val="24"/>
          <w:highlight w:val="none"/>
        </w:rPr>
      </w:pPr>
    </w:p>
    <w:p w14:paraId="79DA59A1">
      <w:pPr>
        <w:spacing w:line="440" w:lineRule="exact"/>
        <w:ind w:firstLine="420"/>
        <w:rPr>
          <w:rFonts w:hint="eastAsia" w:ascii="Times New Roman" w:hAnsi="Times New Roman"/>
          <w:color w:val="auto"/>
          <w:sz w:val="21"/>
          <w:szCs w:val="24"/>
          <w:highlight w:val="none"/>
        </w:rPr>
      </w:pPr>
    </w:p>
    <w:p w14:paraId="2B63DB7F">
      <w:pPr>
        <w:spacing w:line="440" w:lineRule="exact"/>
        <w:ind w:firstLine="420"/>
        <w:rPr>
          <w:rFonts w:hint="eastAsia" w:ascii="Times New Roman" w:hAnsi="Times New Roman"/>
          <w:color w:val="auto"/>
          <w:sz w:val="21"/>
          <w:szCs w:val="24"/>
          <w:highlight w:val="none"/>
        </w:rPr>
      </w:pPr>
    </w:p>
    <w:p w14:paraId="5D3F9486">
      <w:pPr>
        <w:spacing w:line="440" w:lineRule="exact"/>
        <w:ind w:firstLine="420"/>
        <w:rPr>
          <w:rFonts w:hint="eastAsia" w:ascii="Times New Roman" w:hAnsi="Times New Roman"/>
          <w:color w:val="auto"/>
          <w:sz w:val="21"/>
          <w:szCs w:val="24"/>
          <w:highlight w:val="none"/>
        </w:rPr>
      </w:pPr>
    </w:p>
    <w:p w14:paraId="3F81005B">
      <w:pPr>
        <w:spacing w:line="440" w:lineRule="exact"/>
        <w:ind w:firstLine="420"/>
        <w:rPr>
          <w:rFonts w:hint="eastAsia" w:ascii="Times New Roman" w:hAnsi="Times New Roman"/>
          <w:color w:val="auto"/>
          <w:sz w:val="21"/>
          <w:szCs w:val="24"/>
          <w:highlight w:val="none"/>
        </w:rPr>
      </w:pPr>
    </w:p>
    <w:p w14:paraId="1D18E46E">
      <w:pPr>
        <w:spacing w:line="440" w:lineRule="exact"/>
        <w:ind w:firstLine="420"/>
        <w:rPr>
          <w:rFonts w:hint="eastAsia" w:ascii="Times New Roman" w:hAnsi="Times New Roman"/>
          <w:color w:val="auto"/>
          <w:sz w:val="21"/>
          <w:szCs w:val="24"/>
          <w:highlight w:val="none"/>
        </w:rPr>
      </w:pPr>
    </w:p>
    <w:p w14:paraId="1D3070E3">
      <w:pPr>
        <w:spacing w:line="440" w:lineRule="exact"/>
        <w:ind w:firstLine="420"/>
        <w:rPr>
          <w:rFonts w:hint="eastAsia" w:ascii="Times New Roman" w:hAnsi="Times New Roman"/>
          <w:color w:val="auto"/>
          <w:sz w:val="21"/>
          <w:szCs w:val="24"/>
          <w:highlight w:val="none"/>
        </w:rPr>
      </w:pPr>
    </w:p>
    <w:p w14:paraId="21FC8088">
      <w:pPr>
        <w:spacing w:line="440" w:lineRule="exact"/>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17915"/>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47808662"/>
      <w:bookmarkStart w:id="57" w:name="_Toc3834"/>
      <w:bookmarkStart w:id="58" w:name="_Toc152042304"/>
      <w:bookmarkStart w:id="59" w:name="_Toc144974496"/>
      <w:bookmarkStart w:id="60" w:name="_Toc14847"/>
      <w:bookmarkStart w:id="61" w:name="_Toc457482536"/>
      <w:bookmarkStart w:id="62" w:name="_Toc152045528"/>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（7）未放置电子版的报价清单（EXCEL版）。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5</w:t>
            </w:r>
            <w:r>
              <w:rPr>
                <w:rFonts w:hint="eastAsia" w:ascii="宋体" w:hAnsi="宋体" w:cs="宋体"/>
                <w:color w:val="auto"/>
                <w:sz w:val="21"/>
                <w:szCs w:val="24"/>
                <w:highlight w:val="none"/>
                <w:u w:val="single"/>
              </w:rPr>
              <w:t xml:space="preserve">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生产体系认证：</w:t>
            </w:r>
            <w:r>
              <w:rPr>
                <w:rFonts w:hint="eastAsia" w:ascii="宋体" w:hAnsi="宋体" w:cs="宋体"/>
                <w:color w:val="auto"/>
                <w:sz w:val="21"/>
                <w:szCs w:val="24"/>
                <w:highlight w:val="none"/>
                <w:u w:val="single"/>
              </w:rPr>
              <w:t xml:space="preserve">  6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1</w:t>
            </w:r>
            <w:r>
              <w:rPr>
                <w:rFonts w:hint="eastAsia" w:ascii="宋体" w:hAnsi="宋体" w:cs="宋体"/>
                <w:color w:val="auto"/>
                <w:sz w:val="21"/>
                <w:szCs w:val="24"/>
                <w:highlight w:val="none"/>
                <w:u w:val="single"/>
                <w:lang w:val="en-US" w:eastAsia="zh-CN"/>
              </w:rPr>
              <w:t xml:space="preserve">0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10</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（1）本次采购活动将采用技术评分最低价法进行评审，通过商务及技术文件评审得分入选的，根据各家报价由低到高的顺序，依次推荐N名中标候选人。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②异常低价或不平衡报价，采购人有权做废标处理。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1)针对异常低价承诺书请投标人合理考虑时间，可提前准备好降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低工程造价的相关证明材料，以避免错过电子询标时间，造成的不良后果由投标人自行承担。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2)以下情形不得作为询标或报价文件中提供异常低价投标说明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39"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rPr>
              <w:t>万</w:t>
            </w:r>
            <w:r>
              <w:rPr>
                <w:rFonts w:hint="eastAsia" w:ascii="宋体" w:hAnsi="宋体" w:cs="宋体"/>
                <w:color w:val="auto"/>
                <w:sz w:val="21"/>
                <w:szCs w:val="24"/>
                <w:highlight w:val="none"/>
              </w:rPr>
              <w:t>及以上的</w:t>
            </w:r>
            <w:r>
              <w:rPr>
                <w:rFonts w:hint="eastAsia" w:ascii="宋体" w:hAnsi="宋体" w:cs="宋体"/>
                <w:color w:val="auto"/>
                <w:sz w:val="21"/>
                <w:szCs w:val="24"/>
                <w:highlight w:val="none"/>
                <w:u w:val="none"/>
                <w:lang w:val="en-US" w:eastAsia="zh-CN"/>
              </w:rPr>
              <w:t>铝合金门窗</w:t>
            </w:r>
            <w:r>
              <w:rPr>
                <w:rFonts w:hint="eastAsia" w:ascii="宋体" w:hAnsi="宋体" w:cs="宋体"/>
                <w:color w:val="auto"/>
                <w:sz w:val="21"/>
                <w:szCs w:val="24"/>
                <w:highlight w:val="none"/>
                <w:u w:val="none"/>
              </w:rPr>
              <w:t>供应的</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5</w:t>
            </w:r>
            <w:r>
              <w:rPr>
                <w:rFonts w:hint="eastAsia" w:ascii="宋体" w:hAnsi="宋体" w:cs="宋体"/>
                <w:color w:val="auto"/>
                <w:sz w:val="21"/>
                <w:szCs w:val="24"/>
                <w:highlight w:val="none"/>
              </w:rPr>
              <w:t>0分。</w:t>
            </w:r>
          </w:p>
          <w:p w14:paraId="1679D332">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宋体" w:hAnsi="宋体" w:cs="宋体"/>
                <w:color w:val="auto"/>
                <w:sz w:val="21"/>
                <w:szCs w:val="24"/>
                <w:highlight w:val="yellow"/>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yellow"/>
                <w:lang w:val="en-US" w:eastAsia="zh-CN"/>
              </w:rPr>
              <w:t>每个业绩至少提供不低于合同金额50%的增值税发票（或提供不低于资格审查要求业绩金额的增值税发票），未提供或提供发票金额不足的，该业绩无效。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sz w:val="21"/>
                <w:szCs w:val="21"/>
                <w:highlight w:val="none"/>
              </w:rPr>
              <w:t>分）</w:t>
            </w:r>
          </w:p>
        </w:tc>
        <w:tc>
          <w:tcPr>
            <w:tcW w:w="3039"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企业实力：</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highlight w:val="none"/>
              </w:rPr>
            </w:pPr>
            <w:r>
              <w:rPr>
                <w:rFonts w:hint="eastAsia" w:ascii="宋体" w:hAnsi="宋体" w:cs="宋体"/>
                <w:spacing w:val="-2"/>
                <w:sz w:val="21"/>
                <w:szCs w:val="21"/>
                <w:highlight w:val="none"/>
              </w:rPr>
              <w:t>生产</w:t>
            </w:r>
            <w:r>
              <w:rPr>
                <w:rFonts w:hint="eastAsia" w:ascii="宋体" w:hAnsi="宋体" w:cs="宋体"/>
                <w:spacing w:val="-1"/>
                <w:sz w:val="21"/>
                <w:szCs w:val="21"/>
                <w:highlight w:val="none"/>
              </w:rPr>
              <w:t>体系认</w:t>
            </w:r>
            <w:r>
              <w:rPr>
                <w:rFonts w:hint="eastAsia" w:ascii="宋体" w:hAnsi="宋体" w:cs="宋体"/>
                <w:sz w:val="21"/>
                <w:szCs w:val="21"/>
                <w:highlight w:val="none"/>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6  </w:t>
            </w:r>
            <w:r>
              <w:rPr>
                <w:rFonts w:hint="eastAsia" w:ascii="宋体" w:hAnsi="宋体" w:cs="宋体"/>
                <w:sz w:val="21"/>
                <w:szCs w:val="21"/>
                <w:highlight w:val="none"/>
              </w:rPr>
              <w:t>分）</w:t>
            </w:r>
          </w:p>
        </w:tc>
        <w:tc>
          <w:tcPr>
            <w:tcW w:w="5389" w:type="dxa"/>
            <w:vAlign w:val="center"/>
          </w:tcPr>
          <w:p w14:paraId="505720CC">
            <w:pPr>
              <w:pStyle w:val="13"/>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投标人</w:t>
            </w:r>
            <w:r>
              <w:rPr>
                <w:rFonts w:hint="eastAsia" w:ascii="宋体" w:hAnsi="宋体" w:cs="宋体"/>
                <w:color w:val="auto"/>
                <w:kern w:val="0"/>
                <w:sz w:val="21"/>
                <w:szCs w:val="21"/>
                <w:highlight w:val="none"/>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1</w:t>
            </w:r>
            <w:r>
              <w:rPr>
                <w:rFonts w:hint="eastAsia" w:ascii="宋体" w:hAnsi="宋体" w:cs="宋体"/>
                <w:sz w:val="21"/>
                <w:szCs w:val="21"/>
                <w:highlight w:val="none"/>
                <w:u w:val="single"/>
                <w:lang w:val="en-US" w:eastAsia="zh-CN"/>
              </w:rPr>
              <w:t>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5389" w:type="dxa"/>
            <w:shd w:val="clear" w:color="auto" w:fill="auto"/>
            <w:vAlign w:val="center"/>
          </w:tcPr>
          <w:p w14:paraId="0C475E43">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auto"/>
                <w:highlight w:val="none"/>
                <w:lang w:val="en-US" w:eastAsia="zh-CN"/>
              </w:rPr>
            </w:pPr>
            <w:r>
              <w:rPr>
                <w:rFonts w:hint="eastAsia" w:ascii="宋体" w:hAnsi="宋体" w:cs="宋体"/>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10-7分；一般的得6-3分，较差得基础分2分，未提供不得分。</w:t>
            </w:r>
            <w:r>
              <w:rPr>
                <w:rFonts w:hint="eastAsia" w:ascii="宋体" w:hAnsi="宋体" w:cs="宋体"/>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6"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 10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5389" w:type="dxa"/>
            <w:shd w:val="clear" w:color="auto" w:fill="auto"/>
            <w:vAlign w:val="center"/>
          </w:tcPr>
          <w:p w14:paraId="3686DE7B">
            <w:pPr>
              <w:pStyle w:val="1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根据投标人售后服务方案及增值服务进行综合评审。评委综合评分，</w:t>
            </w:r>
            <w:r>
              <w:rPr>
                <w:rFonts w:hint="eastAsia" w:ascii="宋体" w:hAnsi="宋体" w:cs="宋体"/>
                <w:sz w:val="21"/>
                <w:szCs w:val="21"/>
                <w:highlight w:val="none"/>
                <w:lang w:val="en-US" w:eastAsia="zh-CN" w:bidi="ar"/>
              </w:rPr>
              <w:t>优秀的得10-7分；一般的得6-3分，较差得基础分2分，未提供不得分</w:t>
            </w:r>
            <w:r>
              <w:rPr>
                <w:rFonts w:hint="eastAsia" w:ascii="宋体" w:hAnsi="宋体" w:cs="宋体"/>
                <w:color w:val="auto"/>
                <w:sz w:val="21"/>
                <w:szCs w:val="24"/>
                <w:highlight w:val="none"/>
                <w:lang w:val="en-US" w:eastAsia="zh-CN"/>
              </w:rPr>
              <w:t>。</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41CEA300">
      <w:pPr>
        <w:spacing w:line="440" w:lineRule="exact"/>
        <w:ind w:firstLine="420"/>
        <w:rPr>
          <w:rFonts w:hint="eastAsia" w:ascii="Times New Roman" w:hAnsi="Times New Roman"/>
          <w:b/>
          <w:bCs/>
          <w:color w:val="auto"/>
          <w:sz w:val="21"/>
          <w:szCs w:val="24"/>
          <w:highlight w:val="yellow"/>
          <w:lang w:val="en-US" w:eastAsia="zh-CN"/>
        </w:rPr>
      </w:pPr>
      <w:r>
        <w:rPr>
          <w:rFonts w:hint="eastAsia" w:ascii="Times New Roman" w:hAnsi="Times New Roman" w:eastAsiaTheme="minorEastAsia"/>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23173"/>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采购及安装</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yellow"/>
          <w:lang w:val="en-US" w:eastAsia="zh-CN" w:bidi="ar-SA"/>
        </w:rPr>
        <w:t>3.交货时间：在接到甲方通知进场之日起及时进场量尺或根据图纸尺寸约尺生产，15天内完成窗框安装，10天内完成玻璃固定、窗扇安装等全部工作（具体根据实际情况安排进度）。</w:t>
      </w:r>
      <w:r>
        <w:rPr>
          <w:rFonts w:hint="eastAsia" w:ascii="仿宋_GB2312" w:hAnsi="仿宋_GB2312" w:eastAsia="仿宋_GB2312" w:cs="仿宋_GB2312"/>
          <w:color w:val="auto"/>
          <w:kern w:val="2"/>
          <w:sz w:val="28"/>
          <w:szCs w:val="28"/>
          <w:highlight w:val="none"/>
          <w:lang w:val="en-US" w:eastAsia="zh-CN" w:bidi="ar-SA"/>
        </w:rPr>
        <w:t>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6C6101B6">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1.窗框安装结束经甲方指定签收人验收合格并签字后，付至已完工程价款的30%。</w:t>
      </w:r>
    </w:p>
    <w:p w14:paraId="6E717A5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2.玻璃固定、窗扇安装结束，经甲方指定签收人验收合格并签字后付至已完工程价款的70%。</w:t>
      </w:r>
    </w:p>
    <w:p w14:paraId="245F72DC">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3.货物全部供应结束、安装完毕，经甲方指定签收人验收合格并签字后付至已完工程价款的97%，剩余3%作为质保金，在缺陷责任期后无质量问题一次性无息支付。</w:t>
      </w:r>
    </w:p>
    <w:p w14:paraId="058FA10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4.中标公示后，投标保证金自动转为履约保证金。履约保证金在该项目物资供应整体验收完成后28天内无息退还。</w:t>
      </w:r>
    </w:p>
    <w:p w14:paraId="3BBCD63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312430B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5.禁止转包分包</w:t>
      </w:r>
    </w:p>
    <w:p w14:paraId="28733A1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5E2C09FA">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highlight w:val="none"/>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9"/>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3"/>
        <w:jc w:val="center"/>
        <w:rPr>
          <w:rFonts w:hint="eastAsia" w:ascii="宋体" w:hAnsi="宋体" w:eastAsia="宋体" w:cs="宋体"/>
          <w:b/>
          <w:bCs/>
          <w:color w:val="auto"/>
          <w:sz w:val="28"/>
          <w:szCs w:val="28"/>
          <w:highlight w:val="none"/>
          <w:lang w:val="en-US" w:eastAsia="zh-CN"/>
        </w:rPr>
      </w:pPr>
    </w:p>
    <w:p w14:paraId="56324A43">
      <w:pPr>
        <w:pStyle w:val="33"/>
        <w:jc w:val="center"/>
        <w:rPr>
          <w:rFonts w:hint="eastAsia" w:ascii="宋体" w:hAnsi="宋体" w:eastAsia="宋体" w:cs="宋体"/>
          <w:b/>
          <w:bCs/>
          <w:color w:val="auto"/>
          <w:sz w:val="28"/>
          <w:szCs w:val="28"/>
          <w:highlight w:val="none"/>
          <w:lang w:val="en-US" w:eastAsia="zh-CN"/>
        </w:rPr>
      </w:pPr>
    </w:p>
    <w:p w14:paraId="40178912">
      <w:pPr>
        <w:pStyle w:val="33"/>
        <w:jc w:val="center"/>
        <w:rPr>
          <w:rFonts w:hint="eastAsia" w:ascii="宋体" w:hAnsi="宋体" w:eastAsia="宋体" w:cs="宋体"/>
          <w:b/>
          <w:bCs/>
          <w:color w:val="auto"/>
          <w:sz w:val="28"/>
          <w:szCs w:val="28"/>
          <w:highlight w:val="none"/>
          <w:lang w:val="en-US" w:eastAsia="zh-CN"/>
        </w:rPr>
      </w:pPr>
    </w:p>
    <w:p w14:paraId="3D9FB0D6">
      <w:pPr>
        <w:pStyle w:val="33"/>
        <w:jc w:val="center"/>
        <w:rPr>
          <w:rFonts w:hint="eastAsia" w:ascii="宋体" w:hAnsi="宋体" w:eastAsia="宋体" w:cs="宋体"/>
          <w:b/>
          <w:bCs/>
          <w:color w:val="auto"/>
          <w:sz w:val="28"/>
          <w:szCs w:val="28"/>
          <w:highlight w:val="none"/>
          <w:lang w:val="en-US" w:eastAsia="zh-CN"/>
        </w:rPr>
      </w:pPr>
    </w:p>
    <w:p w14:paraId="2A3C4900">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27699"/>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25485"/>
      <w:bookmarkStart w:id="66" w:name="_Toc312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110CBC0C">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材料品牌推荐表</w:t>
      </w:r>
    </w:p>
    <w:p w14:paraId="59E52AAF">
      <w:pPr>
        <w:pStyle w:val="19"/>
        <w:numPr>
          <w:ilvl w:val="0"/>
          <w:numId w:val="0"/>
        </w:numPr>
        <w:jc w:val="both"/>
        <w:rPr>
          <w:rFonts w:hint="eastAsia" w:ascii="宋体" w:hAnsi="宋体" w:cs="宋体"/>
          <w:b/>
          <w:color w:val="auto"/>
          <w:sz w:val="21"/>
          <w:szCs w:val="21"/>
          <w:highlight w:val="none"/>
        </w:rPr>
      </w:pPr>
    </w:p>
    <w:p w14:paraId="4FA5350D">
      <w:pPr>
        <w:pStyle w:val="19"/>
        <w:numPr>
          <w:ilvl w:val="0"/>
          <w:numId w:val="0"/>
        </w:numPr>
        <w:jc w:val="both"/>
        <w:rPr>
          <w:rFonts w:hint="eastAsia" w:ascii="宋体" w:hAnsi="宋体" w:cs="宋体"/>
          <w:b/>
          <w:color w:val="auto"/>
          <w:sz w:val="21"/>
          <w:szCs w:val="21"/>
          <w:highlight w:val="none"/>
        </w:rPr>
      </w:pPr>
      <w:r>
        <w:rPr>
          <w:rFonts w:hint="eastAsia" w:ascii="宋体" w:hAnsi="宋体" w:cs="宋体"/>
          <w:b/>
          <w:color w:val="auto"/>
          <w:sz w:val="21"/>
          <w:szCs w:val="21"/>
          <w:highlight w:val="none"/>
        </w:rPr>
        <w:drawing>
          <wp:anchor distT="0" distB="0" distL="114300" distR="114300" simplePos="0" relativeHeight="251663360" behindDoc="0" locked="0" layoutInCell="1" allowOverlap="1">
            <wp:simplePos x="0" y="0"/>
            <wp:positionH relativeFrom="column">
              <wp:posOffset>341630</wp:posOffset>
            </wp:positionH>
            <wp:positionV relativeFrom="page">
              <wp:posOffset>2186305</wp:posOffset>
            </wp:positionV>
            <wp:extent cx="5137150" cy="6908165"/>
            <wp:effectExtent l="0" t="0" r="6350" b="698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137150" cy="6908165"/>
                    </a:xfrm>
                    <a:prstGeom prst="rect">
                      <a:avLst/>
                    </a:prstGeom>
                    <a:noFill/>
                    <a:ln>
                      <a:noFill/>
                    </a:ln>
                  </pic:spPr>
                </pic:pic>
              </a:graphicData>
            </a:graphic>
          </wp:anchor>
        </w:drawing>
      </w:r>
    </w:p>
    <w:p w14:paraId="2735D4F0">
      <w:pPr>
        <w:pStyle w:val="19"/>
        <w:numPr>
          <w:ilvl w:val="0"/>
          <w:numId w:val="0"/>
        </w:numPr>
        <w:jc w:val="both"/>
        <w:rPr>
          <w:rFonts w:hint="eastAsia" w:ascii="宋体" w:hAnsi="宋体" w:cs="宋体"/>
          <w:b/>
          <w:color w:val="auto"/>
          <w:sz w:val="21"/>
          <w:szCs w:val="21"/>
          <w:highlight w:val="none"/>
        </w:rPr>
      </w:pPr>
    </w:p>
    <w:p w14:paraId="7F4A6751">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3"/>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2AA64ED5">
      <w:pPr>
        <w:pStyle w:val="8"/>
        <w:rPr>
          <w:rFonts w:hint="eastAsia"/>
          <w:color w:val="auto"/>
          <w:sz w:val="21"/>
          <w:szCs w:val="24"/>
          <w:highlight w:val="none"/>
        </w:rPr>
      </w:pPr>
    </w:p>
    <w:p w14:paraId="7BCDBD8C">
      <w:pPr>
        <w:rPr>
          <w:rFonts w:hint="eastAsia"/>
        </w:rPr>
      </w:pPr>
    </w:p>
    <w:p w14:paraId="0B412FAF">
      <w:pPr>
        <w:rPr>
          <w:rFonts w:hint="eastAsia"/>
        </w:rPr>
      </w:pPr>
    </w:p>
    <w:p w14:paraId="0633900A">
      <w:pPr>
        <w:rPr>
          <w:rFonts w:hint="eastAsia"/>
        </w:rPr>
      </w:pPr>
    </w:p>
    <w:p w14:paraId="05FF4814">
      <w:pPr>
        <w:rPr>
          <w:rFonts w:hint="eastAsia"/>
        </w:rPr>
      </w:pPr>
    </w:p>
    <w:p w14:paraId="234D6599">
      <w:pPr>
        <w:rPr>
          <w:rFonts w:hint="eastAsia"/>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808"/>
        <w:gridCol w:w="7555"/>
        <w:gridCol w:w="790"/>
        <w:gridCol w:w="990"/>
        <w:gridCol w:w="1110"/>
        <w:gridCol w:w="1077"/>
      </w:tblGrid>
      <w:tr w14:paraId="0134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26EB">
            <w:pPr>
              <w:keepNext w:val="0"/>
              <w:keepLines w:val="0"/>
              <w:widowControl/>
              <w:suppressLineNumbers w:val="0"/>
              <w:spacing w:before="0" w:beforeAutospacing="0" w:after="0" w:afterAutospacing="0"/>
              <w:ind w:left="0" w:right="0" w:firstLine="4016" w:firstLineChars="1000"/>
              <w:jc w:val="both"/>
              <w:textAlignment w:val="center"/>
              <w:rPr>
                <w:rFonts w:hint="default" w:ascii="方正小标宋简体" w:hAnsi="方正小标宋简体" w:eastAsia="方正小标宋简体" w:cs="方正小标宋简体"/>
                <w:b/>
                <w:bCs/>
                <w:i w:val="0"/>
                <w:iCs w:val="0"/>
                <w:color w:val="000000"/>
                <w:sz w:val="40"/>
                <w:szCs w:val="40"/>
                <w:u w:val="none"/>
              </w:rPr>
            </w:pPr>
            <w:r>
              <w:rPr>
                <w:rFonts w:hint="eastAsia" w:ascii="方正小标宋简体" w:hAnsi="方正小标宋简体" w:eastAsia="方正小标宋简体" w:cs="方正小标宋简体"/>
                <w:b/>
                <w:bCs/>
                <w:i w:val="0"/>
                <w:iCs w:val="0"/>
                <w:color w:val="000000"/>
                <w:kern w:val="0"/>
                <w:sz w:val="40"/>
                <w:szCs w:val="40"/>
                <w:u w:val="none"/>
                <w:lang w:val="en-US" w:eastAsia="zh-CN" w:bidi="ar"/>
              </w:rPr>
              <w:t xml:space="preserve">      铝合金门窗采购清单                                    </w:t>
            </w:r>
          </w:p>
        </w:tc>
      </w:tr>
      <w:tr w14:paraId="12FF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2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7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3D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A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B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0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9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小计（元）</w:t>
            </w:r>
          </w:p>
        </w:tc>
      </w:tr>
      <w:tr w14:paraId="42F9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4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1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百叶窗</w:t>
            </w:r>
          </w:p>
        </w:tc>
        <w:tc>
          <w:tcPr>
            <w:tcW w:w="2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11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1、铝合金防雨百叶窗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2、厚度：壁厚0.8mm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3、五金材料、品种、规格：五金配件齐全（含一切相关辅材）及墙内外接缝打胶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4、具体做法：详见图纸、图集、答疑、招标文件、政府相关文件、规范等其他资料，满足验收要求</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F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7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4035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4E97A">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08A8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E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6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普通铝合金窗</w:t>
            </w:r>
          </w:p>
        </w:tc>
        <w:tc>
          <w:tcPr>
            <w:tcW w:w="2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7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1、窗材质90型断桥铝（壁厚1.8mm）。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2、玻璃品种、厚度：6高透双银low-e+12Ar+6玻璃、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3、外开窗纱一体隔热条高度34mm  自身遮阳系数0.46，传热系数1.8，二层玻璃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4、五金材料、品种、规格：五金配件齐全（含一切相关辅材）及墙内外接缝打胶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5、具体做法：详见图纸、图集、答疑、招标文件、政府相关文件、规范等其他资料，满足验收要求</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9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4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35.67</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18776">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B3DAC">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009E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3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0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平开窗</w:t>
            </w:r>
          </w:p>
        </w:tc>
        <w:tc>
          <w:tcPr>
            <w:tcW w:w="2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F4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1、玻璃品种、厚度：6高透双银low-e+12Ar+6玻璃，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2、铝合金门窗用主型材基材壁厚：窗材质90型断桥铝（壁厚1.8mm）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3、外开窗纱一体，隔热条高度34mm  自身遮阳系数0.46，传热系数1.8，二层玻璃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4、五金材料、品种、规格：五金配件齐全（含一切相关辅材）及墙内外接缝打胶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5、具体做法：详见图纸、图集、答疑、招标文件、政府相关文件、规范等其他资料，满足验收要求</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A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7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425.28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5C4FE">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DB578">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4CE8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8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3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下悬窗</w:t>
            </w:r>
          </w:p>
        </w:tc>
        <w:tc>
          <w:tcPr>
            <w:tcW w:w="2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39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1、玻璃品种、厚度：6高透双银low-e+12Ar+6玻璃，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2、铝合金门窗用主型材基材壁厚：窗材质90型断桥铝（壁厚1.8mm）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3、外开窗纱一体，隔热条高度34mm  自身遮阳系数0.46，传热系数1.8，二层玻璃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4、五金材料、品种、规格：五金配件齐全（含一切相关辅材）及墙内外接缝打胶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5、具体做法：详见图纸、图集、答疑、招标文件、政府相关文件、规范等其他资料，满足验收要求</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E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7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DAA8E">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806D3">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5300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E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7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消防窗</w:t>
            </w:r>
          </w:p>
        </w:tc>
        <w:tc>
          <w:tcPr>
            <w:tcW w:w="2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DE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1、玻璃品种、厚度：6高透双银low-e+12Ar+6玻璃、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2、铝合金门窗用主型材基材壁厚：窗材质90型断桥铝（壁厚1.8mm）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3、外开窗纱一体，隔热条高度34mm  自身遮阳系数0.46，传热系数1.8，二层玻璃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4、五金材料、品种、规格：五金配件齐全（含一切相关辅材）及墙内外接缝打胶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5、具体做法：详见图纸、图集、答疑、招标文件、政府相关文件、规范等其他资料，满足验收要求</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5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B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E2D16">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91D33">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02CC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7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A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推拉门</w:t>
            </w:r>
          </w:p>
        </w:tc>
        <w:tc>
          <w:tcPr>
            <w:tcW w:w="2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D9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1、玻璃品种、厚度：铝合金推拉门，8mm厚的安全玻璃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2、五金材料、品种、规格：五金配件齐全（含一切相关辅材）及墙内外接缝打胶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3、具体做法：详见图纸、图集、答疑、招标文件、政府相关文件、规范等其他资料，满足验收要求</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E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5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8EC2">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56703">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084B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6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A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平开门</w:t>
            </w:r>
          </w:p>
        </w:tc>
        <w:tc>
          <w:tcPr>
            <w:tcW w:w="2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1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1、玻璃品种、厚度：6高透双银low-e+12Ar+6玻璃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2、铝合金门窗用主型材基材壁厚：窗材质120型断桥铝（壁厚1.8mm）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3、外开窗纱一体，隔热条高度34mm  自身遮阳系数0.46  传热系数1.8，二层玻璃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4、五金材料、品种、规格：五金配件齐全（含一切相关辅材）及墙内外接缝打胶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5、具体做法：详见图纸、图集、答疑、招标文件、政府相关文件、规范等其他资料，满足验收要求</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7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7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CCF9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FFF27">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3D2B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2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2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7FCE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14:paraId="68EC67B3">
      <w:pPr>
        <w:rPr>
          <w:rFonts w:hint="eastAsia"/>
        </w:rPr>
      </w:pPr>
    </w:p>
    <w:p w14:paraId="65ED28E7">
      <w:pPr>
        <w:rPr>
          <w:rFonts w:hint="eastAsia"/>
        </w:rPr>
      </w:pPr>
    </w:p>
    <w:p w14:paraId="7D51A9CB">
      <w:pPr>
        <w:rPr>
          <w:rFonts w:hint="eastAsia"/>
        </w:rPr>
      </w:pPr>
    </w:p>
    <w:p w14:paraId="705659E1">
      <w:pPr>
        <w:rPr>
          <w:rFonts w:hint="eastAsia"/>
        </w:rPr>
      </w:pPr>
    </w:p>
    <w:p w14:paraId="41692BAE">
      <w:pPr>
        <w:rPr>
          <w:rFonts w:hint="eastAsia"/>
        </w:rPr>
        <w:sectPr>
          <w:pgSz w:w="16838" w:h="11906" w:orient="landscape"/>
          <w:pgMar w:top="1797" w:right="1440" w:bottom="1797" w:left="1440" w:header="851" w:footer="992" w:gutter="0"/>
          <w:pgNumType w:fmt="decimal"/>
          <w:cols w:space="425" w:num="1"/>
          <w:docGrid w:type="lines" w:linePitch="312" w:charSpace="0"/>
        </w:sectPr>
      </w:pPr>
    </w:p>
    <w:p w14:paraId="0CC431DF">
      <w:pPr>
        <w:rPr>
          <w:rFonts w:hint="eastAsia"/>
        </w:rPr>
      </w:pPr>
    </w:p>
    <w:p w14:paraId="65385F0E">
      <w:pPr>
        <w:rPr>
          <w:rFonts w:hint="eastAsia"/>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533776E6">
      <w:pPr>
        <w:bidi w:val="0"/>
        <w:rPr>
          <w:rFonts w:hint="eastAsia"/>
          <w:color w:val="auto"/>
          <w:highlight w:val="none"/>
          <w:lang w:val="en-US" w:eastAsia="zh-CN"/>
        </w:rPr>
      </w:pPr>
    </w:p>
    <w:p w14:paraId="24DB92CE">
      <w:pPr>
        <w:bidi w:val="0"/>
        <w:rPr>
          <w:rFonts w:hint="eastAsia"/>
          <w:color w:val="auto"/>
          <w:highlight w:val="none"/>
          <w:lang w:val="en-US" w:eastAsia="zh-CN"/>
        </w:rPr>
      </w:pPr>
    </w:p>
    <w:p w14:paraId="098A73F7">
      <w:pPr>
        <w:bidi w:val="0"/>
        <w:rPr>
          <w:rFonts w:hint="eastAsia"/>
          <w:color w:val="auto"/>
          <w:highlight w:val="none"/>
          <w:lang w:val="en-US" w:eastAsia="zh-CN"/>
        </w:rPr>
      </w:pPr>
    </w:p>
    <w:p w14:paraId="77E945C9">
      <w:pPr>
        <w:bidi w:val="0"/>
        <w:rPr>
          <w:rFonts w:hint="eastAsia"/>
          <w:color w:val="auto"/>
          <w:highlight w:val="none"/>
          <w:lang w:val="en-US" w:eastAsia="zh-CN"/>
        </w:rPr>
      </w:pPr>
    </w:p>
    <w:p w14:paraId="11F7AA46">
      <w:pPr>
        <w:bidi w:val="0"/>
        <w:rPr>
          <w:rFonts w:hint="eastAsia"/>
          <w:color w:val="auto"/>
          <w:highlight w:val="none"/>
          <w:lang w:val="en-US" w:eastAsia="zh-CN"/>
        </w:rPr>
      </w:pPr>
    </w:p>
    <w:p w14:paraId="67936730">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10995"/>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13"/>
        <w:rPr>
          <w:rFonts w:hint="eastAsia" w:ascii="方正小标宋简体" w:hAnsi="方正小标宋简体" w:eastAsia="方正小标宋简体" w:cs="方正小标宋简体"/>
          <w:color w:val="auto"/>
          <w:kern w:val="2"/>
          <w:sz w:val="44"/>
          <w:szCs w:val="44"/>
          <w:highlight w:val="none"/>
          <w:u w:val="single"/>
        </w:rPr>
      </w:pPr>
    </w:p>
    <w:p w14:paraId="367D7D36">
      <w:pPr>
        <w:pStyle w:val="1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13"/>
        <w:rPr>
          <w:rFonts w:hint="eastAsia" w:ascii="方正小标宋简体" w:hAnsi="方正小标宋简体" w:eastAsia="方正小标宋简体" w:cs="方正小标宋简体"/>
          <w:color w:val="auto"/>
          <w:kern w:val="2"/>
          <w:sz w:val="44"/>
          <w:szCs w:val="44"/>
          <w:highlight w:val="none"/>
          <w:u w:val="single"/>
        </w:rPr>
      </w:pPr>
    </w:p>
    <w:p w14:paraId="7646EDF7">
      <w:pPr>
        <w:pStyle w:val="14"/>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5C569BFB">
      <w:pPr>
        <w:jc w:val="center"/>
        <w:outlineLvl w:val="9"/>
        <w:rPr>
          <w:rFonts w:hint="default" w:ascii="Times New Roman" w:hAnsi="Times New Roman" w:eastAsia="方正小标宋简体" w:cs="Times New Roman"/>
          <w:color w:val="FF0000"/>
          <w:sz w:val="50"/>
          <w:szCs w:val="50"/>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东至至鄱阳高速公路安徽段东至管理分中心项目铝合金门窗采购及安装项目 </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11846"/>
      <w:bookmarkStart w:id="70" w:name="_Toc11988"/>
      <w:r>
        <w:rPr>
          <w:rFonts w:ascii="Times New Roman" w:hAnsi="Times New Roman" w:eastAsia="黑体" w:cs="Times New Roman"/>
          <w:color w:val="auto"/>
          <w:sz w:val="50"/>
          <w:szCs w:val="50"/>
          <w:highlight w:val="none"/>
        </w:rPr>
        <w:t>响  应  文  件</w:t>
      </w:r>
      <w:bookmarkEnd w:id="69"/>
      <w:bookmarkEnd w:id="70"/>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1" w:name="_Toc5520_WPSOffice_Level2"/>
      <w:bookmarkStart w:id="72"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1"/>
      <w:bookmarkEnd w:id="72"/>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3" w:name="_Toc20076_WPSOffice_Level2"/>
      <w:bookmarkStart w:id="74"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3"/>
      <w:bookmarkEnd w:id="74"/>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5" w:name="_Toc888"/>
      <w:bookmarkStart w:id="76" w:name="_Toc21704"/>
      <w:r>
        <w:rPr>
          <w:rFonts w:hint="eastAsia" w:ascii="黑体" w:hAnsi="黑体" w:eastAsia="黑体" w:cs="黑体"/>
          <w:b/>
          <w:bCs/>
          <w:color w:val="auto"/>
          <w:sz w:val="28"/>
          <w:szCs w:val="28"/>
          <w:highlight w:val="none"/>
        </w:rPr>
        <w:t>一、响应函（不含报价）</w:t>
      </w:r>
      <w:bookmarkEnd w:id="68"/>
      <w:bookmarkEnd w:id="75"/>
      <w:bookmarkEnd w:id="76"/>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东至至鄱阳高速公路安徽段东至管理分中心项目铝合金门窗采购及安装项目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3"/>
        <w:spacing w:beforeLines="0" w:afterLines="0"/>
        <w:rPr>
          <w:rFonts w:hint="eastAsia"/>
          <w:color w:val="auto"/>
          <w:sz w:val="18"/>
          <w:szCs w:val="24"/>
          <w:highlight w:val="none"/>
        </w:rPr>
      </w:pPr>
    </w:p>
    <w:p w14:paraId="4368A36F">
      <w:pPr>
        <w:pStyle w:val="1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77" w:name="_Hlk122530524"/>
      <w:r>
        <w:rPr>
          <w:rFonts w:hint="eastAsia" w:ascii="宋体" w:hAnsi="宋体" w:cs="宋体"/>
          <w:color w:val="auto"/>
          <w:sz w:val="24"/>
          <w:szCs w:val="24"/>
          <w:highlight w:val="none"/>
          <w:u w:val="single"/>
        </w:rPr>
        <w:t xml:space="preserve">                         </w:t>
      </w:r>
      <w:bookmarkEnd w:id="77"/>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2"/>
        <w:numPr>
          <w:ilvl w:val="0"/>
          <w:numId w:val="0"/>
        </w:numPr>
        <w:rPr>
          <w:rFonts w:hint="default" w:ascii="黑体" w:hAnsi="黑体" w:eastAsia="黑体" w:cs="黑体"/>
          <w:b w:val="0"/>
          <w:bCs w:val="0"/>
          <w:color w:val="auto"/>
          <w:sz w:val="28"/>
          <w:szCs w:val="28"/>
          <w:highlight w:val="none"/>
        </w:rPr>
      </w:pPr>
      <w:bookmarkStart w:id="78" w:name="_Toc23378"/>
      <w:bookmarkStart w:id="79" w:name="_Toc16965"/>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78"/>
      <w:bookmarkEnd w:id="79"/>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东至至鄱阳高速公路安徽段东至管理分中心项目铝合金门窗采购及安装项目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0" w:name="_Toc19890"/>
      <w:bookmarkStart w:id="81" w:name="_Toc24785"/>
      <w:bookmarkStart w:id="82" w:name="_Toc16245"/>
      <w:r>
        <w:rPr>
          <w:rFonts w:hint="eastAsia" w:ascii="黑体" w:hAnsi="宋体" w:eastAsia="黑体" w:cs="黑体"/>
          <w:color w:val="auto"/>
          <w:kern w:val="2"/>
          <w:sz w:val="28"/>
          <w:szCs w:val="28"/>
          <w:highlight w:val="none"/>
          <w:lang w:val="en-US" w:eastAsia="zh-CN" w:bidi="ar"/>
        </w:rPr>
        <w:t>三、供应商基本情况</w:t>
      </w:r>
      <w:bookmarkEnd w:id="80"/>
      <w:bookmarkEnd w:id="81"/>
      <w:bookmarkEnd w:id="82"/>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83" w:name="_Toc9989"/>
      <w:bookmarkStart w:id="84" w:name="_Toc31962"/>
      <w:bookmarkStart w:id="85" w:name="_Toc28901"/>
      <w:r>
        <w:rPr>
          <w:rFonts w:hint="eastAsia" w:ascii="黑体" w:hAnsi="宋体" w:eastAsia="黑体" w:cs="黑体"/>
          <w:color w:val="auto"/>
          <w:kern w:val="2"/>
          <w:sz w:val="28"/>
          <w:szCs w:val="28"/>
          <w:highlight w:val="none"/>
          <w:lang w:val="en-US" w:eastAsia="zh-CN" w:bidi="ar"/>
        </w:rPr>
        <w:t>四、近年类似业绩情况</w:t>
      </w:r>
      <w:bookmarkEnd w:id="83"/>
      <w:bookmarkEnd w:id="84"/>
      <w:bookmarkEnd w:id="8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6" w:name="_Toc21498"/>
      <w:bookmarkStart w:id="87" w:name="_Toc23165"/>
      <w:bookmarkStart w:id="88" w:name="_Toc29607"/>
      <w:r>
        <w:rPr>
          <w:rFonts w:hint="eastAsia" w:ascii="黑体" w:hAnsi="宋体" w:eastAsia="黑体" w:cs="黑体"/>
          <w:color w:val="auto"/>
          <w:kern w:val="2"/>
          <w:sz w:val="28"/>
          <w:szCs w:val="28"/>
          <w:highlight w:val="none"/>
          <w:lang w:val="en-US" w:eastAsia="zh-CN" w:bidi="ar"/>
        </w:rPr>
        <w:t>五、信誉情况</w:t>
      </w:r>
      <w:bookmarkEnd w:id="86"/>
      <w:bookmarkEnd w:id="87"/>
      <w:bookmarkEnd w:id="88"/>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89" w:name="_Toc22047"/>
      <w:bookmarkStart w:id="90" w:name="_Toc22954"/>
      <w:bookmarkStart w:id="91" w:name="_Toc1569"/>
      <w:r>
        <w:rPr>
          <w:rFonts w:hint="eastAsia" w:ascii="黑体" w:hAnsi="宋体" w:eastAsia="黑体" w:cs="黑体"/>
          <w:color w:val="auto"/>
          <w:kern w:val="2"/>
          <w:sz w:val="28"/>
          <w:szCs w:val="28"/>
          <w:highlight w:val="none"/>
          <w:lang w:val="en-US" w:eastAsia="zh-CN" w:bidi="ar"/>
        </w:rPr>
        <w:t>六、企业实力</w:t>
      </w:r>
      <w:bookmarkEnd w:id="89"/>
      <w:bookmarkEnd w:id="90"/>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1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92" w:name="_Toc19445"/>
      <w:bookmarkStart w:id="93" w:name="_Toc22740"/>
      <w:r>
        <w:rPr>
          <w:rFonts w:hint="eastAsia" w:ascii="黑体" w:hAnsi="宋体" w:eastAsia="黑体" w:cs="黑体"/>
          <w:color w:val="auto"/>
          <w:kern w:val="2"/>
          <w:sz w:val="28"/>
          <w:szCs w:val="28"/>
          <w:highlight w:val="none"/>
          <w:lang w:val="en-US" w:eastAsia="zh-CN" w:bidi="ar"/>
        </w:rPr>
        <w:t>七、</w:t>
      </w:r>
      <w:bookmarkEnd w:id="91"/>
      <w:r>
        <w:rPr>
          <w:rFonts w:hint="eastAsia" w:ascii="黑体" w:hAnsi="宋体" w:eastAsia="黑体" w:cs="黑体"/>
          <w:color w:val="auto"/>
          <w:kern w:val="2"/>
          <w:sz w:val="28"/>
          <w:szCs w:val="28"/>
          <w:highlight w:val="none"/>
          <w:lang w:val="en-US" w:eastAsia="zh-CN" w:bidi="ar"/>
        </w:rPr>
        <w:t>生产体系认证</w:t>
      </w:r>
      <w:bookmarkEnd w:id="92"/>
      <w:bookmarkEnd w:id="93"/>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94" w:name="_Toc31378"/>
      <w:bookmarkStart w:id="95"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96" w:name="_Toc5689"/>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94"/>
      <w:r>
        <w:rPr>
          <w:rFonts w:hint="eastAsia" w:ascii="Times New Roman" w:hAnsi="Times New Roman" w:eastAsia="黑体"/>
          <w:color w:val="auto"/>
          <w:sz w:val="28"/>
          <w:szCs w:val="28"/>
          <w:highlight w:val="none"/>
          <w:lang w:val="en-US" w:eastAsia="zh-CN"/>
        </w:rPr>
        <w:t>供货方案</w:t>
      </w:r>
      <w:bookmarkEnd w:id="96"/>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97" w:name="_Toc10923"/>
      <w:bookmarkStart w:id="98" w:name="_Toc695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97"/>
      <w:bookmarkEnd w:id="9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95"/>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9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00" w:name="_Toc8048"/>
      <w:bookmarkStart w:id="101" w:name="_Toc28647"/>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00"/>
      <w:r>
        <w:rPr>
          <w:rFonts w:hint="eastAsia" w:ascii="Times New Roman" w:hAnsi="Times New Roman" w:eastAsia="黑体"/>
          <w:color w:val="auto"/>
          <w:sz w:val="28"/>
          <w:szCs w:val="28"/>
          <w:highlight w:val="none"/>
          <w:lang w:val="en-US" w:eastAsia="zh-CN"/>
        </w:rPr>
        <w:t>售后服务方案</w:t>
      </w:r>
      <w:bookmarkEnd w:id="101"/>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02" w:name="_Toc9931"/>
      <w:bookmarkStart w:id="103" w:name="_Toc7980"/>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02"/>
      <w:bookmarkEnd w:id="103"/>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4" w:name="_Toc16480"/>
      <w:bookmarkStart w:id="105" w:name="_Toc14186"/>
      <w:r>
        <w:rPr>
          <w:rFonts w:hint="eastAsia" w:ascii="黑体" w:hAnsi="宋体" w:eastAsia="黑体" w:cs="黑体"/>
          <w:color w:val="auto"/>
          <w:kern w:val="2"/>
          <w:sz w:val="28"/>
          <w:szCs w:val="28"/>
          <w:highlight w:val="none"/>
          <w:lang w:val="en-US" w:eastAsia="zh-CN" w:bidi="ar"/>
        </w:rPr>
        <w:t>十、承诺书</w:t>
      </w:r>
      <w:bookmarkEnd w:id="99"/>
      <w:bookmarkEnd w:id="104"/>
      <w:bookmarkEnd w:id="105"/>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东至至鄱阳高速公路安徽段东至管理分中心项目铝合金门窗采购及安装项目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6" w:name="_Toc3055"/>
      <w:bookmarkStart w:id="107" w:name="_Toc10121"/>
      <w:bookmarkStart w:id="108" w:name="_Toc2975"/>
      <w:r>
        <w:rPr>
          <w:rFonts w:hint="eastAsia" w:ascii="黑体" w:hAnsi="宋体" w:eastAsia="黑体" w:cs="黑体"/>
          <w:color w:val="auto"/>
          <w:kern w:val="2"/>
          <w:sz w:val="28"/>
          <w:szCs w:val="28"/>
          <w:highlight w:val="none"/>
          <w:lang w:val="en-US" w:eastAsia="zh-CN" w:bidi="ar"/>
        </w:rPr>
        <w:t>十一、其他材料</w:t>
      </w:r>
      <w:bookmarkEnd w:id="106"/>
      <w:bookmarkEnd w:id="107"/>
      <w:bookmarkEnd w:id="108"/>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1C48DF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u w:val="none"/>
        </w:rPr>
      </w:pPr>
      <w:r>
        <w:rPr>
          <w:rFonts w:hint="eastAsia" w:ascii="方正小标宋简体" w:hAnsi="方正小标宋简体" w:eastAsia="方正小标宋简体" w:cs="方正小标宋简体"/>
          <w:color w:val="auto"/>
          <w:kern w:val="2"/>
          <w:sz w:val="44"/>
          <w:szCs w:val="44"/>
          <w:highlight w:val="none"/>
          <w:u w:val="none"/>
          <w:lang w:val="en-US" w:eastAsia="zh-CN" w:bidi="ar"/>
        </w:rPr>
        <w:t>东至至鄱阳高速公路安徽段东至管理分中心项目铝合金门窗采购及安装项目</w:t>
      </w: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09" w:name="_Toc2786"/>
      <w:bookmarkStart w:id="110" w:name="_Toc10029"/>
      <w:bookmarkStart w:id="111" w:name="_Toc4837"/>
      <w:r>
        <w:rPr>
          <w:rFonts w:ascii="Times New Roman" w:hAnsi="Times New Roman" w:eastAsia="黑体" w:cs="Times New Roman"/>
          <w:color w:val="auto"/>
          <w:sz w:val="50"/>
          <w:szCs w:val="50"/>
          <w:highlight w:val="none"/>
        </w:rPr>
        <w:t>响  应  文  件</w:t>
      </w:r>
      <w:bookmarkEnd w:id="109"/>
      <w:bookmarkEnd w:id="110"/>
      <w:bookmarkEnd w:id="111"/>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12" w:name="_Toc11805_WPSOffice_Level1"/>
      <w:bookmarkStart w:id="113" w:name="_Toc30031_WPSOffice_Level1"/>
      <w:bookmarkStart w:id="114" w:name="_Toc2765_WPSOffice_Level1"/>
      <w:bookmarkStart w:id="115" w:name="_Toc1687_WPSOffice_Level1"/>
      <w:bookmarkStart w:id="116" w:name="_Toc29399_WPSOffice_Level1"/>
      <w:bookmarkStart w:id="117" w:name="_Toc8703"/>
      <w:bookmarkStart w:id="118" w:name="_Toc1924"/>
      <w:bookmarkStart w:id="119" w:name="_Toc18312_WPSOffice_Level1"/>
      <w:bookmarkStart w:id="120" w:name="_Toc15092"/>
      <w:bookmarkStart w:id="121" w:name="_Toc29968"/>
      <w:bookmarkStart w:id="122" w:name="_Toc24269_WPSOffice_Level1"/>
      <w:bookmarkStart w:id="123" w:name="_Toc23583"/>
      <w:r>
        <w:rPr>
          <w:rFonts w:hint="eastAsia" w:ascii="黑体" w:hAnsi="黑体" w:eastAsia="黑体" w:cs="黑体"/>
          <w:b w:val="0"/>
          <w:bCs/>
          <w:color w:val="auto"/>
          <w:sz w:val="28"/>
          <w:szCs w:val="28"/>
          <w:highlight w:val="none"/>
        </w:rPr>
        <w:t>一、</w:t>
      </w:r>
      <w:bookmarkEnd w:id="112"/>
      <w:bookmarkEnd w:id="113"/>
      <w:bookmarkEnd w:id="114"/>
      <w:bookmarkEnd w:id="115"/>
      <w:bookmarkEnd w:id="116"/>
      <w:bookmarkEnd w:id="117"/>
      <w:bookmarkEnd w:id="118"/>
      <w:bookmarkEnd w:id="119"/>
      <w:bookmarkEnd w:id="120"/>
      <w:bookmarkEnd w:id="121"/>
      <w:bookmarkEnd w:id="122"/>
      <w:bookmarkEnd w:id="12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东至至鄱阳高速公路安徽段东至管理分中心项目铝合金门窗采购及安装项目</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1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24" w:name="_Toc162490440"/>
      <w:bookmarkStart w:id="125" w:name="_Toc272486050"/>
      <w:bookmarkStart w:id="126" w:name="_Toc153421230"/>
      <w:r>
        <w:rPr>
          <w:rFonts w:hint="eastAsia" w:ascii="黑体" w:hAnsi="黑体" w:eastAsia="黑体" w:cs="黑体"/>
          <w:b w:val="0"/>
          <w:bCs/>
          <w:color w:val="auto"/>
          <w:sz w:val="28"/>
          <w:szCs w:val="28"/>
          <w:highlight w:val="none"/>
        </w:rPr>
        <w:t>二、</w:t>
      </w:r>
      <w:bookmarkEnd w:id="124"/>
      <w:bookmarkEnd w:id="125"/>
      <w:bookmarkEnd w:id="126"/>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highlight w:val="none"/>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9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2826EDB5">
      <w:pPr>
        <w:pStyle w:val="19"/>
        <w:rPr>
          <w:rFonts w:hint="eastAsia"/>
          <w:color w:val="auto"/>
          <w:highlight w:val="none"/>
          <w:lang w:val="en-US" w:eastAsia="zh-CN"/>
        </w:rPr>
      </w:pPr>
    </w:p>
    <w:p w14:paraId="38B2FD7B">
      <w:pPr>
        <w:snapToGrid w:val="0"/>
        <w:spacing w:line="400" w:lineRule="exact"/>
        <w:jc w:val="left"/>
        <w:rPr>
          <w:rFonts w:hint="default" w:ascii="宋体" w:hAnsi="宋体" w:cs="宋体"/>
          <w:b/>
          <w:color w:val="auto"/>
          <w:sz w:val="24"/>
          <w:highlight w:val="yellow"/>
          <w:lang w:val="en-US" w:eastAsia="zh-CN"/>
        </w:rPr>
      </w:pPr>
      <w:r>
        <w:rPr>
          <w:rFonts w:hint="eastAsia" w:ascii="宋体" w:hAnsi="宋体" w:cs="宋体"/>
          <w:b/>
          <w:color w:val="auto"/>
          <w:sz w:val="24"/>
          <w:highlight w:val="yellow"/>
          <w:lang w:val="en-US" w:eastAsia="zh-CN"/>
        </w:rPr>
        <w:t>附报价清单</w:t>
      </w:r>
    </w:p>
    <w:p w14:paraId="43621820">
      <w:pPr>
        <w:pStyle w:val="19"/>
        <w:ind w:left="0" w:leftChars="0" w:firstLine="0" w:firstLineChars="0"/>
        <w:rPr>
          <w:rFonts w:hint="eastAsia"/>
          <w:color w:val="auto"/>
          <w:highlight w:val="none"/>
          <w:lang w:val="en-US" w:eastAsia="zh-CN"/>
        </w:rPr>
      </w:pPr>
    </w:p>
    <w:p w14:paraId="72B81471">
      <w:pPr>
        <w:pStyle w:val="19"/>
        <w:ind w:left="0" w:leftChars="0" w:firstLine="0" w:firstLineChars="0"/>
        <w:rPr>
          <w:rFonts w:hint="eastAsia"/>
          <w:color w:val="auto"/>
          <w:highlight w:val="none"/>
          <w:lang w:val="en-US" w:eastAsia="zh-CN"/>
        </w:rPr>
      </w:pPr>
    </w:p>
    <w:p w14:paraId="1D922B34">
      <w:pPr>
        <w:pStyle w:val="19"/>
        <w:ind w:left="0" w:leftChars="0" w:firstLine="0" w:firstLineChars="0"/>
        <w:rPr>
          <w:rFonts w:hint="eastAsia"/>
          <w:color w:val="auto"/>
          <w:highlight w:val="none"/>
          <w:lang w:val="en-US" w:eastAsia="zh-CN"/>
        </w:rPr>
      </w:pPr>
    </w:p>
    <w:p w14:paraId="72B2A98A">
      <w:pPr>
        <w:pStyle w:val="19"/>
        <w:ind w:left="0" w:leftChars="0" w:firstLine="0" w:firstLineChars="0"/>
        <w:rPr>
          <w:rFonts w:hint="eastAsia"/>
          <w:color w:val="auto"/>
          <w:highlight w:val="none"/>
          <w:lang w:val="en-US" w:eastAsia="zh-CN"/>
        </w:rPr>
      </w:pPr>
    </w:p>
    <w:p w14:paraId="0D7B2D55">
      <w:pPr>
        <w:pStyle w:val="19"/>
        <w:ind w:left="0" w:leftChars="0" w:firstLine="0" w:firstLineChars="0"/>
        <w:rPr>
          <w:rFonts w:hint="eastAsia"/>
          <w:color w:val="auto"/>
          <w:highlight w:val="none"/>
          <w:lang w:val="en-US" w:eastAsia="zh-CN"/>
        </w:rPr>
      </w:pPr>
    </w:p>
    <w:p w14:paraId="5F222341">
      <w:pPr>
        <w:pStyle w:val="19"/>
        <w:ind w:left="0" w:leftChars="0" w:firstLine="0" w:firstLineChars="0"/>
        <w:rPr>
          <w:rFonts w:hint="eastAsia"/>
          <w:color w:val="auto"/>
          <w:highlight w:val="none"/>
          <w:lang w:val="en-US" w:eastAsia="zh-CN"/>
        </w:rPr>
      </w:pPr>
    </w:p>
    <w:p w14:paraId="54051427">
      <w:pPr>
        <w:pStyle w:val="19"/>
        <w:ind w:left="0" w:leftChars="0" w:firstLine="0" w:firstLineChars="0"/>
        <w:rPr>
          <w:rFonts w:hint="eastAsia"/>
          <w:color w:val="auto"/>
          <w:highlight w:val="none"/>
          <w:lang w:val="en-US" w:eastAsia="zh-CN"/>
        </w:rPr>
      </w:pPr>
    </w:p>
    <w:p w14:paraId="03D41720">
      <w:pPr>
        <w:pStyle w:val="19"/>
        <w:ind w:left="0" w:leftChars="0" w:firstLine="0" w:firstLineChars="0"/>
        <w:rPr>
          <w:rFonts w:hint="eastAsia"/>
          <w:color w:val="auto"/>
          <w:highlight w:val="none"/>
          <w:lang w:val="en-US" w:eastAsia="zh-CN"/>
        </w:rPr>
      </w:pPr>
    </w:p>
    <w:p w14:paraId="7B389400">
      <w:pPr>
        <w:pStyle w:val="19"/>
        <w:ind w:left="0" w:leftChars="0" w:firstLine="0" w:firstLineChars="0"/>
        <w:rPr>
          <w:rFonts w:hint="eastAsia"/>
          <w:color w:val="auto"/>
          <w:highlight w:val="none"/>
          <w:lang w:val="en-US" w:eastAsia="zh-CN"/>
        </w:rPr>
      </w:pPr>
    </w:p>
    <w:p w14:paraId="6465743C">
      <w:pPr>
        <w:pStyle w:val="19"/>
        <w:ind w:left="0" w:leftChars="0" w:firstLine="0" w:firstLineChars="0"/>
        <w:rPr>
          <w:rFonts w:hint="eastAsia"/>
          <w:color w:val="auto"/>
          <w:highlight w:val="none"/>
          <w:lang w:val="en-US" w:eastAsia="zh-CN"/>
        </w:rPr>
      </w:pPr>
    </w:p>
    <w:p w14:paraId="31101FAD">
      <w:pPr>
        <w:pStyle w:val="19"/>
        <w:ind w:left="0" w:leftChars="0" w:firstLine="0" w:firstLineChars="0"/>
        <w:rPr>
          <w:rFonts w:hint="eastAsia"/>
          <w:color w:val="auto"/>
          <w:highlight w:val="none"/>
          <w:lang w:val="en-US" w:eastAsia="zh-CN"/>
        </w:rPr>
      </w:pPr>
    </w:p>
    <w:p w14:paraId="68BF4BA7">
      <w:pPr>
        <w:pStyle w:val="19"/>
        <w:ind w:left="0" w:leftChars="0" w:firstLine="0" w:firstLineChars="0"/>
        <w:rPr>
          <w:rFonts w:hint="eastAsia"/>
          <w:color w:val="auto"/>
          <w:highlight w:val="none"/>
          <w:lang w:val="en-US" w:eastAsia="zh-CN"/>
        </w:rPr>
      </w:pPr>
    </w:p>
    <w:p w14:paraId="1067CBAC">
      <w:pPr>
        <w:pStyle w:val="19"/>
        <w:ind w:left="0" w:leftChars="0" w:firstLine="0" w:firstLineChars="0"/>
        <w:rPr>
          <w:rFonts w:hint="eastAsia"/>
          <w:color w:val="auto"/>
          <w:highlight w:val="none"/>
          <w:lang w:val="en-US" w:eastAsia="zh-CN"/>
        </w:rPr>
      </w:pPr>
    </w:p>
    <w:p w14:paraId="44202348">
      <w:pPr>
        <w:pStyle w:val="19"/>
        <w:ind w:left="0" w:leftChars="0" w:firstLine="0" w:firstLineChars="0"/>
        <w:rPr>
          <w:rFonts w:hint="eastAsia"/>
          <w:color w:val="auto"/>
          <w:highlight w:val="none"/>
          <w:lang w:val="en-US" w:eastAsia="zh-CN"/>
        </w:rPr>
      </w:pPr>
    </w:p>
    <w:p w14:paraId="38927A29">
      <w:pPr>
        <w:pStyle w:val="19"/>
        <w:ind w:left="0" w:leftChars="0" w:firstLine="0" w:firstLineChars="0"/>
        <w:rPr>
          <w:rFonts w:hint="eastAsia"/>
          <w:color w:val="auto"/>
          <w:highlight w:val="none"/>
          <w:lang w:val="en-US" w:eastAsia="zh-CN"/>
        </w:rPr>
      </w:pPr>
    </w:p>
    <w:p w14:paraId="2FD54234">
      <w:pPr>
        <w:pStyle w:val="19"/>
        <w:ind w:left="0" w:leftChars="0" w:firstLine="0" w:firstLineChars="0"/>
        <w:rPr>
          <w:rFonts w:hint="eastAsia"/>
          <w:color w:val="auto"/>
          <w:highlight w:val="none"/>
          <w:lang w:val="en-US" w:eastAsia="zh-CN"/>
        </w:rPr>
      </w:pPr>
    </w:p>
    <w:p w14:paraId="42B69123">
      <w:pPr>
        <w:pStyle w:val="19"/>
        <w:ind w:left="0" w:leftChars="0" w:firstLine="0" w:firstLineChars="0"/>
        <w:rPr>
          <w:rFonts w:hint="eastAsia"/>
          <w:color w:val="auto"/>
          <w:highlight w:val="none"/>
          <w:lang w:val="en-US" w:eastAsia="zh-CN"/>
        </w:rPr>
      </w:pPr>
    </w:p>
    <w:p w14:paraId="1D327B48">
      <w:pPr>
        <w:pStyle w:val="19"/>
        <w:ind w:left="0" w:leftChars="0" w:firstLine="0" w:firstLineChars="0"/>
        <w:rPr>
          <w:rFonts w:hint="eastAsia"/>
          <w:color w:val="auto"/>
          <w:highlight w:val="none"/>
          <w:lang w:val="en-US" w:eastAsia="zh-CN"/>
        </w:rPr>
      </w:pPr>
    </w:p>
    <w:p w14:paraId="0359F805">
      <w:pPr>
        <w:pStyle w:val="19"/>
        <w:ind w:left="0" w:leftChars="0" w:firstLine="0" w:firstLineChars="0"/>
        <w:rPr>
          <w:rFonts w:hint="eastAsia"/>
          <w:color w:val="auto"/>
          <w:highlight w:val="none"/>
          <w:lang w:val="en-US" w:eastAsia="zh-CN"/>
        </w:rPr>
      </w:pPr>
    </w:p>
    <w:p w14:paraId="3D8A3E31">
      <w:pPr>
        <w:pStyle w:val="19"/>
        <w:ind w:left="0" w:leftChars="0" w:firstLine="0" w:firstLineChars="0"/>
        <w:rPr>
          <w:rFonts w:hint="eastAsia"/>
          <w:color w:val="auto"/>
          <w:highlight w:val="none"/>
          <w:lang w:val="en-US" w:eastAsia="zh-CN"/>
        </w:rPr>
      </w:pPr>
    </w:p>
    <w:p w14:paraId="670C3690">
      <w:pPr>
        <w:pStyle w:val="19"/>
        <w:ind w:left="0" w:leftChars="0" w:firstLine="0" w:firstLineChars="0"/>
        <w:rPr>
          <w:rFonts w:hint="eastAsia"/>
          <w:color w:val="auto"/>
          <w:highlight w:val="none"/>
          <w:lang w:val="en-US" w:eastAsia="zh-CN"/>
        </w:rPr>
      </w:pPr>
    </w:p>
    <w:p w14:paraId="430AF0D2">
      <w:pPr>
        <w:pStyle w:val="19"/>
        <w:ind w:left="0" w:leftChars="0" w:firstLine="0" w:firstLineChars="0"/>
        <w:rPr>
          <w:rFonts w:hint="eastAsia"/>
          <w:color w:val="auto"/>
          <w:highlight w:val="none"/>
          <w:lang w:val="en-US" w:eastAsia="zh-CN"/>
        </w:rPr>
      </w:pPr>
    </w:p>
    <w:p w14:paraId="3526339C">
      <w:pPr>
        <w:pStyle w:val="19"/>
        <w:ind w:left="0" w:leftChars="0" w:firstLine="0" w:firstLineChars="0"/>
        <w:rPr>
          <w:rFonts w:hint="eastAsia"/>
          <w:color w:val="auto"/>
          <w:highlight w:val="none"/>
          <w:lang w:val="en-US" w:eastAsia="zh-CN"/>
        </w:rPr>
      </w:pPr>
    </w:p>
    <w:p w14:paraId="13808BB2">
      <w:pPr>
        <w:pStyle w:val="19"/>
        <w:ind w:left="0" w:leftChars="0" w:firstLine="0" w:firstLineChars="0"/>
        <w:rPr>
          <w:rFonts w:hint="eastAsia"/>
          <w:color w:val="auto"/>
          <w:highlight w:val="none"/>
          <w:lang w:val="en-US" w:eastAsia="zh-CN"/>
        </w:rPr>
      </w:pPr>
    </w:p>
    <w:p w14:paraId="4B7A9F64">
      <w:pPr>
        <w:pStyle w:val="19"/>
        <w:ind w:left="0" w:leftChars="0" w:firstLine="0" w:firstLineChars="0"/>
        <w:rPr>
          <w:rFonts w:hint="eastAsia"/>
          <w:color w:val="auto"/>
          <w:highlight w:val="none"/>
          <w:lang w:val="en-US" w:eastAsia="zh-CN"/>
        </w:rPr>
      </w:pPr>
    </w:p>
    <w:p w14:paraId="1AD79BE6">
      <w:pPr>
        <w:pStyle w:val="19"/>
        <w:ind w:left="0" w:leftChars="0" w:firstLine="0" w:firstLineChars="0"/>
        <w:rPr>
          <w:rFonts w:hint="eastAsia"/>
          <w:color w:val="auto"/>
          <w:highlight w:val="none"/>
          <w:lang w:val="en-US" w:eastAsia="zh-CN"/>
        </w:rPr>
      </w:pPr>
    </w:p>
    <w:p w14:paraId="20B69E2A">
      <w:pPr>
        <w:pStyle w:val="19"/>
        <w:ind w:left="0" w:leftChars="0" w:firstLine="0" w:firstLineChars="0"/>
        <w:rPr>
          <w:rFonts w:hint="eastAsia"/>
          <w:color w:val="auto"/>
          <w:highlight w:val="none"/>
          <w:lang w:val="en-US" w:eastAsia="zh-CN"/>
        </w:rPr>
      </w:pPr>
    </w:p>
    <w:p w14:paraId="7A5387A6">
      <w:pPr>
        <w:pStyle w:val="19"/>
        <w:ind w:left="0" w:leftChars="0" w:firstLine="0" w:firstLineChars="0"/>
        <w:rPr>
          <w:rFonts w:hint="eastAsia"/>
          <w:color w:val="auto"/>
          <w:highlight w:val="none"/>
          <w:lang w:val="en-US" w:eastAsia="zh-CN"/>
        </w:rPr>
      </w:pPr>
    </w:p>
    <w:p w14:paraId="5ED42F66">
      <w:pPr>
        <w:pStyle w:val="19"/>
        <w:ind w:left="0" w:leftChars="0" w:firstLine="0" w:firstLineChars="0"/>
        <w:rPr>
          <w:rFonts w:hint="eastAsia"/>
          <w:color w:val="auto"/>
          <w:highlight w:val="none"/>
          <w:lang w:val="en-US" w:eastAsia="zh-CN"/>
        </w:rPr>
      </w:pPr>
    </w:p>
    <w:p w14:paraId="6A18998F">
      <w:pPr>
        <w:pStyle w:val="19"/>
        <w:ind w:left="0" w:leftChars="0" w:firstLine="0" w:firstLineChars="0"/>
        <w:rPr>
          <w:rFonts w:hint="eastAsia"/>
          <w:color w:val="auto"/>
          <w:highlight w:val="none"/>
          <w:lang w:val="en-US" w:eastAsia="zh-CN"/>
        </w:rPr>
      </w:pPr>
    </w:p>
    <w:p w14:paraId="24D72DB1">
      <w:pPr>
        <w:pStyle w:val="19"/>
        <w:ind w:left="0" w:leftChars="0" w:firstLine="0" w:firstLineChars="0"/>
        <w:rPr>
          <w:rFonts w:hint="eastAsia"/>
          <w:color w:val="auto"/>
          <w:highlight w:val="none"/>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highlight w:val="none"/>
          <w:lang w:val="en-US" w:eastAsia="zh-CN"/>
        </w:rPr>
        <w:t>备注：</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上述费用包括货物的原材料、生产、包装、运输、</w:t>
      </w:r>
      <w:r>
        <w:rPr>
          <w:rFonts w:hint="eastAsia" w:ascii="宋体" w:hAnsi="宋体" w:cs="宋体"/>
          <w:b w:val="0"/>
          <w:bCs/>
          <w:color w:val="auto"/>
          <w:sz w:val="24"/>
          <w:highlight w:val="none"/>
          <w:lang w:val="en-US" w:eastAsia="zh-CN"/>
        </w:rPr>
        <w:t>安装、</w:t>
      </w:r>
      <w:r>
        <w:rPr>
          <w:rFonts w:hint="eastAsia" w:ascii="宋体" w:hAnsi="宋体" w:cs="宋体"/>
          <w:b w:val="0"/>
          <w:bCs/>
          <w:color w:val="auto"/>
          <w:sz w:val="24"/>
          <w:highlight w:val="none"/>
        </w:rPr>
        <w:t>保险、</w:t>
      </w:r>
      <w:r>
        <w:rPr>
          <w:rFonts w:hint="eastAsia" w:ascii="宋体" w:hAnsi="宋体" w:cs="宋体"/>
          <w:b w:val="0"/>
          <w:bCs/>
          <w:color w:val="auto"/>
          <w:sz w:val="24"/>
          <w:highlight w:val="none"/>
          <w:lang w:val="en-US" w:eastAsia="zh-CN"/>
        </w:rPr>
        <w:t>卸货叉车费（如有）、人工费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highlight w:val="none"/>
        </w:rPr>
      </w:pPr>
    </w:p>
    <w:p w14:paraId="4D6E4DEF">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AFEAD42">
      <w:pPr>
        <w:jc w:val="center"/>
        <w:rPr>
          <w:rFonts w:hint="eastAsia" w:ascii="Times New Roman" w:hAnsi="Times New Roman" w:eastAsia="华文中宋" w:cs="Times New Roman"/>
          <w:b/>
          <w:smallCaps/>
          <w:color w:val="auto"/>
          <w:sz w:val="24"/>
          <w:szCs w:val="24"/>
          <w:highlight w:val="none"/>
          <w:lang w:val="en-US" w:eastAsia="zh-CN"/>
        </w:rPr>
      </w:pPr>
      <w:r>
        <w:rPr>
          <w:rFonts w:hint="eastAsia" w:ascii="Times New Roman" w:hAnsi="Times New Roman" w:eastAsia="华文中宋" w:cs="Times New Roman"/>
          <w:b/>
          <w:smallCaps/>
          <w:color w:val="auto"/>
          <w:sz w:val="24"/>
          <w:szCs w:val="24"/>
          <w:highlight w:val="none"/>
          <w:lang w:val="en-US" w:eastAsia="zh-CN"/>
        </w:rPr>
        <w:t>材料品牌推荐表</w:t>
      </w:r>
    </w:p>
    <w:p w14:paraId="64E6A592">
      <w:pPr>
        <w:jc w:val="center"/>
        <w:rPr>
          <w:rFonts w:hint="eastAsia" w:ascii="Times New Roman" w:hAnsi="Times New Roman" w:eastAsia="华文中宋" w:cs="Times New Roman"/>
          <w:b/>
          <w:smallCaps/>
          <w:color w:val="FF0000"/>
          <w:sz w:val="24"/>
          <w:szCs w:val="24"/>
          <w:highlight w:val="none"/>
          <w:lang w:val="en-US" w:eastAsia="zh-CN"/>
        </w:rPr>
      </w:pPr>
    </w:p>
    <w:p w14:paraId="56F34503">
      <w:pPr>
        <w:jc w:val="center"/>
        <w:rPr>
          <w:rFonts w:hint="eastAsia" w:ascii="Times New Roman" w:hAnsi="Times New Roman" w:eastAsia="华文中宋" w:cs="Times New Roman"/>
          <w:b/>
          <w:smallCaps/>
          <w:color w:val="FF0000"/>
          <w:sz w:val="24"/>
          <w:szCs w:val="24"/>
          <w:highlight w:val="none"/>
          <w:lang w:val="en-US" w:eastAsia="zh-CN"/>
        </w:rPr>
      </w:pPr>
      <w:r>
        <w:rPr>
          <w:rFonts w:hint="eastAsia" w:ascii="Times New Roman" w:hAnsi="Times New Roman" w:eastAsia="华文中宋" w:cs="Times New Roman"/>
          <w:b/>
          <w:smallCaps/>
          <w:color w:val="FF0000"/>
          <w:sz w:val="24"/>
          <w:szCs w:val="24"/>
          <w:highlight w:val="none"/>
          <w:lang w:val="en-US" w:eastAsia="zh-CN"/>
        </w:rPr>
        <w:drawing>
          <wp:inline distT="0" distB="0" distL="114300" distR="114300">
            <wp:extent cx="5122545" cy="6290310"/>
            <wp:effectExtent l="0" t="0" r="1905" b="1524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6"/>
                    <a:stretch>
                      <a:fillRect/>
                    </a:stretch>
                  </pic:blipFill>
                  <pic:spPr>
                    <a:xfrm>
                      <a:off x="0" y="0"/>
                      <a:ext cx="5122545" cy="6290310"/>
                    </a:xfrm>
                    <a:prstGeom prst="rect">
                      <a:avLst/>
                    </a:prstGeom>
                    <a:noFill/>
                    <a:ln>
                      <a:noFill/>
                    </a:ln>
                  </pic:spPr>
                </pic:pic>
              </a:graphicData>
            </a:graphic>
          </wp:inline>
        </w:drawing>
      </w:r>
    </w:p>
    <w:p w14:paraId="08C4E001">
      <w:pPr>
        <w:jc w:val="center"/>
        <w:rPr>
          <w:rFonts w:hint="eastAsia" w:ascii="Times New Roman" w:hAnsi="Times New Roman" w:eastAsia="华文中宋" w:cs="Times New Roman"/>
          <w:b/>
          <w:smallCaps/>
          <w:color w:val="FF0000"/>
          <w:sz w:val="24"/>
          <w:szCs w:val="24"/>
          <w:highlight w:val="none"/>
          <w:lang w:val="en-US" w:eastAsia="zh-CN"/>
        </w:rPr>
      </w:pPr>
    </w:p>
    <w:p w14:paraId="5AD2EE4E">
      <w:pPr>
        <w:jc w:val="center"/>
        <w:rPr>
          <w:rFonts w:hint="eastAsia" w:ascii="Times New Roman" w:hAnsi="Times New Roman" w:eastAsia="华文中宋" w:cs="Times New Roman"/>
          <w:b/>
          <w:smallCaps/>
          <w:color w:val="FF0000"/>
          <w:sz w:val="24"/>
          <w:szCs w:val="24"/>
          <w:highlight w:val="none"/>
          <w:lang w:val="en-US" w:eastAsia="zh-CN"/>
        </w:rPr>
      </w:pPr>
    </w:p>
    <w:p w14:paraId="01EF5AA5">
      <w:pPr>
        <w:jc w:val="center"/>
        <w:rPr>
          <w:rFonts w:hint="eastAsia" w:ascii="Times New Roman" w:hAnsi="Times New Roman" w:eastAsia="华文中宋" w:cs="Times New Roman"/>
          <w:b/>
          <w:smallCaps/>
          <w:color w:val="FF0000"/>
          <w:sz w:val="24"/>
          <w:szCs w:val="24"/>
          <w:highlight w:val="none"/>
          <w:lang w:val="en-US" w:eastAsia="zh-CN"/>
        </w:rPr>
      </w:pPr>
    </w:p>
    <w:p w14:paraId="2B13A608">
      <w:pPr>
        <w:jc w:val="center"/>
        <w:rPr>
          <w:rFonts w:hint="eastAsia" w:ascii="Times New Roman" w:hAnsi="Times New Roman" w:eastAsia="华文中宋" w:cs="Times New Roman"/>
          <w:b/>
          <w:smallCaps/>
          <w:color w:val="FF0000"/>
          <w:sz w:val="24"/>
          <w:szCs w:val="24"/>
          <w:highlight w:val="none"/>
          <w:lang w:val="en-US" w:eastAsia="zh-CN"/>
        </w:rPr>
      </w:pPr>
    </w:p>
    <w:p w14:paraId="214B5B11">
      <w:pPr>
        <w:jc w:val="center"/>
        <w:rPr>
          <w:rFonts w:hint="eastAsia" w:ascii="Times New Roman" w:hAnsi="Times New Roman" w:eastAsia="华文中宋" w:cs="Times New Roman"/>
          <w:b/>
          <w:smallCaps/>
          <w:color w:val="FF0000"/>
          <w:sz w:val="24"/>
          <w:szCs w:val="24"/>
          <w:highlight w:val="none"/>
          <w:lang w:val="en-US" w:eastAsia="zh-CN"/>
        </w:rPr>
      </w:pPr>
    </w:p>
    <w:p w14:paraId="6137612B">
      <w:pPr>
        <w:jc w:val="center"/>
        <w:rPr>
          <w:rFonts w:hint="eastAsia" w:ascii="Times New Roman" w:hAnsi="Times New Roman" w:eastAsia="华文中宋" w:cs="Times New Roman"/>
          <w:b/>
          <w:smallCaps/>
          <w:color w:val="FF0000"/>
          <w:sz w:val="24"/>
          <w:szCs w:val="24"/>
          <w:highlight w:val="none"/>
          <w:lang w:val="en-US" w:eastAsia="zh-CN"/>
        </w:rPr>
      </w:pPr>
    </w:p>
    <w:p w14:paraId="1DB27524">
      <w:pPr>
        <w:jc w:val="center"/>
        <w:rPr>
          <w:rFonts w:hint="eastAsia" w:ascii="Times New Roman" w:hAnsi="Times New Roman" w:eastAsia="华文中宋" w:cs="Times New Roman"/>
          <w:b/>
          <w:smallCaps/>
          <w:color w:val="FF0000"/>
          <w:sz w:val="24"/>
          <w:szCs w:val="24"/>
          <w:highlight w:val="none"/>
          <w:lang w:val="en-US" w:eastAsia="zh-CN"/>
        </w:rPr>
      </w:pPr>
    </w:p>
    <w:p w14:paraId="66C6C288">
      <w:pPr>
        <w:jc w:val="center"/>
        <w:rPr>
          <w:rFonts w:hint="eastAsia" w:ascii="Times New Roman" w:hAnsi="Times New Roman" w:eastAsia="华文中宋" w:cs="Times New Roman"/>
          <w:b/>
          <w:smallCaps/>
          <w:color w:val="FF0000"/>
          <w:sz w:val="24"/>
          <w:szCs w:val="24"/>
          <w:highlight w:val="none"/>
          <w:lang w:val="en-US" w:eastAsia="zh-CN"/>
        </w:rPr>
      </w:pPr>
    </w:p>
    <w:p w14:paraId="4C88058B">
      <w:pPr>
        <w:jc w:val="center"/>
        <w:rPr>
          <w:rFonts w:hint="eastAsia" w:ascii="Times New Roman" w:hAnsi="Times New Roman" w:eastAsia="华文中宋" w:cs="Times New Roman"/>
          <w:b/>
          <w:smallCaps/>
          <w:color w:val="FF0000"/>
          <w:sz w:val="24"/>
          <w:szCs w:val="24"/>
          <w:highlight w:val="none"/>
          <w:lang w:val="en-US" w:eastAsia="zh-CN"/>
        </w:rPr>
      </w:pPr>
    </w:p>
    <w:p w14:paraId="5D16C7CF">
      <w:pPr>
        <w:pStyle w:val="11"/>
        <w:adjustRightInd w:val="0"/>
        <w:snapToGrid w:val="0"/>
        <w:jc w:val="center"/>
        <w:outlineLvl w:val="1"/>
        <w:rPr>
          <w:rFonts w:ascii="Times New Roman" w:hAnsi="Times New Roman" w:eastAsia="华文中宋" w:cs="Times New Roman"/>
          <w:b/>
          <w:color w:val="auto"/>
          <w:sz w:val="24"/>
          <w:szCs w:val="24"/>
          <w:highlight w:val="none"/>
        </w:rPr>
      </w:pPr>
      <w:bookmarkStart w:id="127" w:name="_GoBack"/>
      <w:bookmarkEnd w:id="127"/>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A15DCF"/>
    <w:rsid w:val="00AB7A64"/>
    <w:rsid w:val="00D704DB"/>
    <w:rsid w:val="00DF14BB"/>
    <w:rsid w:val="00E30FAC"/>
    <w:rsid w:val="00E8570D"/>
    <w:rsid w:val="010A3C11"/>
    <w:rsid w:val="010E69FF"/>
    <w:rsid w:val="016035C7"/>
    <w:rsid w:val="017D7CB0"/>
    <w:rsid w:val="01AF70E0"/>
    <w:rsid w:val="0211370D"/>
    <w:rsid w:val="022655F4"/>
    <w:rsid w:val="023E3C6A"/>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461F7D"/>
    <w:rsid w:val="045E338A"/>
    <w:rsid w:val="047010F6"/>
    <w:rsid w:val="04701D1E"/>
    <w:rsid w:val="04755FE9"/>
    <w:rsid w:val="049D76C3"/>
    <w:rsid w:val="04C16A73"/>
    <w:rsid w:val="04E034BC"/>
    <w:rsid w:val="05017C52"/>
    <w:rsid w:val="05085F79"/>
    <w:rsid w:val="052851DF"/>
    <w:rsid w:val="0535195E"/>
    <w:rsid w:val="053E0EA6"/>
    <w:rsid w:val="054416D2"/>
    <w:rsid w:val="05AF29EE"/>
    <w:rsid w:val="05D2339D"/>
    <w:rsid w:val="05F62696"/>
    <w:rsid w:val="05F94BA8"/>
    <w:rsid w:val="060774EA"/>
    <w:rsid w:val="061A5470"/>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940DDD"/>
    <w:rsid w:val="08E91129"/>
    <w:rsid w:val="09187C60"/>
    <w:rsid w:val="091A677A"/>
    <w:rsid w:val="09210464"/>
    <w:rsid w:val="093920B1"/>
    <w:rsid w:val="095E1B17"/>
    <w:rsid w:val="096867B1"/>
    <w:rsid w:val="09B13FF7"/>
    <w:rsid w:val="0A2E7496"/>
    <w:rsid w:val="0A466107"/>
    <w:rsid w:val="0A64315D"/>
    <w:rsid w:val="0A8235E3"/>
    <w:rsid w:val="0A913826"/>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369A6"/>
    <w:rsid w:val="0C0B7829"/>
    <w:rsid w:val="0C126BE9"/>
    <w:rsid w:val="0C252478"/>
    <w:rsid w:val="0C2A2FB8"/>
    <w:rsid w:val="0C425774"/>
    <w:rsid w:val="0C433DD8"/>
    <w:rsid w:val="0C5C5FF7"/>
    <w:rsid w:val="0CA667B4"/>
    <w:rsid w:val="0CB62B1E"/>
    <w:rsid w:val="0CD81BE1"/>
    <w:rsid w:val="0D4B4161"/>
    <w:rsid w:val="0D604989"/>
    <w:rsid w:val="0D676CED"/>
    <w:rsid w:val="0DBD0BDC"/>
    <w:rsid w:val="0DC42165"/>
    <w:rsid w:val="0DD26630"/>
    <w:rsid w:val="0DDA7292"/>
    <w:rsid w:val="0DE02F17"/>
    <w:rsid w:val="0E436CA2"/>
    <w:rsid w:val="0E541DD8"/>
    <w:rsid w:val="0EA07AC2"/>
    <w:rsid w:val="0EB14497"/>
    <w:rsid w:val="0EB73ADA"/>
    <w:rsid w:val="0EBA46A3"/>
    <w:rsid w:val="0EBB2DAD"/>
    <w:rsid w:val="0ED411DA"/>
    <w:rsid w:val="0EF05DCE"/>
    <w:rsid w:val="0F4E7639"/>
    <w:rsid w:val="0F515C7A"/>
    <w:rsid w:val="0F531ACB"/>
    <w:rsid w:val="0F5B4403"/>
    <w:rsid w:val="0F5D63CD"/>
    <w:rsid w:val="0F6F4854"/>
    <w:rsid w:val="0F9D4A1B"/>
    <w:rsid w:val="0F9F0794"/>
    <w:rsid w:val="0FB568C1"/>
    <w:rsid w:val="0FB57FB7"/>
    <w:rsid w:val="0FBE1FCA"/>
    <w:rsid w:val="0FD41FBD"/>
    <w:rsid w:val="0FD4370B"/>
    <w:rsid w:val="101902A4"/>
    <w:rsid w:val="101A751A"/>
    <w:rsid w:val="103E486A"/>
    <w:rsid w:val="105552F6"/>
    <w:rsid w:val="106D5B52"/>
    <w:rsid w:val="1090350E"/>
    <w:rsid w:val="10944070"/>
    <w:rsid w:val="10A6372F"/>
    <w:rsid w:val="10A97373"/>
    <w:rsid w:val="10DA535D"/>
    <w:rsid w:val="10F20D97"/>
    <w:rsid w:val="10F863AD"/>
    <w:rsid w:val="11004D9C"/>
    <w:rsid w:val="110D2AFF"/>
    <w:rsid w:val="112131E2"/>
    <w:rsid w:val="11681ED6"/>
    <w:rsid w:val="119C482A"/>
    <w:rsid w:val="11B04EDA"/>
    <w:rsid w:val="11B06C88"/>
    <w:rsid w:val="11C6025A"/>
    <w:rsid w:val="11DF30C9"/>
    <w:rsid w:val="11F528ED"/>
    <w:rsid w:val="11FD4CD5"/>
    <w:rsid w:val="129325F3"/>
    <w:rsid w:val="12983425"/>
    <w:rsid w:val="129A3494"/>
    <w:rsid w:val="12BD1492"/>
    <w:rsid w:val="12FA3B2F"/>
    <w:rsid w:val="1300779B"/>
    <w:rsid w:val="13054DB2"/>
    <w:rsid w:val="131B45D5"/>
    <w:rsid w:val="132D60B6"/>
    <w:rsid w:val="13431F92"/>
    <w:rsid w:val="13525B1D"/>
    <w:rsid w:val="13955E86"/>
    <w:rsid w:val="13C13BEB"/>
    <w:rsid w:val="13CE1647"/>
    <w:rsid w:val="13D604FC"/>
    <w:rsid w:val="13E11194"/>
    <w:rsid w:val="13EC1865"/>
    <w:rsid w:val="144A391D"/>
    <w:rsid w:val="145D3899"/>
    <w:rsid w:val="14B7657F"/>
    <w:rsid w:val="14BF5434"/>
    <w:rsid w:val="14CE63E8"/>
    <w:rsid w:val="150E5893"/>
    <w:rsid w:val="15133F2C"/>
    <w:rsid w:val="15602773"/>
    <w:rsid w:val="15AF385B"/>
    <w:rsid w:val="15C3657D"/>
    <w:rsid w:val="15CA4090"/>
    <w:rsid w:val="15ED748E"/>
    <w:rsid w:val="15F1786F"/>
    <w:rsid w:val="160C46A9"/>
    <w:rsid w:val="161C0D90"/>
    <w:rsid w:val="16201F02"/>
    <w:rsid w:val="163D1F3A"/>
    <w:rsid w:val="16414AC9"/>
    <w:rsid w:val="167C0AF5"/>
    <w:rsid w:val="167C76AF"/>
    <w:rsid w:val="16A14FAE"/>
    <w:rsid w:val="16D451C7"/>
    <w:rsid w:val="16FF3D15"/>
    <w:rsid w:val="17024379"/>
    <w:rsid w:val="17263548"/>
    <w:rsid w:val="17755202"/>
    <w:rsid w:val="1776370C"/>
    <w:rsid w:val="17CF3BE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516B2E"/>
    <w:rsid w:val="1A657CD8"/>
    <w:rsid w:val="1A741F99"/>
    <w:rsid w:val="1AA97D25"/>
    <w:rsid w:val="1AAC1FB7"/>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0424CF"/>
    <w:rsid w:val="1D3320C5"/>
    <w:rsid w:val="1D3772E3"/>
    <w:rsid w:val="1D3F5364"/>
    <w:rsid w:val="1D9C6C71"/>
    <w:rsid w:val="1DBF4066"/>
    <w:rsid w:val="1DC0096E"/>
    <w:rsid w:val="1DD02C25"/>
    <w:rsid w:val="1DFB32CC"/>
    <w:rsid w:val="1E085F02"/>
    <w:rsid w:val="1E2F53D8"/>
    <w:rsid w:val="1E304C77"/>
    <w:rsid w:val="1E764DB5"/>
    <w:rsid w:val="1E7E7378"/>
    <w:rsid w:val="1EEE0DF0"/>
    <w:rsid w:val="1F0529C7"/>
    <w:rsid w:val="1F091FF2"/>
    <w:rsid w:val="1F172B9E"/>
    <w:rsid w:val="1F6B68E4"/>
    <w:rsid w:val="1F8615BF"/>
    <w:rsid w:val="1F93095F"/>
    <w:rsid w:val="1FB449F5"/>
    <w:rsid w:val="1FC01B05"/>
    <w:rsid w:val="1FD06747"/>
    <w:rsid w:val="1FE64151"/>
    <w:rsid w:val="1FEA7927"/>
    <w:rsid w:val="1FEF4E1F"/>
    <w:rsid w:val="20220D88"/>
    <w:rsid w:val="202D724A"/>
    <w:rsid w:val="20432E03"/>
    <w:rsid w:val="204F58BE"/>
    <w:rsid w:val="20703AC9"/>
    <w:rsid w:val="20B120D5"/>
    <w:rsid w:val="20CE5700"/>
    <w:rsid w:val="20CE712B"/>
    <w:rsid w:val="20E701EC"/>
    <w:rsid w:val="21366A7E"/>
    <w:rsid w:val="216C51F8"/>
    <w:rsid w:val="21705735"/>
    <w:rsid w:val="218872DA"/>
    <w:rsid w:val="21A659B2"/>
    <w:rsid w:val="21EC1864"/>
    <w:rsid w:val="2211172D"/>
    <w:rsid w:val="222F5C4D"/>
    <w:rsid w:val="22421B7E"/>
    <w:rsid w:val="22456F98"/>
    <w:rsid w:val="22694276"/>
    <w:rsid w:val="22853AE2"/>
    <w:rsid w:val="22870E4F"/>
    <w:rsid w:val="22886585"/>
    <w:rsid w:val="22A243CB"/>
    <w:rsid w:val="22B3482A"/>
    <w:rsid w:val="233E4325"/>
    <w:rsid w:val="23512CDF"/>
    <w:rsid w:val="23610B8C"/>
    <w:rsid w:val="23623B5A"/>
    <w:rsid w:val="23767E36"/>
    <w:rsid w:val="23AE0B4E"/>
    <w:rsid w:val="23E812A0"/>
    <w:rsid w:val="23FF13A9"/>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13091A"/>
    <w:rsid w:val="26153106"/>
    <w:rsid w:val="262D48F3"/>
    <w:rsid w:val="264D0AF2"/>
    <w:rsid w:val="265909F3"/>
    <w:rsid w:val="26B33519"/>
    <w:rsid w:val="26BB5A5B"/>
    <w:rsid w:val="26E0066E"/>
    <w:rsid w:val="26E81DCB"/>
    <w:rsid w:val="26FE3B9A"/>
    <w:rsid w:val="273571C2"/>
    <w:rsid w:val="273B6B9C"/>
    <w:rsid w:val="275A75F4"/>
    <w:rsid w:val="275E50DA"/>
    <w:rsid w:val="27621A0B"/>
    <w:rsid w:val="27814EF7"/>
    <w:rsid w:val="279E7B84"/>
    <w:rsid w:val="27B103DE"/>
    <w:rsid w:val="27DC4161"/>
    <w:rsid w:val="27E014F2"/>
    <w:rsid w:val="28302479"/>
    <w:rsid w:val="2838132E"/>
    <w:rsid w:val="285445B2"/>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036A3"/>
    <w:rsid w:val="2A9C3DF6"/>
    <w:rsid w:val="2ACB6489"/>
    <w:rsid w:val="2AE43776"/>
    <w:rsid w:val="2AE82B97"/>
    <w:rsid w:val="2B06015E"/>
    <w:rsid w:val="2B1D5459"/>
    <w:rsid w:val="2B276CB6"/>
    <w:rsid w:val="2B4C581C"/>
    <w:rsid w:val="2B4F4ECF"/>
    <w:rsid w:val="2B6F284F"/>
    <w:rsid w:val="2B710DDE"/>
    <w:rsid w:val="2B786611"/>
    <w:rsid w:val="2BA74026"/>
    <w:rsid w:val="2BFB4B4C"/>
    <w:rsid w:val="2C2263B3"/>
    <w:rsid w:val="2C9C2F72"/>
    <w:rsid w:val="2CC15D7F"/>
    <w:rsid w:val="2CD47877"/>
    <w:rsid w:val="2CE83322"/>
    <w:rsid w:val="2D141CF6"/>
    <w:rsid w:val="2D502872"/>
    <w:rsid w:val="2D764930"/>
    <w:rsid w:val="2D83304B"/>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2D58C0"/>
    <w:rsid w:val="303773D1"/>
    <w:rsid w:val="306A22A0"/>
    <w:rsid w:val="306E3B3E"/>
    <w:rsid w:val="30793AE8"/>
    <w:rsid w:val="30B55C11"/>
    <w:rsid w:val="30BD6874"/>
    <w:rsid w:val="30CB0F91"/>
    <w:rsid w:val="30D77936"/>
    <w:rsid w:val="31146938"/>
    <w:rsid w:val="31165933"/>
    <w:rsid w:val="316E7428"/>
    <w:rsid w:val="3175714F"/>
    <w:rsid w:val="319B3695"/>
    <w:rsid w:val="31BF0E0A"/>
    <w:rsid w:val="31D976DD"/>
    <w:rsid w:val="31F14A27"/>
    <w:rsid w:val="32164205"/>
    <w:rsid w:val="32332253"/>
    <w:rsid w:val="324271A8"/>
    <w:rsid w:val="329D4BAF"/>
    <w:rsid w:val="32D10F12"/>
    <w:rsid w:val="331D35FA"/>
    <w:rsid w:val="333B777A"/>
    <w:rsid w:val="333F226C"/>
    <w:rsid w:val="335A1F1F"/>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B129D7"/>
    <w:rsid w:val="36BD5820"/>
    <w:rsid w:val="36C144C3"/>
    <w:rsid w:val="372633C5"/>
    <w:rsid w:val="375A6BCB"/>
    <w:rsid w:val="377C4EB7"/>
    <w:rsid w:val="385F275A"/>
    <w:rsid w:val="3885411B"/>
    <w:rsid w:val="388C7CC2"/>
    <w:rsid w:val="38B92676"/>
    <w:rsid w:val="38C23C8C"/>
    <w:rsid w:val="38DB3D3B"/>
    <w:rsid w:val="38DC28FD"/>
    <w:rsid w:val="390A63CE"/>
    <w:rsid w:val="394D1ECD"/>
    <w:rsid w:val="3951224F"/>
    <w:rsid w:val="39B20761"/>
    <w:rsid w:val="39C26CA9"/>
    <w:rsid w:val="39CD7B28"/>
    <w:rsid w:val="39D37108"/>
    <w:rsid w:val="39F257E0"/>
    <w:rsid w:val="3A1C1BAF"/>
    <w:rsid w:val="3A1F1997"/>
    <w:rsid w:val="3A282A5D"/>
    <w:rsid w:val="3A695377"/>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EB6517"/>
    <w:rsid w:val="3CF7310E"/>
    <w:rsid w:val="3CFD709B"/>
    <w:rsid w:val="3D3103CE"/>
    <w:rsid w:val="3D4041F2"/>
    <w:rsid w:val="3D6F0EF6"/>
    <w:rsid w:val="3D6F7148"/>
    <w:rsid w:val="3D734E8A"/>
    <w:rsid w:val="3D793B23"/>
    <w:rsid w:val="3D805368"/>
    <w:rsid w:val="3D820C29"/>
    <w:rsid w:val="3DB1150E"/>
    <w:rsid w:val="3DB57993"/>
    <w:rsid w:val="3DF132CA"/>
    <w:rsid w:val="3E103B9E"/>
    <w:rsid w:val="3E2829E9"/>
    <w:rsid w:val="3E3C527C"/>
    <w:rsid w:val="3E5113D8"/>
    <w:rsid w:val="3E832EAB"/>
    <w:rsid w:val="3EBE76C5"/>
    <w:rsid w:val="3ECC22A5"/>
    <w:rsid w:val="3EDB2CE7"/>
    <w:rsid w:val="3F1E0E25"/>
    <w:rsid w:val="3F324E7C"/>
    <w:rsid w:val="3F3E1D92"/>
    <w:rsid w:val="3F3E3276"/>
    <w:rsid w:val="3F8C3FE1"/>
    <w:rsid w:val="3FA70E1B"/>
    <w:rsid w:val="3FB452E6"/>
    <w:rsid w:val="3FB5178A"/>
    <w:rsid w:val="3FEC0F24"/>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6D1BF0"/>
    <w:rsid w:val="4178455B"/>
    <w:rsid w:val="41864339"/>
    <w:rsid w:val="41B0748D"/>
    <w:rsid w:val="41B873F1"/>
    <w:rsid w:val="41BB6E00"/>
    <w:rsid w:val="41CF3C5E"/>
    <w:rsid w:val="41E874E1"/>
    <w:rsid w:val="41F8595E"/>
    <w:rsid w:val="41FB71FC"/>
    <w:rsid w:val="423257B2"/>
    <w:rsid w:val="42440BA3"/>
    <w:rsid w:val="424D3EFC"/>
    <w:rsid w:val="425D1BF0"/>
    <w:rsid w:val="426A68F1"/>
    <w:rsid w:val="426B29F2"/>
    <w:rsid w:val="426D375C"/>
    <w:rsid w:val="42754E3B"/>
    <w:rsid w:val="42815953"/>
    <w:rsid w:val="42A35E1F"/>
    <w:rsid w:val="42B6714C"/>
    <w:rsid w:val="42E414A5"/>
    <w:rsid w:val="42ED38B0"/>
    <w:rsid w:val="430239C6"/>
    <w:rsid w:val="430C466C"/>
    <w:rsid w:val="435F025C"/>
    <w:rsid w:val="43670FED"/>
    <w:rsid w:val="43676230"/>
    <w:rsid w:val="442716E3"/>
    <w:rsid w:val="442A3DC9"/>
    <w:rsid w:val="44316131"/>
    <w:rsid w:val="443A04B0"/>
    <w:rsid w:val="445B0426"/>
    <w:rsid w:val="44623B29"/>
    <w:rsid w:val="448259B3"/>
    <w:rsid w:val="44AC6153"/>
    <w:rsid w:val="44CB7E92"/>
    <w:rsid w:val="44D37FBC"/>
    <w:rsid w:val="44D53D34"/>
    <w:rsid w:val="44D81267"/>
    <w:rsid w:val="44DD1721"/>
    <w:rsid w:val="45260A34"/>
    <w:rsid w:val="452D3B70"/>
    <w:rsid w:val="45303661"/>
    <w:rsid w:val="454D5FC1"/>
    <w:rsid w:val="4551727C"/>
    <w:rsid w:val="45653B06"/>
    <w:rsid w:val="45675307"/>
    <w:rsid w:val="4574425A"/>
    <w:rsid w:val="457C0654"/>
    <w:rsid w:val="458D6DA1"/>
    <w:rsid w:val="458F2670"/>
    <w:rsid w:val="45D1274E"/>
    <w:rsid w:val="45E82159"/>
    <w:rsid w:val="45ED0F61"/>
    <w:rsid w:val="45FB77CB"/>
    <w:rsid w:val="460C19D8"/>
    <w:rsid w:val="465A0995"/>
    <w:rsid w:val="46601D24"/>
    <w:rsid w:val="46767799"/>
    <w:rsid w:val="46B5206F"/>
    <w:rsid w:val="46CA0775"/>
    <w:rsid w:val="46D53D73"/>
    <w:rsid w:val="471825FE"/>
    <w:rsid w:val="4727514F"/>
    <w:rsid w:val="47451645"/>
    <w:rsid w:val="475036EC"/>
    <w:rsid w:val="476304E5"/>
    <w:rsid w:val="483D1893"/>
    <w:rsid w:val="4840005F"/>
    <w:rsid w:val="48407E8B"/>
    <w:rsid w:val="48492B5E"/>
    <w:rsid w:val="485633DE"/>
    <w:rsid w:val="486A70F8"/>
    <w:rsid w:val="48941C0A"/>
    <w:rsid w:val="48D016B1"/>
    <w:rsid w:val="48EB621C"/>
    <w:rsid w:val="48EF63BC"/>
    <w:rsid w:val="48F03833"/>
    <w:rsid w:val="49090450"/>
    <w:rsid w:val="49143FE3"/>
    <w:rsid w:val="49410045"/>
    <w:rsid w:val="49523BA5"/>
    <w:rsid w:val="497B5EAF"/>
    <w:rsid w:val="49BB5BEF"/>
    <w:rsid w:val="49DE368B"/>
    <w:rsid w:val="49E550B8"/>
    <w:rsid w:val="4A235542"/>
    <w:rsid w:val="4A304D72"/>
    <w:rsid w:val="4AAD33D1"/>
    <w:rsid w:val="4ABD50B2"/>
    <w:rsid w:val="4ADA08DD"/>
    <w:rsid w:val="4AEE5B50"/>
    <w:rsid w:val="4AF53CDA"/>
    <w:rsid w:val="4B15132F"/>
    <w:rsid w:val="4B302190"/>
    <w:rsid w:val="4B4B4D50"/>
    <w:rsid w:val="4B920BD1"/>
    <w:rsid w:val="4BC863A1"/>
    <w:rsid w:val="4BCD1E1A"/>
    <w:rsid w:val="4BEA4569"/>
    <w:rsid w:val="4C0D05F0"/>
    <w:rsid w:val="4C336232"/>
    <w:rsid w:val="4C4D68A6"/>
    <w:rsid w:val="4C5440D8"/>
    <w:rsid w:val="4C5B1CC0"/>
    <w:rsid w:val="4C6063F0"/>
    <w:rsid w:val="4C975D73"/>
    <w:rsid w:val="4CDE25B8"/>
    <w:rsid w:val="4D031C9B"/>
    <w:rsid w:val="4D237C5B"/>
    <w:rsid w:val="4D567F0A"/>
    <w:rsid w:val="4D6E195B"/>
    <w:rsid w:val="4D882C83"/>
    <w:rsid w:val="4DB33731"/>
    <w:rsid w:val="4DB34E9F"/>
    <w:rsid w:val="4DD45985"/>
    <w:rsid w:val="4DDE57A5"/>
    <w:rsid w:val="4DE4323A"/>
    <w:rsid w:val="4DED5CE9"/>
    <w:rsid w:val="4E015B9A"/>
    <w:rsid w:val="4E040F77"/>
    <w:rsid w:val="4E0D2791"/>
    <w:rsid w:val="4E2528C4"/>
    <w:rsid w:val="4E381FE7"/>
    <w:rsid w:val="4E4361B3"/>
    <w:rsid w:val="4E7D3760"/>
    <w:rsid w:val="4EF15C0F"/>
    <w:rsid w:val="4F0478A8"/>
    <w:rsid w:val="4F0B3174"/>
    <w:rsid w:val="4F0E4A13"/>
    <w:rsid w:val="4F245FE4"/>
    <w:rsid w:val="4F570614"/>
    <w:rsid w:val="4F7A3E56"/>
    <w:rsid w:val="4F7E3AF1"/>
    <w:rsid w:val="4FAB67F2"/>
    <w:rsid w:val="4FC81DBA"/>
    <w:rsid w:val="4FD95020"/>
    <w:rsid w:val="4FE062C8"/>
    <w:rsid w:val="4FF260E2"/>
    <w:rsid w:val="50083210"/>
    <w:rsid w:val="501047BA"/>
    <w:rsid w:val="50493828"/>
    <w:rsid w:val="5051384E"/>
    <w:rsid w:val="50792360"/>
    <w:rsid w:val="507C1E50"/>
    <w:rsid w:val="508D7BB9"/>
    <w:rsid w:val="50932863"/>
    <w:rsid w:val="50A92418"/>
    <w:rsid w:val="50C64757"/>
    <w:rsid w:val="50E04186"/>
    <w:rsid w:val="50FD6AED"/>
    <w:rsid w:val="511A7AB0"/>
    <w:rsid w:val="512E2388"/>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807F59"/>
    <w:rsid w:val="53966D81"/>
    <w:rsid w:val="53C77F81"/>
    <w:rsid w:val="53D8739D"/>
    <w:rsid w:val="54292240"/>
    <w:rsid w:val="54931516"/>
    <w:rsid w:val="549A6B3D"/>
    <w:rsid w:val="549C03CB"/>
    <w:rsid w:val="54C469B0"/>
    <w:rsid w:val="54E35FFA"/>
    <w:rsid w:val="54E51D72"/>
    <w:rsid w:val="54F71AA5"/>
    <w:rsid w:val="551254D1"/>
    <w:rsid w:val="55164621"/>
    <w:rsid w:val="55184EF2"/>
    <w:rsid w:val="55306D65"/>
    <w:rsid w:val="557F5C64"/>
    <w:rsid w:val="55BD4A9D"/>
    <w:rsid w:val="55CE5FAF"/>
    <w:rsid w:val="55D65B5E"/>
    <w:rsid w:val="55FF50B5"/>
    <w:rsid w:val="56026953"/>
    <w:rsid w:val="561843C9"/>
    <w:rsid w:val="563E671E"/>
    <w:rsid w:val="5647080A"/>
    <w:rsid w:val="56574EF1"/>
    <w:rsid w:val="56695122"/>
    <w:rsid w:val="566B44F9"/>
    <w:rsid w:val="567C6706"/>
    <w:rsid w:val="568D4A8B"/>
    <w:rsid w:val="56AD68BF"/>
    <w:rsid w:val="56E322E1"/>
    <w:rsid w:val="56E85B49"/>
    <w:rsid w:val="56F72C39"/>
    <w:rsid w:val="57265724"/>
    <w:rsid w:val="5741059C"/>
    <w:rsid w:val="57821C5F"/>
    <w:rsid w:val="5787376C"/>
    <w:rsid w:val="57A1017F"/>
    <w:rsid w:val="57C2283E"/>
    <w:rsid w:val="57EC71D5"/>
    <w:rsid w:val="581A249A"/>
    <w:rsid w:val="582F1556"/>
    <w:rsid w:val="58340631"/>
    <w:rsid w:val="58474AF1"/>
    <w:rsid w:val="58810003"/>
    <w:rsid w:val="588621CE"/>
    <w:rsid w:val="588927B2"/>
    <w:rsid w:val="58A12453"/>
    <w:rsid w:val="58A14202"/>
    <w:rsid w:val="58AC03AC"/>
    <w:rsid w:val="58B3037A"/>
    <w:rsid w:val="58F22CAF"/>
    <w:rsid w:val="5906675A"/>
    <w:rsid w:val="593212FE"/>
    <w:rsid w:val="593432C8"/>
    <w:rsid w:val="59350DEE"/>
    <w:rsid w:val="59463022"/>
    <w:rsid w:val="596A327B"/>
    <w:rsid w:val="598056A3"/>
    <w:rsid w:val="598F3C15"/>
    <w:rsid w:val="59A44AE5"/>
    <w:rsid w:val="59BB7545"/>
    <w:rsid w:val="59BE5287"/>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E7193"/>
    <w:rsid w:val="5CAD7A90"/>
    <w:rsid w:val="5CB82BDC"/>
    <w:rsid w:val="5CBA0A27"/>
    <w:rsid w:val="5CCC1A69"/>
    <w:rsid w:val="5CD86660"/>
    <w:rsid w:val="5CE24F97"/>
    <w:rsid w:val="5CEC3B27"/>
    <w:rsid w:val="5D047455"/>
    <w:rsid w:val="5D656145"/>
    <w:rsid w:val="5D804893"/>
    <w:rsid w:val="5DA53F1B"/>
    <w:rsid w:val="5DA54794"/>
    <w:rsid w:val="5DC63FF9"/>
    <w:rsid w:val="5E4775F9"/>
    <w:rsid w:val="5E6F6B50"/>
    <w:rsid w:val="5E96232F"/>
    <w:rsid w:val="5F13397F"/>
    <w:rsid w:val="5F4571B2"/>
    <w:rsid w:val="5F4F2373"/>
    <w:rsid w:val="5F6A078D"/>
    <w:rsid w:val="5F93061C"/>
    <w:rsid w:val="5F9A7BFD"/>
    <w:rsid w:val="5FA23A48"/>
    <w:rsid w:val="5FB36CBE"/>
    <w:rsid w:val="5FC627A0"/>
    <w:rsid w:val="5FD076A0"/>
    <w:rsid w:val="5FD07ABA"/>
    <w:rsid w:val="5FED36FB"/>
    <w:rsid w:val="60561D75"/>
    <w:rsid w:val="606F72DB"/>
    <w:rsid w:val="60967D57"/>
    <w:rsid w:val="60BC5E8F"/>
    <w:rsid w:val="60C170FF"/>
    <w:rsid w:val="60CC0666"/>
    <w:rsid w:val="610E27AB"/>
    <w:rsid w:val="611511C3"/>
    <w:rsid w:val="61393910"/>
    <w:rsid w:val="614F1476"/>
    <w:rsid w:val="61710A64"/>
    <w:rsid w:val="61750921"/>
    <w:rsid w:val="61D84352"/>
    <w:rsid w:val="61DA4AD9"/>
    <w:rsid w:val="61F335F4"/>
    <w:rsid w:val="622F0AD0"/>
    <w:rsid w:val="623D3E1F"/>
    <w:rsid w:val="625C79BA"/>
    <w:rsid w:val="62626313"/>
    <w:rsid w:val="629D4803"/>
    <w:rsid w:val="62AE498D"/>
    <w:rsid w:val="62C236F2"/>
    <w:rsid w:val="62ED1A72"/>
    <w:rsid w:val="637F5A87"/>
    <w:rsid w:val="638048A2"/>
    <w:rsid w:val="638A2399"/>
    <w:rsid w:val="63A454EE"/>
    <w:rsid w:val="63D57455"/>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01643"/>
    <w:rsid w:val="658C2053"/>
    <w:rsid w:val="65EB11B2"/>
    <w:rsid w:val="66576847"/>
    <w:rsid w:val="66672543"/>
    <w:rsid w:val="6683497C"/>
    <w:rsid w:val="669B2BD8"/>
    <w:rsid w:val="66B21CD0"/>
    <w:rsid w:val="66CD13E8"/>
    <w:rsid w:val="66E872A7"/>
    <w:rsid w:val="676E5CC7"/>
    <w:rsid w:val="67E14BAB"/>
    <w:rsid w:val="67EE0AE5"/>
    <w:rsid w:val="67F71E56"/>
    <w:rsid w:val="683A3D2B"/>
    <w:rsid w:val="684C44B3"/>
    <w:rsid w:val="68880F3A"/>
    <w:rsid w:val="690F1726"/>
    <w:rsid w:val="691922CA"/>
    <w:rsid w:val="6942765C"/>
    <w:rsid w:val="69594684"/>
    <w:rsid w:val="696E0130"/>
    <w:rsid w:val="69D8608D"/>
    <w:rsid w:val="69EC54F9"/>
    <w:rsid w:val="69F50851"/>
    <w:rsid w:val="6A260A0B"/>
    <w:rsid w:val="6A2D5CB0"/>
    <w:rsid w:val="6A4D2110"/>
    <w:rsid w:val="6A663992"/>
    <w:rsid w:val="6A7D0A56"/>
    <w:rsid w:val="6AB10CF8"/>
    <w:rsid w:val="6ABA6C3B"/>
    <w:rsid w:val="6B0A032C"/>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FE27E3"/>
    <w:rsid w:val="6D274D94"/>
    <w:rsid w:val="6D3E606B"/>
    <w:rsid w:val="6D8C026B"/>
    <w:rsid w:val="6D955447"/>
    <w:rsid w:val="6D9E0D2D"/>
    <w:rsid w:val="6D9E2EF6"/>
    <w:rsid w:val="6DAD3879"/>
    <w:rsid w:val="6DD01AB0"/>
    <w:rsid w:val="6DD16EDF"/>
    <w:rsid w:val="6DD857F0"/>
    <w:rsid w:val="6DE94229"/>
    <w:rsid w:val="6DEB139F"/>
    <w:rsid w:val="6DF350A8"/>
    <w:rsid w:val="6E160D96"/>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477770"/>
    <w:rsid w:val="725956F5"/>
    <w:rsid w:val="72771820"/>
    <w:rsid w:val="72775B5D"/>
    <w:rsid w:val="72E15E16"/>
    <w:rsid w:val="72E163D5"/>
    <w:rsid w:val="73010267"/>
    <w:rsid w:val="730651BF"/>
    <w:rsid w:val="732C1100"/>
    <w:rsid w:val="73400A3E"/>
    <w:rsid w:val="734D2E7F"/>
    <w:rsid w:val="735D7E91"/>
    <w:rsid w:val="737A5923"/>
    <w:rsid w:val="7395275D"/>
    <w:rsid w:val="73CF6471"/>
    <w:rsid w:val="73F118A1"/>
    <w:rsid w:val="748A428C"/>
    <w:rsid w:val="74956EB9"/>
    <w:rsid w:val="7496678D"/>
    <w:rsid w:val="749E5641"/>
    <w:rsid w:val="74C0380A"/>
    <w:rsid w:val="74EE7509"/>
    <w:rsid w:val="751540E3"/>
    <w:rsid w:val="75157FF9"/>
    <w:rsid w:val="757762DF"/>
    <w:rsid w:val="75D91027"/>
    <w:rsid w:val="76085468"/>
    <w:rsid w:val="76183CDA"/>
    <w:rsid w:val="764861AD"/>
    <w:rsid w:val="764C0E19"/>
    <w:rsid w:val="764F753B"/>
    <w:rsid w:val="76570D9E"/>
    <w:rsid w:val="765A1D4D"/>
    <w:rsid w:val="766308F1"/>
    <w:rsid w:val="76A07D97"/>
    <w:rsid w:val="76B55A6D"/>
    <w:rsid w:val="772B58B2"/>
    <w:rsid w:val="772F009D"/>
    <w:rsid w:val="777E3905"/>
    <w:rsid w:val="777F6544"/>
    <w:rsid w:val="77813724"/>
    <w:rsid w:val="77822AD2"/>
    <w:rsid w:val="779A33A8"/>
    <w:rsid w:val="77A423CF"/>
    <w:rsid w:val="77AF64E3"/>
    <w:rsid w:val="78263FA6"/>
    <w:rsid w:val="783E7867"/>
    <w:rsid w:val="7846297D"/>
    <w:rsid w:val="7859644F"/>
    <w:rsid w:val="789254BD"/>
    <w:rsid w:val="78941235"/>
    <w:rsid w:val="78B13B95"/>
    <w:rsid w:val="78E40FA3"/>
    <w:rsid w:val="791E0B39"/>
    <w:rsid w:val="79426EE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BE07EB"/>
    <w:rsid w:val="7AC3206E"/>
    <w:rsid w:val="7AC51215"/>
    <w:rsid w:val="7AD149C3"/>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885555"/>
    <w:rsid w:val="7CAA6238"/>
    <w:rsid w:val="7CFE65CC"/>
    <w:rsid w:val="7D085F7C"/>
    <w:rsid w:val="7D0C3A90"/>
    <w:rsid w:val="7D404FB3"/>
    <w:rsid w:val="7D8C349D"/>
    <w:rsid w:val="7D8C697F"/>
    <w:rsid w:val="7DA02855"/>
    <w:rsid w:val="7DC73E5B"/>
    <w:rsid w:val="7DC73F51"/>
    <w:rsid w:val="7DE70059"/>
    <w:rsid w:val="7DF32EA2"/>
    <w:rsid w:val="7E0B1DFF"/>
    <w:rsid w:val="7E134C71"/>
    <w:rsid w:val="7E2352CD"/>
    <w:rsid w:val="7E2A3C98"/>
    <w:rsid w:val="7E5043EB"/>
    <w:rsid w:val="7E604231"/>
    <w:rsid w:val="7E775881"/>
    <w:rsid w:val="7EA61CC2"/>
    <w:rsid w:val="7EB34E00"/>
    <w:rsid w:val="7EE23E9C"/>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7278</Words>
  <Characters>7909</Characters>
  <Lines>1</Lines>
  <Paragraphs>1</Paragraphs>
  <TotalTime>0</TotalTime>
  <ScaleCrop>false</ScaleCrop>
  <LinksUpToDate>false</LinksUpToDate>
  <CharactersWithSpaces>8196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2025-06-15T02:39:00Z</cp:lastPrinted>
  <dcterms:modified xsi:type="dcterms:W3CDTF">2025-06-26T07:35:33Z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975AD2E2039B4CFE86D6FCFBEA7C02F1_13</vt:lpwstr>
  </property>
  <property fmtid="{D5CDD505-2E9C-101B-9397-08002B2CF9AE}" pid="4" name="KSOTemplateDocerSaveRecord">
    <vt:lpwstr>eyJoZGlkIjoiYjRiZjY4NmVlYjljNTAxY2NhOTE0OGE1NDhhZDI0N2YiLCJ1c2VySWQiOiIyNTczNjc5NzcifQ==</vt:lpwstr>
  </property>
</Properties>
</file>