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F769">
      <w:pPr>
        <w:pStyle w:val="8"/>
        <w:jc w:val="center"/>
        <w:rPr>
          <w:rFonts w:hint="eastAsia" w:ascii="方正小标宋简体" w:hAnsi="方正小标宋简体" w:eastAsia="方正小标宋简体" w:cs="方正小标宋简体"/>
          <w:color w:val="auto"/>
          <w:w w:val="95"/>
          <w:sz w:val="44"/>
          <w:szCs w:val="44"/>
          <w:lang w:eastAsia="zh-CN"/>
        </w:rPr>
      </w:pPr>
      <w:r>
        <w:rPr>
          <w:rFonts w:hint="eastAsia" w:ascii="方正小标宋简体" w:hAnsi="方正小标宋简体" w:eastAsia="方正小标宋简体" w:cs="方正小标宋简体"/>
          <w:color w:val="auto"/>
          <w:w w:val="95"/>
          <w:sz w:val="44"/>
          <w:szCs w:val="44"/>
          <w:lang w:eastAsia="zh-CN"/>
        </w:rPr>
        <w:t>柯家村矿区及深加工产业园廊桥外罩工程</w:t>
      </w:r>
    </w:p>
    <w:p w14:paraId="22A2312A">
      <w:pPr>
        <w:pStyle w:val="8"/>
        <w:jc w:val="center"/>
        <w:rPr>
          <w:rFonts w:hint="eastAsia" w:ascii="方正小标宋简体" w:hAnsi="方正小标宋简体" w:eastAsia="方正小标宋简体" w:cs="方正小标宋简体"/>
          <w:color w:val="auto"/>
          <w:lang w:eastAsia="zh-CN"/>
        </w:rPr>
      </w:pPr>
      <w:r>
        <w:rPr>
          <w:rFonts w:hint="eastAsia" w:ascii="方正小标宋简体" w:hAnsi="方正小标宋简体" w:eastAsia="方正小标宋简体" w:cs="方正小标宋简体"/>
          <w:color w:val="auto"/>
          <w:w w:val="95"/>
          <w:sz w:val="44"/>
          <w:szCs w:val="44"/>
          <w:lang w:eastAsia="zh-CN"/>
        </w:rPr>
        <w:t>岩棉复合板、隔音板采购项目</w:t>
      </w:r>
    </w:p>
    <w:p w14:paraId="3441B4D6">
      <w:pPr>
        <w:rPr>
          <w:color w:val="auto"/>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auto"/>
          <w:sz w:val="32"/>
          <w:szCs w:val="32"/>
          <w:highlight w:val="none"/>
          <w:u w:val="single"/>
        </w:rPr>
        <w:t xml:space="preserve"> 202</w:t>
      </w:r>
      <w:r>
        <w:rPr>
          <w:rFonts w:hint="eastAsia" w:ascii="Times New Roman" w:hAnsi="Times New Roman" w:eastAsia="黑体" w:cs="Times New Roman"/>
          <w:color w:val="auto"/>
          <w:sz w:val="32"/>
          <w:szCs w:val="32"/>
          <w:highlight w:val="none"/>
          <w:u w:val="single"/>
          <w:lang w:val="en-US" w:eastAsia="zh-CN"/>
        </w:rPr>
        <w:t>5</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年</w:t>
      </w:r>
      <w:r>
        <w:rPr>
          <w:rFonts w:ascii="Times New Roman" w:hAnsi="Times New Roman" w:eastAsia="黑体" w:cs="Times New Roman"/>
          <w:color w:val="auto"/>
          <w:sz w:val="32"/>
          <w:szCs w:val="32"/>
          <w:highlight w:val="none"/>
          <w:u w:val="single"/>
        </w:rPr>
        <w:t xml:space="preserve"> </w:t>
      </w:r>
      <w:r>
        <w:rPr>
          <w:rFonts w:hint="eastAsia" w:ascii="Times New Roman" w:hAnsi="Times New Roman" w:eastAsia="黑体" w:cs="Times New Roman"/>
          <w:color w:val="auto"/>
          <w:sz w:val="32"/>
          <w:szCs w:val="32"/>
          <w:highlight w:val="none"/>
          <w:u w:val="single"/>
          <w:lang w:val="en-US" w:eastAsia="zh-CN"/>
        </w:rPr>
        <w:t>7</w:t>
      </w:r>
      <w:r>
        <w:rPr>
          <w:rFonts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rPr>
        <w:id w:val="147468455"/>
        <w15:color w:val="DBDBDB"/>
        <w:docPartObj>
          <w:docPartGallery w:val="Table of Contents"/>
          <w:docPartUnique/>
        </w:docPartObj>
      </w:sdtPr>
      <w:sdtEndPr>
        <w:rPr>
          <w:rFonts w:ascii="宋体" w:hAnsi="宋体" w:eastAsia="宋体"/>
          <w:color w:val="auto"/>
        </w:rPr>
      </w:sdtEndPr>
      <w:sdtContent>
        <w:p w14:paraId="51EC9A52">
          <w:pPr>
            <w:jc w:val="center"/>
            <w:rPr>
              <w:color w:val="auto"/>
            </w:rPr>
          </w:pPr>
          <w:r>
            <w:rPr>
              <w:rFonts w:ascii="宋体" w:hAnsi="宋体" w:eastAsia="宋体"/>
              <w:color w:val="auto"/>
            </w:rPr>
            <w:t>目录</w:t>
          </w:r>
        </w:p>
        <w:p w14:paraId="4865175A">
          <w:pPr>
            <w:pStyle w:val="14"/>
            <w:tabs>
              <w:tab w:val="right" w:leader="dot" w:pos="8312"/>
            </w:tabs>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rPr>
            <w:instrText xml:space="preserve"> HYPERLINK \l _Toc16577 </w:instrText>
          </w:r>
          <w:r>
            <w:rPr>
              <w:rFonts w:ascii="宋体" w:hAnsi="宋体" w:eastAsia="宋体"/>
            </w:rPr>
            <w:fldChar w:fldCharType="separate"/>
          </w:r>
          <w:r>
            <w:rPr>
              <w:rFonts w:hint="eastAsia" w:ascii="Times New Roman" w:hAnsi="Times New Roman" w:eastAsia="宋体" w:cs="Times New Roman"/>
              <w:bCs/>
              <w:kern w:val="44"/>
              <w:szCs w:val="44"/>
              <w:lang w:val="en-US" w:eastAsia="zh-CN" w:bidi="ar-SA"/>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_Toc16577 \h </w:instrText>
          </w:r>
          <w:r>
            <w:fldChar w:fldCharType="separate"/>
          </w:r>
          <w:r>
            <w:t>3</w:t>
          </w:r>
          <w:r>
            <w:fldChar w:fldCharType="end"/>
          </w:r>
          <w:r>
            <w:rPr>
              <w:rFonts w:ascii="宋体" w:hAnsi="宋体" w:eastAsia="宋体"/>
              <w:color w:val="auto"/>
            </w:rPr>
            <w:fldChar w:fldCharType="end"/>
          </w:r>
        </w:p>
        <w:p w14:paraId="2A5BB6DF">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_Toc12836 </w:instrText>
          </w:r>
          <w:r>
            <w:rPr>
              <w:rFonts w:ascii="宋体" w:hAnsi="宋体" w:eastAsia="宋体"/>
            </w:rPr>
            <w:fldChar w:fldCharType="separate"/>
          </w:r>
          <w:r>
            <w:rPr>
              <w:rFonts w:hint="eastAsia" w:ascii="Times New Roman" w:hAnsi="Times New Roman" w:eastAsia="宋体" w:cs="Times New Roman"/>
              <w:bCs/>
              <w:kern w:val="44"/>
              <w:szCs w:val="44"/>
              <w:lang w:val="en-US" w:eastAsia="zh-CN" w:bidi="ar-SA"/>
            </w:rPr>
            <w:t xml:space="preserve">第二章 </w:t>
          </w:r>
          <w:r>
            <w:rPr>
              <w:rFonts w:ascii="Times New Roman" w:hAnsi="Times New Roman" w:eastAsia="宋体" w:cs="Times New Roman"/>
            </w:rPr>
            <w:t>供应商须知</w:t>
          </w:r>
          <w:r>
            <w:tab/>
          </w:r>
          <w:r>
            <w:fldChar w:fldCharType="begin"/>
          </w:r>
          <w:r>
            <w:instrText xml:space="preserve"> PAGEREF _Toc12836 \h </w:instrText>
          </w:r>
          <w:r>
            <w:fldChar w:fldCharType="separate"/>
          </w:r>
          <w:r>
            <w:t>7</w:t>
          </w:r>
          <w:r>
            <w:fldChar w:fldCharType="end"/>
          </w:r>
          <w:r>
            <w:rPr>
              <w:rFonts w:ascii="宋体" w:hAnsi="宋体" w:eastAsia="宋体"/>
              <w:color w:val="auto"/>
            </w:rPr>
            <w:fldChar w:fldCharType="end"/>
          </w:r>
        </w:p>
        <w:p w14:paraId="6FB2F34A">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_Toc31920 </w:instrText>
          </w:r>
          <w:r>
            <w:rPr>
              <w:rFonts w:ascii="宋体" w:hAnsi="宋体" w:eastAsia="宋体"/>
            </w:rPr>
            <w:fldChar w:fldCharType="separate"/>
          </w:r>
          <w:r>
            <w:rPr>
              <w:rFonts w:hint="eastAsia" w:ascii="Times New Roman" w:hAnsi="Times New Roman" w:eastAsia="宋体" w:cs="Times New Roman"/>
              <w:bCs/>
              <w:kern w:val="44"/>
              <w:szCs w:val="44"/>
              <w:lang w:val="en-US" w:eastAsia="zh-CN" w:bidi="ar-SA"/>
            </w:rPr>
            <w:t xml:space="preserve">第三章 </w:t>
          </w:r>
          <w:r>
            <w:rPr>
              <w:rFonts w:ascii="Times New Roman" w:hAnsi="Times New Roman" w:eastAsia="宋体" w:cs="Times New Roman"/>
            </w:rPr>
            <w:t>评审办法</w:t>
          </w:r>
          <w:r>
            <w:tab/>
          </w:r>
          <w:r>
            <w:fldChar w:fldCharType="begin"/>
          </w:r>
          <w:r>
            <w:instrText xml:space="preserve"> PAGEREF _Toc31920 \h </w:instrText>
          </w:r>
          <w:r>
            <w:fldChar w:fldCharType="separate"/>
          </w:r>
          <w:r>
            <w:t>17</w:t>
          </w:r>
          <w:r>
            <w:fldChar w:fldCharType="end"/>
          </w:r>
          <w:r>
            <w:rPr>
              <w:rFonts w:ascii="宋体" w:hAnsi="宋体" w:eastAsia="宋体"/>
              <w:color w:val="auto"/>
            </w:rPr>
            <w:fldChar w:fldCharType="end"/>
          </w:r>
        </w:p>
        <w:p w14:paraId="1128E92A">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_Toc9695 </w:instrText>
          </w:r>
          <w:r>
            <w:rPr>
              <w:rFonts w:ascii="宋体" w:hAnsi="宋体" w:eastAsia="宋体"/>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_Toc9695 \h </w:instrText>
          </w:r>
          <w:r>
            <w:fldChar w:fldCharType="separate"/>
          </w:r>
          <w:r>
            <w:t>24</w:t>
          </w:r>
          <w:r>
            <w:fldChar w:fldCharType="end"/>
          </w:r>
          <w:r>
            <w:rPr>
              <w:rFonts w:ascii="宋体" w:hAnsi="宋体" w:eastAsia="宋体"/>
              <w:color w:val="auto"/>
            </w:rPr>
            <w:fldChar w:fldCharType="end"/>
          </w:r>
        </w:p>
        <w:p w14:paraId="649E686D">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_Toc8460 </w:instrText>
          </w:r>
          <w:r>
            <w:rPr>
              <w:rFonts w:ascii="宋体" w:hAnsi="宋体" w:eastAsia="宋体"/>
            </w:rPr>
            <w:fldChar w:fldCharType="separate"/>
          </w:r>
          <w:r>
            <w:rPr>
              <w:rFonts w:hint="eastAsia" w:ascii="Times New Roman" w:hAnsi="Times New Roman" w:eastAsia="宋体" w:cs="Times New Roman"/>
              <w:bCs/>
              <w:kern w:val="44"/>
              <w:szCs w:val="44"/>
              <w:lang w:val="en-US" w:eastAsia="zh-CN" w:bidi="ar-SA"/>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_Toc8460 \h </w:instrText>
          </w:r>
          <w:r>
            <w:fldChar w:fldCharType="separate"/>
          </w:r>
          <w:r>
            <w:t>38</w:t>
          </w:r>
          <w:r>
            <w:fldChar w:fldCharType="end"/>
          </w:r>
          <w:r>
            <w:rPr>
              <w:rFonts w:ascii="宋体" w:hAnsi="宋体" w:eastAsia="宋体"/>
              <w:color w:val="auto"/>
            </w:rPr>
            <w:fldChar w:fldCharType="end"/>
          </w:r>
        </w:p>
        <w:p w14:paraId="360013E9">
          <w:pPr>
            <w:pStyle w:val="14"/>
            <w:tabs>
              <w:tab w:val="right" w:leader="dot" w:pos="8312"/>
            </w:tabs>
          </w:pPr>
          <w:r>
            <w:rPr>
              <w:rFonts w:ascii="宋体" w:hAnsi="宋体" w:eastAsia="宋体"/>
              <w:color w:val="auto"/>
            </w:rPr>
            <w:fldChar w:fldCharType="begin"/>
          </w:r>
          <w:r>
            <w:rPr>
              <w:rFonts w:ascii="宋体" w:hAnsi="宋体" w:eastAsia="宋体"/>
            </w:rPr>
            <w:instrText xml:space="preserve"> HYPERLINK \l _Toc22474 </w:instrText>
          </w:r>
          <w:r>
            <w:rPr>
              <w:rFonts w:ascii="宋体" w:hAnsi="宋体" w:eastAsia="宋体"/>
            </w:rPr>
            <w:fldChar w:fldCharType="separate"/>
          </w:r>
          <w:r>
            <w:rPr>
              <w:rFonts w:hint="eastAsia" w:ascii="Times New Roman" w:hAnsi="Times New Roman" w:eastAsia="宋体" w:cs="Times New Roman"/>
            </w:rPr>
            <w:t>第六章 响应文件格式</w:t>
          </w:r>
          <w:r>
            <w:tab/>
          </w:r>
          <w:r>
            <w:fldChar w:fldCharType="begin"/>
          </w:r>
          <w:r>
            <w:instrText xml:space="preserve"> PAGEREF _Toc22474 \h </w:instrText>
          </w:r>
          <w:r>
            <w:fldChar w:fldCharType="separate"/>
          </w:r>
          <w:r>
            <w:t>41</w:t>
          </w:r>
          <w: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bookmarkStart w:id="159" w:name="_GoBack"/>
      <w:bookmarkEnd w:id="159"/>
    </w:p>
    <w:p w14:paraId="6FE8859B">
      <w:pPr>
        <w:pStyle w:val="2"/>
        <w:numPr>
          <w:ilvl w:val="0"/>
          <w:numId w:val="0"/>
        </w:numPr>
        <w:spacing w:before="312" w:after="312"/>
        <w:ind w:left="0" w:leftChars="0" w:firstLine="0" w:firstLineChars="0"/>
        <w:rPr>
          <w:rFonts w:ascii="Times New Roman" w:hAnsi="Times New Roman" w:eastAsia="宋体" w:cs="Times New Roman"/>
          <w:color w:val="auto"/>
        </w:rPr>
      </w:pPr>
      <w:bookmarkStart w:id="0" w:name="_Toc16577"/>
      <w:r>
        <w:rPr>
          <w:rFonts w:hint="eastAsia" w:ascii="Times New Roman" w:hAnsi="Times New Roman" w:eastAsia="宋体" w:cs="Times New Roman"/>
          <w:b/>
          <w:bCs/>
          <w:color w:val="auto"/>
          <w:kern w:val="44"/>
          <w:sz w:val="36"/>
          <w:szCs w:val="44"/>
          <w:lang w:val="en-US" w:eastAsia="zh-CN" w:bidi="ar-SA"/>
        </w:rPr>
        <w:t xml:space="preserve">第一章 </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13871"/>
      <w:bookmarkStart w:id="2" w:name="_Toc6496_WPSOffice_Level2"/>
      <w:bookmarkStart w:id="3" w:name="_Toc24354_WPSOffice_Level2"/>
      <w:bookmarkStart w:id="4" w:name="_Toc525632585"/>
      <w:bookmarkStart w:id="5" w:name="_Toc12765"/>
      <w:bookmarkStart w:id="6" w:name="_Toc4489_WPSOffice_Level2"/>
      <w:bookmarkStart w:id="7" w:name="_Toc10395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color w:val="auto"/>
          <w:szCs w:val="21"/>
          <w:highlight w:val="none"/>
          <w:u w:val="single"/>
          <w:lang w:eastAsia="zh-CN"/>
        </w:rPr>
        <w:t>柯家村矿区及深加工产业园廊桥外罩工程岩棉复合板、隔音板采购项目。</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color w:val="auto"/>
          <w:szCs w:val="21"/>
          <w:u w:val="single"/>
          <w:lang w:eastAsia="zh-CN"/>
        </w:rPr>
        <w:t>东至县一体化项目公用运输廊道土建工程（非隧道部分）施工，主要建设内容为矿区出场道路工程、桥涵工程、廊道桥工程、转运站站房工程。东至廊道主线起点为洋湖镇柯家村矿二破加工区，由东向西分别上跨S234、G530、铜九铁路、新老 G236、安东高速、G206，终点为东流镇产业园区。码头廊道起点为东流镇产业园区，由东向西分别上跨老 G206、狭阳湖，终点为东流镇码头</w:t>
      </w:r>
      <w:r>
        <w:rPr>
          <w:rFonts w:hint="eastAsia" w:ascii="宋体" w:hAnsi="宋体" w:eastAsia="宋体" w:cs="宋体"/>
          <w:color w:val="auto"/>
          <w:szCs w:val="21"/>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0274"/>
      <w:bookmarkStart w:id="9" w:name="_Toc8128_WPSOffice_Level2"/>
      <w:bookmarkStart w:id="10" w:name="_Toc18367_WPSOffice_Level2"/>
      <w:bookmarkStart w:id="11" w:name="_Toc17858_WPSOffice_Level2"/>
      <w:bookmarkStart w:id="12" w:name="_Toc18453"/>
      <w:bookmarkStart w:id="13" w:name="_Toc23266_WPSOffice_Level2"/>
      <w:bookmarkStart w:id="14" w:name="_Toc525632586"/>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1622_WPSOffice_Level2"/>
      <w:bookmarkStart w:id="17" w:name="_Toc6388"/>
      <w:bookmarkStart w:id="18" w:name="_Toc22379_WPSOffice_Level2"/>
      <w:bookmarkStart w:id="19" w:name="_Toc31673_WPSOffice_Level2"/>
      <w:bookmarkStart w:id="20" w:name="_Toc525632587"/>
      <w:bookmarkStart w:id="21" w:name="_Toc3714"/>
      <w:bookmarkStart w:id="22" w:name="_Toc29516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无。</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w:t>
      </w:r>
      <w:r>
        <w:rPr>
          <w:rFonts w:hint="eastAsia" w:asciiTheme="minorEastAsia" w:hAnsiTheme="minorEastAsia" w:cstheme="minorEastAsia"/>
          <w:color w:val="auto"/>
          <w:szCs w:val="22"/>
          <w:highlight w:val="none"/>
          <w:u w:val="single"/>
          <w:lang w:val="en-US" w:eastAsia="zh-CN"/>
        </w:rPr>
        <w:t>1288</w:t>
      </w:r>
      <w:r>
        <w:rPr>
          <w:rFonts w:hint="eastAsia" w:asciiTheme="minorEastAsia" w:hAnsiTheme="minorEastAsia" w:eastAsiaTheme="minorEastAsia" w:cstheme="minorEastAsia"/>
          <w:color w:val="auto"/>
          <w:szCs w:val="22"/>
          <w:highlight w:val="none"/>
          <w:u w:val="single"/>
          <w:lang w:val="en-US" w:eastAsia="zh-CN"/>
        </w:rPr>
        <w:t>万</w:t>
      </w:r>
      <w:r>
        <w:rPr>
          <w:rFonts w:hint="eastAsia" w:ascii="Times New Roman" w:hAnsi="Times New Roman" w:cs="Times New Roman"/>
          <w:color w:val="auto"/>
          <w:szCs w:val="22"/>
          <w:highlight w:val="none"/>
          <w:u w:val="single"/>
          <w:lang w:val="en-US" w:eastAsia="zh-CN"/>
        </w:rPr>
        <w:t>元，各分项报价见报价清单，响应单位总报价及单项报价若超过控制价，投标做无效标处理。</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在接到甲方第一批下单通知后，5日内材料到场，后期在接到甲方下单通知后，7日内材料到场（具体根据实际情况安排进度）。</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交货地位暂定为：东至县尧渡镇长岭程村、东至县永丰村村民委员会东北150米、东至县尧渡镇西山洞。公用运输廊道的起点起点位于东至县柯家村矿区二破加工区，经神龙山转运站，到位于东流镇建材加工产业园区的受料中间料仓,再经产业园至终点港口码头。</w:t>
      </w:r>
      <w:r>
        <w:rPr>
          <w:rFonts w:hint="eastAsia" w:ascii="宋体" w:hAnsi="宋体" w:eastAsia="宋体" w:cs="宋体"/>
          <w:color w:val="auto"/>
          <w:kern w:val="0"/>
          <w:sz w:val="21"/>
          <w:szCs w:val="21"/>
          <w:highlight w:val="none"/>
          <w:u w:val="single"/>
          <w:lang w:val="en-US" w:eastAsia="zh-CN"/>
        </w:rPr>
        <w:t>具体详细交货地点根据实际情况安排（本项目为车板交货，不含货物卸载）</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4751"/>
      <w:bookmarkStart w:id="26" w:name="_Toc29452_WPSOffice_Level2"/>
      <w:bookmarkStart w:id="27" w:name="_Toc2996_WPSOffice_Level2"/>
      <w:bookmarkStart w:id="28" w:name="_Toc525632588"/>
      <w:bookmarkStart w:id="29" w:name="_Toc4109_WPSOffice_Level2"/>
      <w:bookmarkStart w:id="30" w:name="_Toc25666_WPSOffice_Level2"/>
      <w:bookmarkStart w:id="31" w:name="_Toc1994"/>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经销商/厂家参与询比的，应具备有生产或销售采购人所需材料的能力。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岩棉复合板或隔音板合</w:t>
      </w:r>
      <w:r>
        <w:rPr>
          <w:rFonts w:hint="default" w:ascii="Times New Roman" w:hAnsi="Times New Roman" w:cs="Times New Roman" w:eastAsiaTheme="minorEastAsia"/>
          <w:b w:val="0"/>
          <w:bCs w:val="0"/>
          <w:color w:val="auto"/>
          <w:szCs w:val="21"/>
          <w:highlight w:val="none"/>
          <w:u w:val="single"/>
          <w:lang w:val="en-US" w:eastAsia="zh-CN"/>
        </w:rPr>
        <w:t>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highlight w:val="none"/>
        </w:rPr>
      </w:pPr>
      <w:r>
        <w:rPr>
          <w:rFonts w:hint="eastAsia"/>
          <w:color w:val="auto"/>
          <w:highlight w:val="none"/>
        </w:rPr>
        <w:t>业绩证明材料要求：</w:t>
      </w:r>
    </w:p>
    <w:p w14:paraId="2B7648B6">
      <w:pPr>
        <w:pStyle w:val="7"/>
        <w:spacing w:after="0" w:line="440" w:lineRule="exact"/>
        <w:ind w:firstLine="420" w:firstLineChars="200"/>
        <w:rPr>
          <w:color w:val="auto"/>
          <w:highlight w:val="none"/>
        </w:rPr>
      </w:pPr>
      <w:r>
        <w:rPr>
          <w:rFonts w:hint="eastAsia"/>
          <w:color w:val="auto"/>
          <w:highlight w:val="none"/>
        </w:rPr>
        <w:t xml:space="preserve">①合同协议书扫描件；                                                                                                                                                                                                                                                                                                                                                                                                                                                                                                                                                                                                                                                                                                                                                                                                                                                                                                                                                                                                                                                                                                                                                                                                                                                                                                                                                                                                                                                                                                                                                                                                                                                                                                                                                                                                                                                                                                                                                                                                                                                                                                                                                                          </w:t>
      </w:r>
    </w:p>
    <w:p w14:paraId="73D02590">
      <w:pPr>
        <w:pStyle w:val="7"/>
        <w:spacing w:after="0" w:line="440" w:lineRule="exact"/>
        <w:ind w:firstLine="420" w:firstLineChars="200"/>
        <w:rPr>
          <w:color w:val="auto"/>
        </w:rPr>
      </w:pPr>
      <w:r>
        <w:rPr>
          <w:rFonts w:hint="eastAsia"/>
          <w:color w:val="auto"/>
          <w:highlight w:val="none"/>
        </w:rPr>
        <w:t>②若合同</w:t>
      </w:r>
      <w:r>
        <w:rPr>
          <w:rFonts w:hint="eastAsia"/>
          <w:color w:val="auto"/>
        </w:rPr>
        <w:t>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在国家企业信用信息公示系统（http://www.gsxt.gov.cn）中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在“信用中国”网站（http://www.creditchina.gov.cn）中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color w:val="auto"/>
          <w:szCs w:val="22"/>
        </w:rPr>
      </w:pPr>
      <w:bookmarkStart w:id="32" w:name="_Toc726"/>
      <w:bookmarkStart w:id="33" w:name="_Toc525632589"/>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http://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525632591"/>
      <w:bookmarkStart w:id="35" w:name="_Toc22719"/>
      <w:r>
        <w:rPr>
          <w:rFonts w:hint="eastAsia" w:ascii="宋体" w:hAnsi="宋体" w:eastAsia="宋体" w:cs="宋体"/>
          <w:color w:val="auto"/>
          <w:kern w:val="0"/>
          <w:szCs w:val="21"/>
          <w:highlight w:val="none"/>
        </w:rPr>
        <w:t>响应文件递交的截止时间为</w:t>
      </w:r>
      <w:r>
        <w:rPr>
          <w:rFonts w:hint="eastAsia" w:ascii="宋体" w:hAnsi="宋体" w:eastAsia="宋体" w:cs="宋体"/>
          <w:b/>
          <w:bCs/>
          <w:color w:val="auto"/>
          <w:kern w:val="0"/>
          <w:szCs w:val="21"/>
          <w:highlight w:val="none"/>
          <w:u w:val="single"/>
        </w:rPr>
        <w:t xml:space="preserve"> 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rPr>
        <w:t>年</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rPr>
        <w:t>月</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rPr>
        <w:t>日</w:t>
      </w:r>
      <w:r>
        <w:rPr>
          <w:rFonts w:hint="eastAsia" w:ascii="宋体" w:hAnsi="宋体" w:eastAsia="宋体" w:cs="宋体"/>
          <w:b/>
          <w:bCs/>
          <w:color w:val="auto"/>
          <w:kern w:val="0"/>
          <w:szCs w:val="21"/>
          <w:highlight w:val="none"/>
          <w:u w:val="single"/>
          <w:lang w:val="en-US" w:eastAsia="zh-CN"/>
        </w:rPr>
        <w:t>14</w:t>
      </w:r>
      <w:r>
        <w:rPr>
          <w:rFonts w:hint="eastAsia" w:ascii="宋体" w:hAnsi="宋体" w:eastAsia="宋体" w:cs="宋体"/>
          <w:b/>
          <w:bCs/>
          <w:color w:val="auto"/>
          <w:kern w:val="0"/>
          <w:szCs w:val="21"/>
          <w:highlight w:val="none"/>
        </w:rPr>
        <w:t>时</w:t>
      </w:r>
      <w:r>
        <w:rPr>
          <w:rFonts w:hint="eastAsia" w:ascii="宋体" w:hAnsi="宋体" w:eastAsia="宋体" w:cs="宋体"/>
          <w:b/>
          <w:bCs/>
          <w:color w:val="auto"/>
          <w:kern w:val="0"/>
          <w:szCs w:val="21"/>
          <w:highlight w:val="none"/>
          <w:u w:val="single"/>
          <w:lang w:val="en-US" w:eastAsia="zh-CN"/>
        </w:rPr>
        <w:t>30</w:t>
      </w:r>
      <w:r>
        <w:rPr>
          <w:rFonts w:hint="eastAsia" w:ascii="宋体" w:hAnsi="宋体" w:eastAsia="宋体" w:cs="宋体"/>
          <w:b/>
          <w:bCs/>
          <w:color w:val="auto"/>
          <w:kern w:val="0"/>
          <w:szCs w:val="21"/>
          <w:highlight w:val="none"/>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本项目响应保证金：</w:t>
      </w:r>
      <w:r>
        <w:rPr>
          <w:rFonts w:hint="eastAsia" w:ascii="宋体" w:hAnsi="宋体" w:eastAsia="宋体" w:cs="宋体"/>
          <w:b/>
          <w:bCs/>
          <w:color w:val="auto"/>
          <w:szCs w:val="21"/>
          <w:highlight w:val="none"/>
          <w:u w:val="single"/>
          <w:lang w:val="en-US" w:eastAsia="zh-CN"/>
        </w:rPr>
        <w:t>5000</w:t>
      </w:r>
      <w:r>
        <w:rPr>
          <w:rFonts w:hint="eastAsia" w:ascii="宋体" w:hAnsi="宋体" w:eastAsia="宋体" w:cs="宋体"/>
          <w:b/>
          <w:bCs/>
          <w:color w:val="auto"/>
          <w:szCs w:val="21"/>
          <w:highlight w:val="none"/>
        </w:rPr>
        <w:t>元（大写：</w:t>
      </w:r>
      <w:r>
        <w:rPr>
          <w:rFonts w:hint="eastAsia" w:ascii="宋体" w:hAnsi="宋体" w:eastAsia="宋体" w:cs="宋体"/>
          <w:b/>
          <w:bCs/>
          <w:color w:val="auto"/>
          <w:szCs w:val="21"/>
          <w:highlight w:val="none"/>
          <w:lang w:val="en-US" w:eastAsia="zh-CN"/>
        </w:rPr>
        <w:t>伍仟元整</w:t>
      </w:r>
      <w:r>
        <w:rPr>
          <w:rFonts w:hint="eastAsia" w:ascii="宋体" w:hAnsi="宋体" w:eastAsia="宋体" w:cs="宋体"/>
          <w:b/>
          <w:bCs/>
          <w:color w:val="auto"/>
          <w:szCs w:val="21"/>
          <w:highlight w:val="none"/>
        </w:rPr>
        <w:t>）。</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none"/>
        </w:rPr>
      </w:pPr>
      <w:r>
        <w:rPr>
          <w:rFonts w:hint="eastAsia" w:ascii="宋体" w:hAnsi="宋体" w:cs="宋体"/>
          <w:b/>
          <w:color w:val="auto"/>
          <w:sz w:val="21"/>
          <w:szCs w:val="21"/>
          <w:highlight w:val="none"/>
          <w:lang w:bidi="ar"/>
        </w:rPr>
        <w:t>付款备注：</w:t>
      </w:r>
      <w:r>
        <w:rPr>
          <w:rFonts w:hint="eastAsia" w:ascii="宋体" w:hAnsi="宋体" w:cs="宋体"/>
          <w:b/>
          <w:color w:val="auto"/>
          <w:sz w:val="21"/>
          <w:szCs w:val="21"/>
          <w:highlight w:val="none"/>
          <w:lang w:val="en-US" w:eastAsia="zh-CN" w:bidi="ar"/>
        </w:rPr>
        <w:t>柯家村廊桥</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4AD0CDB6">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①响应保证金的到账截止时间：响应文件递交截止时间。</w:t>
      </w:r>
    </w:p>
    <w:p w14:paraId="558F3177">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②供应商基本账户汇入到上述账户，采购人不接受以个人名义或以现金形式提交的响应保证金。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w:t>
      </w:r>
      <w:r>
        <w:rPr>
          <w:rFonts w:hint="eastAsia" w:ascii="宋体" w:hAnsi="宋体" w:cs="宋体"/>
          <w:b/>
          <w:color w:val="auto"/>
          <w:sz w:val="21"/>
          <w:szCs w:val="21"/>
          <w:highlight w:val="yellow"/>
          <w:lang w:val="en-US" w:eastAsia="zh-CN" w:bidi="ar"/>
        </w:rPr>
        <w:t>中标公示后，在合同签订前，乙方需向甲方支付合同总价2%的履约保证金或提供合同总价5%的见索即付银行保函。</w:t>
      </w:r>
      <w:r>
        <w:rPr>
          <w:rFonts w:hint="eastAsia" w:ascii="宋体" w:hAnsi="宋体" w:eastAsia="宋体" w:cs="宋体"/>
          <w:color w:val="auto"/>
          <w:szCs w:val="21"/>
          <w:highlight w:val="yellow"/>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14943_WPSOffice_Level2"/>
      <w:bookmarkStart w:id="37" w:name="_Toc321_WPSOffice_Level2"/>
      <w:bookmarkStart w:id="38" w:name="_Toc28571_WPSOffice_Level2"/>
      <w:bookmarkStart w:id="39" w:name="_Toc525632592"/>
      <w:bookmarkStart w:id="40" w:name="_Toc8501"/>
      <w:bookmarkStart w:id="41" w:name="_Toc20572_WPSOffice_Level2"/>
      <w:bookmarkStart w:id="42" w:name="_Toc26829"/>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”（网址：http://www.ahjggroup.com）“招标公告”栏目中发布。</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numPr>
          <w:ilvl w:val="0"/>
          <w:numId w:val="0"/>
        </w:numPr>
        <w:spacing w:before="312" w:after="312"/>
        <w:ind w:left="0" w:leftChars="0" w:firstLine="0" w:firstLineChars="0"/>
        <w:rPr>
          <w:rFonts w:ascii="Times New Roman" w:hAnsi="Times New Roman" w:eastAsia="宋体" w:cs="Times New Roman"/>
          <w:color w:val="auto"/>
        </w:rPr>
      </w:pPr>
      <w:bookmarkStart w:id="43" w:name="_Toc12836"/>
      <w:r>
        <w:rPr>
          <w:rFonts w:hint="eastAsia" w:ascii="Times New Roman" w:hAnsi="Times New Roman" w:eastAsia="宋体" w:cs="Times New Roman"/>
          <w:b/>
          <w:bCs/>
          <w:color w:val="auto"/>
          <w:kern w:val="44"/>
          <w:sz w:val="36"/>
          <w:szCs w:val="44"/>
          <w:lang w:val="en-US" w:eastAsia="zh-CN" w:bidi="ar-SA"/>
        </w:rPr>
        <w:t xml:space="preserve">第二章 </w:t>
      </w:r>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26656928"/>
      <w:bookmarkStart w:id="45" w:name="_Toc29381_WPSOffice_Level2"/>
      <w:bookmarkStart w:id="46" w:name="_Toc16069"/>
      <w:bookmarkStart w:id="47" w:name="_Toc55466811"/>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采购公告/采购邀请书要求。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1.2.3</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1.2.4</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在报价文件密封袋内需用U盘放报价清单电子版一份（EXCEL版），放盖章版响应文件的扫描件一份（PDF版）；如启封发现上述资料未放齐的，视为形式评审不合格，取消资格。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（1）中标公示后，在合同签订前，乙方需向甲方支付合同总价2%的履约保证金或提供合同总价5%的见索即付银行保函。</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rPr>
              <w:t>投标人或其他利害关系人对评标结果有异议的，应以书面形式提出，异议材料应包括：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异常低价或不平衡报价，采购人有权做废标处理。</w:t>
            </w:r>
          </w:p>
        </w:tc>
      </w:tr>
      <w:tr w14:paraId="3792872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C1EA3D2">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highlight w:val="yellow"/>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拟中标人须在采购人通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lang w:val="en-US" w:eastAsia="zh-CN"/>
              </w:rPr>
              <w:t>5</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1）采购人有权终止中标候选人资格，并没收投标保证金；按候选人公示顺延成交人或重新采购。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3）采购人有权对拟中标人违约行为按照约定进行处罚。</w:t>
            </w:r>
          </w:p>
          <w:p w14:paraId="73DD6695">
            <w:pPr>
              <w:spacing w:line="480" w:lineRule="exact"/>
              <w:ind w:firstLine="420" w:firstLineChars="200"/>
              <w:rPr>
                <w:rFonts w:hint="eastAsia"/>
                <w:color w:val="auto"/>
              </w:rPr>
            </w:pPr>
            <w:r>
              <w:rPr>
                <w:rFonts w:hint="eastAsia"/>
                <w:color w:val="auto"/>
                <w:sz w:val="21"/>
                <w:szCs w:val="24"/>
                <w:highlight w:val="yellow"/>
              </w:rPr>
              <w:t>4）采购人有权将未完成的供货部分移交给第三方实施，供应商应无条件配合相关移交工作。</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FFD62E2">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49847FF3">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51FDF966">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14201207"/>
      <w:bookmarkStart w:id="50" w:name="_Toc26656938"/>
      <w:bookmarkStart w:id="51" w:name="_Toc9067720"/>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5C1BD1A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①</w:t>
            </w:r>
            <w:r>
              <w:rPr>
                <w:rFonts w:hint="eastAsia" w:ascii="宋体" w:hAnsi="宋体" w:cs="宋体"/>
                <w:color w:val="auto"/>
                <w:sz w:val="21"/>
                <w:szCs w:val="22"/>
                <w:highlight w:val="none"/>
                <w:u w:val="single"/>
              </w:rPr>
              <w:t xml:space="preserve">具备独立法人资格，持有有效的营业执照。 </w:t>
            </w:r>
            <w:r>
              <w:rPr>
                <w:rFonts w:hint="eastAsia" w:ascii="宋体" w:hAnsi="宋体" w:cs="宋体"/>
                <w:color w:val="auto"/>
                <w:sz w:val="21"/>
                <w:szCs w:val="22"/>
                <w:highlight w:val="none"/>
                <w:u w:val="single"/>
                <w:lang w:val="en-US" w:eastAsia="zh-CN"/>
              </w:rPr>
              <w:t xml:space="preserve">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宋体" w:hAnsi="宋体" w:cs="宋体"/>
                <w:color w:val="auto"/>
                <w:sz w:val="21"/>
                <w:szCs w:val="22"/>
                <w:highlight w:val="none"/>
                <w:u w:val="single"/>
              </w:rPr>
              <w:t>②</w:t>
            </w:r>
            <w:r>
              <w:rPr>
                <w:rFonts w:hint="eastAsia" w:ascii="宋体" w:hAnsi="宋体" w:cs="宋体"/>
                <w:color w:val="auto"/>
                <w:sz w:val="21"/>
                <w:szCs w:val="22"/>
                <w:highlight w:val="none"/>
                <w:u w:val="single"/>
                <w:lang w:eastAsia="zh-CN"/>
              </w:rPr>
              <w:t>经销商/厂家参与询比的，应具备有生产或销售采购人所需材料的能力。</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default" w:ascii="Times New Roman" w:hAnsi="Times New Roman" w:cs="Times New Roman" w:eastAsiaTheme="minorEastAsia"/>
                <w:b w:val="0"/>
                <w:bCs w:val="0"/>
                <w:color w:val="auto"/>
                <w:highlight w:val="none"/>
                <w:u w:val="single"/>
                <w:lang w:val="en-US" w:eastAsia="zh-CN"/>
              </w:rPr>
              <w:t>至少提供</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岩棉复合板或隔音板</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④如近年来，投标人法人机构发生合法变更或重组或法人名称变更时，应提供相关部门的合法批件扫描件或其他相关证明材料扫描件来证明其所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1.投标人、法定代表人近三年内无行贿犯罪行为。</w:t>
            </w:r>
          </w:p>
          <w:p w14:paraId="235C112B">
            <w:pPr>
              <w:spacing w:line="276" w:lineRule="auto"/>
              <w:ind w:firstLine="210" w:firstLineChars="100"/>
              <w:jc w:val="left"/>
              <w:rPr>
                <w:color w:val="auto"/>
              </w:rPr>
            </w:pPr>
            <w:r>
              <w:rPr>
                <w:rFonts w:hint="eastAsia"/>
                <w:color w:val="auto"/>
              </w:rPr>
              <w:t>2.投标人未被人民法院列入失信被执行人（以“信用中国”官网http://www.creditchina.gov.cn查询为准）。</w:t>
            </w:r>
          </w:p>
          <w:p w14:paraId="1E0B68F4">
            <w:pPr>
              <w:spacing w:line="276" w:lineRule="auto"/>
              <w:ind w:firstLine="210" w:firstLineChars="100"/>
              <w:jc w:val="left"/>
              <w:rPr>
                <w:color w:val="auto"/>
              </w:rPr>
            </w:pPr>
            <w:r>
              <w:rPr>
                <w:rFonts w:hint="eastAsia"/>
                <w:color w:val="auto"/>
              </w:rPr>
              <w:t>3投标人没有正受到责令停业，暂扣或吊销执照，或吊销资质证书。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5.没有在国家企业信用信息公示系统（http://www.gsxt.gov.cn）中被列入严重违法失信企业名单。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24A159E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8E521CB">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eastAsia="zh-CN"/>
        </w:rPr>
        <w:t>安徽交控建设工程集团有限公司</w:t>
      </w:r>
      <w:r>
        <w:rPr>
          <w:rFonts w:hint="eastAsia" w:ascii="Times New Roman" w:hAnsi="Times New Roman" w:cs="Times New Roman"/>
          <w:color w:val="auto"/>
        </w:rPr>
        <w:t>”官网平台联系采购人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094E5BD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6188B80C">
      <w:pPr>
        <w:spacing w:line="440" w:lineRule="exact"/>
        <w:ind w:firstLine="420" w:firstLineChars="200"/>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rPr>
        <w:t>开启商务技术文件</w:t>
      </w:r>
      <w:r>
        <w:rPr>
          <w:rFonts w:ascii="Times New Roman" w:hAnsi="Times New Roman" w:cs="Times New Roman"/>
          <w:bCs/>
          <w:color w:val="auto"/>
        </w:rPr>
        <w:t>；</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Times New Roman" w:hAnsi="Times New Roman" w:cs="Times New Roman"/>
          <w:color w:val="auto"/>
          <w:highlight w:val="none"/>
        </w:rPr>
        <w:t>中标公示后，在合同签订前，乙方需向甲方支付合同总价2%的履约保证金或提供合同总价5%的见索即付银行保函。</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中标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numPr>
          <w:ilvl w:val="0"/>
          <w:numId w:val="0"/>
        </w:numPr>
        <w:spacing w:before="312" w:after="312"/>
        <w:ind w:left="0" w:leftChars="0" w:firstLine="0" w:firstLineChars="0"/>
        <w:rPr>
          <w:rFonts w:ascii="Times New Roman" w:hAnsi="Times New Roman" w:eastAsia="宋体" w:cs="Times New Roman"/>
          <w:color w:val="auto"/>
        </w:rPr>
      </w:pPr>
      <w:bookmarkStart w:id="52" w:name="_Toc31920"/>
      <w:r>
        <w:rPr>
          <w:rFonts w:hint="eastAsia" w:ascii="Times New Roman" w:hAnsi="Times New Roman" w:eastAsia="宋体" w:cs="Times New Roman"/>
          <w:b/>
          <w:bCs/>
          <w:color w:val="auto"/>
          <w:kern w:val="44"/>
          <w:sz w:val="36"/>
          <w:szCs w:val="44"/>
          <w:lang w:val="en-US" w:eastAsia="zh-CN" w:bidi="ar-SA"/>
        </w:rPr>
        <w:t xml:space="preserve">第三章 </w:t>
      </w:r>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52042304"/>
      <w:bookmarkStart w:id="54" w:name="_Toc14847"/>
      <w:bookmarkStart w:id="55" w:name="_Toc152045528"/>
      <w:bookmarkStart w:id="56" w:name="_Toc3834"/>
      <w:bookmarkStart w:id="57" w:name="_Toc457482536"/>
      <w:bookmarkStart w:id="58" w:name="_Toc447808662"/>
      <w:bookmarkStart w:id="59" w:name="_Toc144974496"/>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（1）响应文件提供的合格业绩数量多的投标人优先；</w:t>
            </w:r>
          </w:p>
          <w:p w14:paraId="3ABDEA7B">
            <w:pPr>
              <w:spacing w:line="440" w:lineRule="exact"/>
              <w:rPr>
                <w:color w:val="auto"/>
              </w:rPr>
            </w:pPr>
            <w:r>
              <w:rPr>
                <w:rFonts w:hint="eastAsia" w:ascii="宋体" w:hAnsi="宋体" w:eastAsia="宋体" w:cs="宋体"/>
                <w:color w:val="auto"/>
                <w:szCs w:val="21"/>
              </w:rPr>
              <w:t>（2）递交响应文件时间早的投标人优先。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ascii="Times New Roman" w:hAnsi="Times New Roman" w:cs="Times New Roman"/>
                <w:b/>
                <w:color w:val="auto"/>
                <w:szCs w:val="21"/>
              </w:rPr>
            </w:pPr>
            <w:r>
              <w:rPr>
                <w:rFonts w:ascii="Times New Roman" w:hAnsi="Times New Roman" w:cs="Times New Roman"/>
                <w:color w:val="auto"/>
                <w:szCs w:val="21"/>
              </w:rPr>
              <w:t>2.2</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：以价格为主要因素确定成交人，即在全部满足前附表要求（资格评审和响应性评审）前提下，根据各家报价由低到高的顺序，依次推荐三名中标候选人。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如投标人的评标价低于评标价平均值的90%时，采购人可以在评标现场要求该投标人作出情况说明并提供相应降低工程造价的相关证明材料，参照附表1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1)针对异常低价承诺书请投标人合理考虑时间，可提前准备好降低工程造价的相关证明材料，以避免错过电子询标时间，造成的不良后果由投标人自行承担。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2)以下情形不得作为询标或报价文件中提供异常低价投标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我公司承诺没有招标文件约定的降低投标报价的禁止情形；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2.投标人在制作投标文件时该页可放置在报价文件-其他的资料中，或在评标委员会发询标函时作为附件提供。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9695"/>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
    <w:p w14:paraId="146204A8">
      <w:pPr>
        <w:rPr>
          <w:color w:val="auto"/>
        </w:rPr>
      </w:pPr>
    </w:p>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装车费（甲方负责卸货）、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车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44B1A86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BD697B2">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车板交货，并经甲方签收确认。甲方指定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458530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653F03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6037B8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2DBD8A5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16701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775DC5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72916F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1.甲方支付每批次订货价款的30%作为预付款；</w:t>
      </w:r>
    </w:p>
    <w:p w14:paraId="0E94541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2.每批次货到现场经甲方验收合格后，甲方支付至该批次货款价的90%；</w:t>
      </w:r>
    </w:p>
    <w:p w14:paraId="2C5F7B1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3.项目全部供货完成后半年内，甲方支付至结算价的97%；</w:t>
      </w:r>
    </w:p>
    <w:p w14:paraId="2F0471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4.剩余3%作为质保金，在缺陷责任期结束后，无质量问题一次性无息支付（供应商供货结束后开具质保金保函的，质保金可连同尾款一并付清）。</w:t>
      </w:r>
    </w:p>
    <w:p w14:paraId="3F62D81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00F784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6.中标公示后，在合同签订前，乙方需向甲方支付合同总价2%的履约保证金或提供合同总价5%的见索即付银行保函。。</w:t>
      </w:r>
    </w:p>
    <w:p w14:paraId="3F59AA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7.乙方提供符合采购人财务要求的国家税务局13%增值税专用发票后办理结算，发票需要做到“三流一致”，也即“货物、劳务及应税服务流”、“资金流”、“发票流”必须都是同一受票方。</w:t>
      </w: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06CF73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2B48763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457E7A3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14B0EF9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3AA4581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6E5237C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6A7964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300010E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4A0AF97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7BAE591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61931E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803E56E">
      <w:pPr>
        <w:rPr>
          <w:rFonts w:hint="eastAsia"/>
          <w:color w:val="auto"/>
          <w:highlight w:val="none"/>
          <w:lang w:val="en-US" w:eastAsia="zh-CN"/>
        </w:rPr>
      </w:pP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588CE37">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8F9A612">
      <w:pPr>
        <w:bidi w:val="0"/>
        <w:rPr>
          <w:rFonts w:hint="eastAsia"/>
          <w:color w:val="auto"/>
          <w:highlight w:val="none"/>
          <w:lang w:val="en-US" w:eastAsia="zh-CN"/>
        </w:rPr>
      </w:pPr>
    </w:p>
    <w:p w14:paraId="42CAA3C3">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54623170">
      <w:pPr>
        <w:bidi w:val="0"/>
        <w:rPr>
          <w:rFonts w:hint="eastAsia"/>
          <w:color w:val="auto"/>
          <w:highlight w:val="none"/>
          <w:lang w:val="en-US" w:eastAsia="zh-CN"/>
        </w:rPr>
      </w:pPr>
    </w:p>
    <w:p w14:paraId="33A2DBC1">
      <w:pPr>
        <w:bidi w:val="0"/>
        <w:rPr>
          <w:rFonts w:hint="eastAsia"/>
          <w:color w:val="auto"/>
          <w:highlight w:val="none"/>
          <w:lang w:val="en-US" w:eastAsia="zh-CN"/>
        </w:rPr>
      </w:pPr>
    </w:p>
    <w:p w14:paraId="15EF9D2F">
      <w:pPr>
        <w:bidi w:val="0"/>
        <w:rPr>
          <w:rFonts w:hint="eastAsia"/>
          <w:color w:val="auto"/>
          <w:highlight w:val="none"/>
          <w:lang w:val="en-US" w:eastAsia="zh-CN"/>
        </w:rPr>
      </w:pPr>
    </w:p>
    <w:p w14:paraId="2F87C00D">
      <w:pPr>
        <w:bidi w:val="0"/>
        <w:rPr>
          <w:rFonts w:hint="eastAsia"/>
          <w:color w:val="auto"/>
          <w:highlight w:val="none"/>
          <w:lang w:val="en-US" w:eastAsia="zh-CN"/>
        </w:rPr>
      </w:pPr>
    </w:p>
    <w:p w14:paraId="3CF61848">
      <w:pPr>
        <w:bidi w:val="0"/>
        <w:rPr>
          <w:rFonts w:hint="eastAsia"/>
          <w:color w:val="auto"/>
          <w:highlight w:val="none"/>
          <w:lang w:val="en-US" w:eastAsia="zh-CN"/>
        </w:rPr>
      </w:pPr>
    </w:p>
    <w:p w14:paraId="396B5BFC">
      <w:pPr>
        <w:bidi w:val="0"/>
        <w:rPr>
          <w:rFonts w:hint="eastAsia"/>
          <w:color w:val="auto"/>
          <w:highlight w:val="none"/>
          <w:lang w:val="en-US" w:eastAsia="zh-CN"/>
        </w:rPr>
      </w:pPr>
    </w:p>
    <w:p w14:paraId="40E41706">
      <w:pPr>
        <w:bidi w:val="0"/>
        <w:rPr>
          <w:rFonts w:hint="eastAsia"/>
          <w:color w:val="auto"/>
          <w:highlight w:val="none"/>
          <w:lang w:val="en-US" w:eastAsia="zh-CN"/>
        </w:rPr>
      </w:pPr>
    </w:p>
    <w:p w14:paraId="5C3013EF">
      <w:pPr>
        <w:bidi w:val="0"/>
        <w:rPr>
          <w:rFonts w:hint="eastAsia"/>
          <w:color w:val="auto"/>
          <w:highlight w:val="none"/>
          <w:lang w:val="en-US" w:eastAsia="zh-CN"/>
        </w:rPr>
      </w:pP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666E2E4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邮箱账号：                         邮箱账号：</w:t>
      </w:r>
    </w:p>
    <w:p w14:paraId="7251D5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6DF36A5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757" w:bottom="1440" w:left="1757"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1401DB4E">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2A50E53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5390547">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51F09586">
      <w:pPr>
        <w:pStyle w:val="19"/>
        <w:spacing w:line="560" w:lineRule="exact"/>
        <w:ind w:firstLine="0" w:firstLineChars="0"/>
        <w:jc w:val="center"/>
        <w:rPr>
          <w:rFonts w:hint="eastAsia" w:ascii="方正小标宋简体" w:hAnsi="方正小标宋简体" w:eastAsia="方正小标宋简体" w:cs="方正小标宋简体"/>
          <w:b/>
          <w:color w:val="auto"/>
          <w:sz w:val="44"/>
          <w:szCs w:val="44"/>
        </w:rPr>
      </w:pPr>
    </w:p>
    <w:p w14:paraId="58FE9D0E">
      <w:pPr>
        <w:adjustRightInd w:val="0"/>
        <w:snapToGrid w:val="0"/>
        <w:spacing w:line="360" w:lineRule="auto"/>
        <w:ind w:firstLine="562" w:firstLineChars="200"/>
        <w:rPr>
          <w:rFonts w:hint="default" w:ascii="宋体" w:hAnsi="宋体"/>
          <w:b/>
          <w:bCs/>
          <w:color w:val="auto"/>
          <w:sz w:val="28"/>
          <w:szCs w:val="28"/>
          <w:highlight w:val="yellow"/>
          <w:lang w:val="en-US" w:eastAsia="zh-CN"/>
        </w:rPr>
      </w:pPr>
      <w:r>
        <w:rPr>
          <w:rFonts w:hint="eastAsia" w:ascii="宋体" w:hAnsi="宋体"/>
          <w:b/>
          <w:bCs/>
          <w:color w:val="auto"/>
          <w:sz w:val="28"/>
          <w:szCs w:val="28"/>
          <w:highlight w:val="yellow"/>
          <w:lang w:val="en-US" w:eastAsia="zh-CN"/>
        </w:rPr>
        <w:t>后附报价清单</w:t>
      </w:r>
    </w:p>
    <w:p w14:paraId="1993DAF6">
      <w:pPr>
        <w:adjustRightInd w:val="0"/>
        <w:snapToGrid w:val="0"/>
        <w:spacing w:line="360" w:lineRule="auto"/>
        <w:ind w:firstLine="420" w:firstLineChars="200"/>
        <w:rPr>
          <w:rFonts w:hint="eastAsia" w:ascii="宋体" w:hAnsi="宋体"/>
          <w:color w:val="auto"/>
          <w:szCs w:val="21"/>
          <w:lang w:val="en-US" w:eastAsia="zh-CN"/>
        </w:rPr>
      </w:pPr>
    </w:p>
    <w:p w14:paraId="2CE7008E">
      <w:pPr>
        <w:adjustRightInd w:val="0"/>
        <w:snapToGrid w:val="0"/>
        <w:spacing w:line="360" w:lineRule="auto"/>
        <w:ind w:firstLine="420" w:firstLineChars="200"/>
        <w:rPr>
          <w:rFonts w:hint="eastAsia" w:ascii="宋体" w:hAnsi="宋体"/>
          <w:color w:val="auto"/>
          <w:szCs w:val="21"/>
          <w:lang w:val="en-US" w:eastAsia="zh-CN"/>
        </w:rPr>
      </w:pPr>
    </w:p>
    <w:p w14:paraId="324C3219">
      <w:pPr>
        <w:adjustRightInd w:val="0"/>
        <w:snapToGrid w:val="0"/>
        <w:spacing w:line="360" w:lineRule="auto"/>
        <w:ind w:firstLine="420" w:firstLineChars="200"/>
        <w:rPr>
          <w:rFonts w:hint="eastAsia" w:ascii="宋体" w:hAnsi="宋体"/>
          <w:color w:val="auto"/>
          <w:szCs w:val="21"/>
          <w:lang w:val="en-US" w:eastAsia="zh-CN"/>
        </w:rPr>
      </w:pPr>
    </w:p>
    <w:p w14:paraId="7269FEE0">
      <w:pPr>
        <w:adjustRightInd w:val="0"/>
        <w:snapToGrid w:val="0"/>
        <w:spacing w:line="360" w:lineRule="auto"/>
        <w:ind w:firstLine="420" w:firstLineChars="200"/>
        <w:rPr>
          <w:rFonts w:hint="eastAsia" w:ascii="宋体" w:hAnsi="宋体"/>
          <w:color w:val="auto"/>
          <w:szCs w:val="21"/>
          <w:lang w:val="en-US" w:eastAsia="zh-CN"/>
        </w:rPr>
      </w:pPr>
    </w:p>
    <w:p w14:paraId="5C0E8B58">
      <w:pPr>
        <w:adjustRightInd w:val="0"/>
        <w:snapToGrid w:val="0"/>
        <w:spacing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报价说明</w:t>
      </w:r>
    </w:p>
    <w:p w14:paraId="64DA3B36">
      <w:pPr>
        <w:adjustRightInd w:val="0"/>
        <w:snapToGrid w:val="0"/>
        <w:spacing w:line="360" w:lineRule="auto"/>
        <w:ind w:firstLine="560" w:firstLineChars="200"/>
        <w:rPr>
          <w:rFonts w:hint="eastAsia" w:ascii="宋体" w:hAnsi="宋体"/>
          <w:color w:val="auto"/>
          <w:sz w:val="28"/>
          <w:szCs w:val="28"/>
        </w:rPr>
      </w:pPr>
      <w:r>
        <w:rPr>
          <w:rFonts w:ascii="宋体" w:hAnsi="宋体"/>
          <w:color w:val="auto"/>
          <w:sz w:val="28"/>
          <w:szCs w:val="28"/>
        </w:rPr>
        <w:t>1．本采购清单应与</w:t>
      </w:r>
      <w:r>
        <w:rPr>
          <w:rFonts w:hint="eastAsia" w:ascii="宋体" w:hAnsi="宋体"/>
          <w:color w:val="auto"/>
          <w:sz w:val="28"/>
          <w:szCs w:val="28"/>
        </w:rPr>
        <w:t>询比文件</w:t>
      </w:r>
      <w:r>
        <w:rPr>
          <w:rFonts w:ascii="宋体" w:hAnsi="宋体"/>
          <w:color w:val="auto"/>
          <w:sz w:val="28"/>
          <w:szCs w:val="28"/>
        </w:rPr>
        <w:t>、合同条款等文件结合起来查阅与理解。</w:t>
      </w:r>
    </w:p>
    <w:p w14:paraId="4CF02CA5">
      <w:pPr>
        <w:adjustRightInd w:val="0"/>
        <w:snapToGrid w:val="0"/>
        <w:spacing w:line="360" w:lineRule="auto"/>
        <w:ind w:firstLine="560" w:firstLineChars="200"/>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此价格为货到工地</w:t>
      </w:r>
      <w:r>
        <w:rPr>
          <w:rFonts w:hint="eastAsia" w:ascii="宋体" w:hAnsi="宋体"/>
          <w:color w:val="auto"/>
          <w:sz w:val="28"/>
          <w:szCs w:val="28"/>
          <w:highlight w:val="none"/>
          <w:lang w:val="en-US" w:eastAsia="zh-CN"/>
        </w:rPr>
        <w:t>的综合</w:t>
      </w:r>
      <w:r>
        <w:rPr>
          <w:rFonts w:hint="eastAsia" w:ascii="宋体" w:hAnsi="宋体"/>
          <w:color w:val="auto"/>
          <w:sz w:val="28"/>
          <w:szCs w:val="28"/>
          <w:highlight w:val="none"/>
        </w:rPr>
        <w:t>价格，</w:t>
      </w:r>
      <w:r>
        <w:rPr>
          <w:rFonts w:hint="eastAsia" w:ascii="宋体" w:hAnsi="宋体"/>
          <w:color w:val="auto"/>
          <w:sz w:val="28"/>
          <w:szCs w:val="28"/>
        </w:rPr>
        <w:t>已包含产品设计、生产、包装、保险、装车费、运输</w:t>
      </w:r>
      <w:r>
        <w:rPr>
          <w:rFonts w:hint="eastAsia" w:ascii="宋体" w:hAnsi="宋体"/>
          <w:color w:val="auto"/>
          <w:sz w:val="28"/>
          <w:szCs w:val="28"/>
          <w:lang w:val="en-US" w:eastAsia="zh-CN"/>
        </w:rPr>
        <w:t>、</w:t>
      </w:r>
      <w:r>
        <w:rPr>
          <w:rFonts w:hint="eastAsia" w:ascii="宋体" w:hAnsi="宋体"/>
          <w:color w:val="auto"/>
          <w:sz w:val="28"/>
          <w:szCs w:val="28"/>
        </w:rPr>
        <w:t>备品备件专用工具、税费（国家规定的各项税费用）。因社会事件、国家政策性和市场性调整造成材料、人工、机械等价格上下浮动，</w:t>
      </w:r>
      <w:r>
        <w:rPr>
          <w:rFonts w:hint="eastAsia" w:ascii="宋体" w:hAnsi="宋体"/>
          <w:color w:val="auto"/>
          <w:sz w:val="28"/>
          <w:szCs w:val="28"/>
          <w:lang w:val="en-US" w:eastAsia="zh-CN"/>
        </w:rPr>
        <w:t>投标人</w:t>
      </w:r>
      <w:r>
        <w:rPr>
          <w:rFonts w:hint="eastAsia" w:ascii="宋体" w:hAnsi="宋体"/>
          <w:color w:val="auto"/>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color w:val="auto"/>
          <w:sz w:val="28"/>
          <w:szCs w:val="28"/>
          <w:lang w:val="en-US" w:eastAsia="zh-CN"/>
        </w:rPr>
        <w:t>投标人</w:t>
      </w:r>
      <w:r>
        <w:rPr>
          <w:rFonts w:hint="eastAsia" w:ascii="宋体" w:hAnsi="宋体"/>
          <w:color w:val="auto"/>
          <w:sz w:val="28"/>
          <w:szCs w:val="28"/>
        </w:rPr>
        <w:t>管理不善引起的费用增加以及为方便施工而增加的费用均由</w:t>
      </w:r>
      <w:r>
        <w:rPr>
          <w:rFonts w:hint="eastAsia" w:ascii="宋体" w:hAnsi="宋体"/>
          <w:color w:val="auto"/>
          <w:sz w:val="28"/>
          <w:szCs w:val="28"/>
          <w:lang w:val="en-US" w:eastAsia="zh-CN"/>
        </w:rPr>
        <w:t>投标人</w:t>
      </w:r>
      <w:r>
        <w:rPr>
          <w:rFonts w:hint="eastAsia" w:ascii="宋体" w:hAnsi="宋体"/>
          <w:color w:val="auto"/>
          <w:sz w:val="28"/>
          <w:szCs w:val="28"/>
        </w:rPr>
        <w:t>自行承担。</w:t>
      </w:r>
    </w:p>
    <w:p w14:paraId="10FEF876">
      <w:pPr>
        <w:adjustRightInd w:val="0"/>
        <w:snapToGrid w:val="0"/>
        <w:spacing w:line="360" w:lineRule="auto"/>
        <w:ind w:firstLine="560" w:firstLineChars="200"/>
        <w:rPr>
          <w:rFonts w:hint="eastAsia" w:ascii="宋体" w:hAnsi="宋体"/>
          <w:color w:val="auto"/>
          <w:sz w:val="28"/>
          <w:szCs w:val="28"/>
          <w:u w:val="none"/>
          <w:lang w:eastAsia="zh-CN"/>
        </w:rPr>
      </w:pPr>
      <w:r>
        <w:rPr>
          <w:rFonts w:hint="eastAsia" w:ascii="宋体" w:hAnsi="宋体"/>
          <w:color w:val="auto"/>
          <w:sz w:val="28"/>
          <w:szCs w:val="28"/>
          <w:u w:val="none"/>
          <w:lang w:val="en-US" w:eastAsia="zh-CN"/>
        </w:rPr>
        <w:t>3</w:t>
      </w:r>
      <w:r>
        <w:rPr>
          <w:rFonts w:hint="eastAsia" w:ascii="宋体" w:hAnsi="宋体"/>
          <w:color w:val="auto"/>
          <w:sz w:val="28"/>
          <w:szCs w:val="28"/>
          <w:u w:val="none"/>
        </w:rPr>
        <w:t>.</w:t>
      </w:r>
      <w:r>
        <w:rPr>
          <w:rFonts w:ascii="宋体" w:hAnsi="宋体"/>
          <w:color w:val="auto"/>
          <w:sz w:val="28"/>
          <w:szCs w:val="28"/>
          <w:u w:val="none"/>
        </w:rPr>
        <w:t>采购清单中的各项费用货币单位均为人民币(元)。</w:t>
      </w: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67EAAD3">
      <w:pPr>
        <w:pStyle w:val="2"/>
        <w:numPr>
          <w:ilvl w:val="0"/>
          <w:numId w:val="0"/>
        </w:numPr>
        <w:spacing w:before="312" w:after="312"/>
        <w:ind w:left="0" w:leftChars="0" w:firstLine="0" w:firstLineChars="0"/>
        <w:rPr>
          <w:rFonts w:ascii="Times New Roman" w:hAnsi="Times New Roman" w:eastAsia="宋体" w:cs="Times New Roman"/>
          <w:color w:val="auto"/>
        </w:rPr>
      </w:pPr>
      <w:bookmarkStart w:id="61" w:name="_Toc8460"/>
      <w:r>
        <w:rPr>
          <w:rFonts w:hint="eastAsia" w:ascii="Times New Roman" w:hAnsi="Times New Roman" w:eastAsia="宋体" w:cs="Times New Roman"/>
          <w:b/>
          <w:bCs/>
          <w:color w:val="auto"/>
          <w:kern w:val="44"/>
          <w:sz w:val="36"/>
          <w:szCs w:val="44"/>
          <w:lang w:val="en-US" w:eastAsia="zh-CN" w:bidi="ar-SA"/>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1"/>
    </w:p>
    <w:p w14:paraId="7716C8C6">
      <w:pPr>
        <w:pStyle w:val="2"/>
        <w:numPr>
          <w:ilvl w:val="0"/>
          <w:numId w:val="0"/>
        </w:numPr>
        <w:spacing w:before="312" w:after="312"/>
        <w:ind w:leftChars="0"/>
        <w:jc w:val="both"/>
        <w:rPr>
          <w:rFonts w:ascii="Times New Roman" w:hAnsi="Times New Roman" w:eastAsia="宋体" w:cs="Times New Roman"/>
          <w:color w:val="auto"/>
        </w:rPr>
      </w:pPr>
    </w:p>
    <w:p w14:paraId="04419F22">
      <w:pPr>
        <w:pStyle w:val="2"/>
        <w:numPr>
          <w:ilvl w:val="0"/>
          <w:numId w:val="0"/>
        </w:numPr>
        <w:spacing w:before="312" w:after="312"/>
        <w:ind w:leftChars="0"/>
        <w:jc w:val="both"/>
        <w:rPr>
          <w:rFonts w:ascii="Times New Roman" w:hAnsi="Times New Roman" w:eastAsia="宋体" w:cs="Times New Roman"/>
          <w:color w:val="auto"/>
        </w:rPr>
      </w:pPr>
    </w:p>
    <w:p w14:paraId="1FA72EBB">
      <w:pPr>
        <w:pStyle w:val="2"/>
        <w:numPr>
          <w:ilvl w:val="0"/>
          <w:numId w:val="0"/>
        </w:numPr>
        <w:spacing w:before="312" w:after="312"/>
        <w:ind w:leftChars="0"/>
        <w:jc w:val="both"/>
        <w:rPr>
          <w:rFonts w:ascii="Times New Roman" w:hAnsi="Times New Roman" w:eastAsia="宋体" w:cs="Times New Roman"/>
          <w:color w:val="auto"/>
        </w:rPr>
      </w:pPr>
    </w:p>
    <w:p w14:paraId="21E38E63">
      <w:pPr>
        <w:pStyle w:val="2"/>
        <w:numPr>
          <w:ilvl w:val="0"/>
          <w:numId w:val="0"/>
        </w:numPr>
        <w:spacing w:before="312" w:after="312"/>
        <w:ind w:leftChars="0"/>
        <w:jc w:val="both"/>
        <w:rPr>
          <w:rFonts w:ascii="Times New Roman" w:hAnsi="Times New Roman" w:eastAsia="宋体" w:cs="Times New Roman"/>
          <w:color w:val="auto"/>
        </w:rPr>
      </w:pPr>
    </w:p>
    <w:p w14:paraId="5AA0C120">
      <w:pPr>
        <w:pStyle w:val="2"/>
        <w:numPr>
          <w:ilvl w:val="0"/>
          <w:numId w:val="0"/>
        </w:numPr>
        <w:spacing w:before="312" w:after="312"/>
        <w:ind w:leftChars="0"/>
        <w:jc w:val="both"/>
        <w:rPr>
          <w:rFonts w:ascii="Times New Roman" w:hAnsi="Times New Roman" w:eastAsia="宋体" w:cs="Times New Roman"/>
          <w:color w:val="auto"/>
        </w:rPr>
      </w:pPr>
    </w:p>
    <w:p w14:paraId="47D32019">
      <w:pPr>
        <w:pStyle w:val="2"/>
        <w:numPr>
          <w:ilvl w:val="0"/>
          <w:numId w:val="0"/>
        </w:numPr>
        <w:spacing w:before="312" w:after="312"/>
        <w:ind w:leftChars="0"/>
        <w:jc w:val="both"/>
        <w:rPr>
          <w:rFonts w:ascii="Times New Roman" w:hAnsi="Times New Roman" w:eastAsia="宋体" w:cs="Times New Roman"/>
          <w:color w:val="auto"/>
        </w:rPr>
      </w:pPr>
    </w:p>
    <w:p w14:paraId="69E3665F">
      <w:pPr>
        <w:pStyle w:val="2"/>
        <w:numPr>
          <w:ilvl w:val="0"/>
          <w:numId w:val="0"/>
        </w:numPr>
        <w:spacing w:before="312" w:after="312"/>
        <w:ind w:leftChars="0"/>
        <w:jc w:val="both"/>
        <w:rPr>
          <w:rFonts w:ascii="Times New Roman" w:hAnsi="Times New Roman" w:eastAsia="宋体" w:cs="Times New Roman"/>
          <w:color w:val="auto"/>
        </w:rPr>
      </w:pPr>
    </w:p>
    <w:p w14:paraId="3485D496">
      <w:pPr>
        <w:pStyle w:val="2"/>
        <w:numPr>
          <w:ilvl w:val="0"/>
          <w:numId w:val="0"/>
        </w:numPr>
        <w:spacing w:before="312" w:after="312"/>
        <w:ind w:leftChars="0"/>
        <w:jc w:val="both"/>
        <w:rPr>
          <w:rFonts w:ascii="Times New Roman" w:hAnsi="Times New Roman" w:eastAsia="宋体" w:cs="Times New Roman"/>
          <w:color w:val="auto"/>
        </w:rPr>
      </w:pPr>
    </w:p>
    <w:p w14:paraId="0B30B779">
      <w:pPr>
        <w:pStyle w:val="2"/>
        <w:numPr>
          <w:ilvl w:val="0"/>
          <w:numId w:val="0"/>
        </w:numPr>
        <w:spacing w:before="312" w:after="312"/>
        <w:ind w:leftChars="0"/>
        <w:jc w:val="both"/>
        <w:rPr>
          <w:rFonts w:ascii="Times New Roman" w:hAnsi="Times New Roman" w:eastAsia="宋体" w:cs="Times New Roman"/>
          <w:color w:val="auto"/>
        </w:rPr>
      </w:pPr>
    </w:p>
    <w:p w14:paraId="2321AFDB">
      <w:pPr>
        <w:pStyle w:val="2"/>
        <w:numPr>
          <w:ilvl w:val="0"/>
          <w:numId w:val="0"/>
        </w:numPr>
        <w:spacing w:before="312" w:after="312"/>
        <w:ind w:leftChars="0"/>
        <w:jc w:val="both"/>
        <w:rPr>
          <w:rFonts w:ascii="Times New Roman" w:hAnsi="Times New Roman" w:eastAsia="宋体" w:cs="Times New Roman"/>
          <w:color w:val="auto"/>
        </w:rPr>
      </w:pPr>
    </w:p>
    <w:p w14:paraId="47ABDC23">
      <w:pPr>
        <w:pStyle w:val="2"/>
        <w:numPr>
          <w:ilvl w:val="0"/>
          <w:numId w:val="0"/>
        </w:numPr>
        <w:spacing w:before="312" w:after="312"/>
        <w:ind w:leftChars="0"/>
        <w:jc w:val="both"/>
        <w:rPr>
          <w:rFonts w:ascii="Times New Roman" w:hAnsi="Times New Roman" w:eastAsia="宋体" w:cs="Times New Roman"/>
          <w:color w:val="auto"/>
        </w:rPr>
      </w:pPr>
    </w:p>
    <w:p w14:paraId="4390EB2B">
      <w:pPr>
        <w:pStyle w:val="2"/>
        <w:numPr>
          <w:ilvl w:val="0"/>
          <w:numId w:val="0"/>
        </w:numPr>
        <w:spacing w:before="312" w:after="312"/>
        <w:ind w:leftChars="0"/>
        <w:jc w:val="both"/>
        <w:rPr>
          <w:rFonts w:ascii="Times New Roman" w:hAnsi="Times New Roman" w:eastAsia="宋体" w:cs="Times New Roman"/>
          <w:color w:val="auto"/>
        </w:rPr>
      </w:pPr>
    </w:p>
    <w:p w14:paraId="09127F2D">
      <w:pPr>
        <w:pStyle w:val="2"/>
        <w:numPr>
          <w:ilvl w:val="0"/>
          <w:numId w:val="0"/>
        </w:numPr>
        <w:spacing w:before="312" w:after="312"/>
        <w:ind w:leftChars="0"/>
        <w:jc w:val="both"/>
        <w:rPr>
          <w:rFonts w:ascii="Times New Roman" w:hAnsi="Times New Roman" w:eastAsia="宋体" w:cs="Times New Roman"/>
          <w:color w:val="auto"/>
        </w:rPr>
      </w:pPr>
    </w:p>
    <w:p w14:paraId="695287D8">
      <w:pPr>
        <w:pStyle w:val="2"/>
        <w:numPr>
          <w:ilvl w:val="0"/>
          <w:numId w:val="0"/>
        </w:numPr>
        <w:spacing w:before="312" w:after="312"/>
        <w:ind w:leftChars="0"/>
        <w:jc w:val="both"/>
        <w:rPr>
          <w:rFonts w:ascii="Times New Roman" w:hAnsi="Times New Roman" w:eastAsia="宋体" w:cs="Times New Roman"/>
          <w:color w:val="auto"/>
        </w:rPr>
      </w:pPr>
    </w:p>
    <w:p w14:paraId="1D412C65">
      <w:pPr>
        <w:pStyle w:val="19"/>
        <w:spacing w:line="560" w:lineRule="exact"/>
        <w:ind w:firstLine="0" w:firstLineChars="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报价</w:t>
      </w:r>
      <w:r>
        <w:rPr>
          <w:rFonts w:hint="eastAsia" w:ascii="方正小标宋简体" w:hAnsi="方正小标宋简体" w:eastAsia="方正小标宋简体" w:cs="方正小标宋简体"/>
          <w:b/>
          <w:color w:val="auto"/>
          <w:sz w:val="44"/>
          <w:szCs w:val="44"/>
        </w:rPr>
        <w:t>清单</w:t>
      </w:r>
    </w:p>
    <w:p w14:paraId="430D2DCB">
      <w:pPr>
        <w:rPr>
          <w:rFonts w:hint="eastAsia" w:ascii="方正小标宋简体" w:hAnsi="方正小标宋简体" w:eastAsia="方正小标宋简体" w:cs="方正小标宋简体"/>
          <w:b/>
          <w:color w:val="auto"/>
          <w:sz w:val="44"/>
          <w:szCs w:val="44"/>
        </w:rPr>
      </w:pPr>
    </w:p>
    <w:p w14:paraId="30A68AB3">
      <w:pPr>
        <w:rPr>
          <w:rFonts w:hint="eastAsia" w:ascii="方正小标宋简体" w:hAnsi="方正小标宋简体" w:eastAsia="方正小标宋简体" w:cs="方正小标宋简体"/>
          <w:b/>
          <w:color w:val="auto"/>
          <w:sz w:val="44"/>
          <w:szCs w:val="44"/>
        </w:rPr>
      </w:pPr>
    </w:p>
    <w:p w14:paraId="61B22C2A">
      <w:pPr>
        <w:rPr>
          <w:rFonts w:hint="eastAsia" w:ascii="方正小标宋简体" w:hAnsi="方正小标宋简体" w:eastAsia="方正小标宋简体" w:cs="方正小标宋简体"/>
          <w:b/>
          <w:color w:val="auto"/>
          <w:sz w:val="44"/>
          <w:szCs w:val="44"/>
        </w:rPr>
      </w:pPr>
    </w:p>
    <w:p w14:paraId="3AB9A1CA">
      <w:pPr>
        <w:rPr>
          <w:rFonts w:hint="eastAsia" w:ascii="方正小标宋简体" w:hAnsi="方正小标宋简体" w:eastAsia="方正小标宋简体" w:cs="方正小标宋简体"/>
          <w:b/>
          <w:color w:val="auto"/>
          <w:sz w:val="44"/>
          <w:szCs w:val="44"/>
        </w:rPr>
      </w:pPr>
    </w:p>
    <w:p w14:paraId="6B2ED30C">
      <w:pPr>
        <w:rPr>
          <w:rFonts w:hint="eastAsia" w:ascii="方正小标宋简体" w:hAnsi="方正小标宋简体" w:eastAsia="方正小标宋简体" w:cs="方正小标宋简体"/>
          <w:b/>
          <w:color w:val="auto"/>
          <w:sz w:val="44"/>
          <w:szCs w:val="44"/>
        </w:rPr>
      </w:pPr>
    </w:p>
    <w:p w14:paraId="5E06E2F4">
      <w:pPr>
        <w:rPr>
          <w:rFonts w:hint="eastAsia" w:ascii="方正小标宋简体" w:hAnsi="方正小标宋简体" w:eastAsia="方正小标宋简体" w:cs="方正小标宋简体"/>
          <w:b/>
          <w:color w:val="auto"/>
          <w:sz w:val="44"/>
          <w:szCs w:val="44"/>
        </w:rPr>
      </w:pPr>
    </w:p>
    <w:p w14:paraId="23691B0A">
      <w:pPr>
        <w:rPr>
          <w:rFonts w:hint="eastAsia" w:ascii="方正小标宋简体" w:hAnsi="方正小标宋简体" w:eastAsia="方正小标宋简体" w:cs="方正小标宋简体"/>
          <w:b/>
          <w:color w:val="auto"/>
          <w:sz w:val="44"/>
          <w:szCs w:val="44"/>
        </w:rPr>
      </w:pPr>
    </w:p>
    <w:p w14:paraId="0B3ECB2B">
      <w:pPr>
        <w:rPr>
          <w:rFonts w:hint="eastAsia" w:ascii="方正小标宋简体" w:hAnsi="方正小标宋简体" w:eastAsia="方正小标宋简体" w:cs="方正小标宋简体"/>
          <w:b/>
          <w:color w:val="auto"/>
          <w:sz w:val="44"/>
          <w:szCs w:val="44"/>
        </w:rPr>
      </w:pPr>
    </w:p>
    <w:p w14:paraId="71DC0392">
      <w:pPr>
        <w:rPr>
          <w:rFonts w:hint="eastAsia" w:ascii="方正小标宋简体" w:hAnsi="方正小标宋简体" w:eastAsia="方正小标宋简体" w:cs="方正小标宋简体"/>
          <w:b/>
          <w:color w:val="auto"/>
          <w:sz w:val="44"/>
          <w:szCs w:val="44"/>
        </w:rPr>
      </w:pPr>
    </w:p>
    <w:p w14:paraId="35955438">
      <w:pPr>
        <w:rPr>
          <w:rFonts w:hint="eastAsia" w:ascii="方正小标宋简体" w:hAnsi="方正小标宋简体" w:eastAsia="方正小标宋简体" w:cs="方正小标宋简体"/>
          <w:b/>
          <w:color w:val="auto"/>
          <w:sz w:val="44"/>
          <w:szCs w:val="44"/>
        </w:rPr>
      </w:pPr>
    </w:p>
    <w:p w14:paraId="1B71CC78">
      <w:pPr>
        <w:rPr>
          <w:rFonts w:hint="eastAsia" w:ascii="方正小标宋简体" w:hAnsi="方正小标宋简体" w:eastAsia="方正小标宋简体" w:cs="方正小标宋简体"/>
          <w:b/>
          <w:color w:val="auto"/>
          <w:sz w:val="44"/>
          <w:szCs w:val="44"/>
        </w:rPr>
      </w:pPr>
    </w:p>
    <w:p w14:paraId="4D204D06">
      <w:pPr>
        <w:rPr>
          <w:rFonts w:hint="eastAsia" w:ascii="方正小标宋简体" w:hAnsi="方正小标宋简体" w:eastAsia="方正小标宋简体" w:cs="方正小标宋简体"/>
          <w:b/>
          <w:color w:val="auto"/>
          <w:sz w:val="44"/>
          <w:szCs w:val="44"/>
        </w:rPr>
      </w:pPr>
    </w:p>
    <w:p w14:paraId="07784578">
      <w:pPr>
        <w:rPr>
          <w:rFonts w:hint="eastAsia" w:ascii="方正小标宋简体" w:hAnsi="方正小标宋简体" w:eastAsia="方正小标宋简体" w:cs="方正小标宋简体"/>
          <w:b/>
          <w:color w:val="auto"/>
          <w:sz w:val="44"/>
          <w:szCs w:val="44"/>
        </w:rPr>
      </w:pPr>
    </w:p>
    <w:p w14:paraId="7B0FF0FD">
      <w:pPr>
        <w:rPr>
          <w:rFonts w:hint="eastAsia" w:ascii="方正小标宋简体" w:hAnsi="方正小标宋简体" w:eastAsia="方正小标宋简体" w:cs="方正小标宋简体"/>
          <w:b/>
          <w:color w:val="auto"/>
          <w:sz w:val="44"/>
          <w:szCs w:val="44"/>
        </w:rPr>
      </w:pPr>
    </w:p>
    <w:p w14:paraId="7328DCF9">
      <w:pPr>
        <w:pStyle w:val="8"/>
        <w:spacing w:line="360" w:lineRule="auto"/>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备注：1．本采购清单应与询比文件、合同条款等文件结合起来查阅与理解。</w:t>
      </w:r>
    </w:p>
    <w:p w14:paraId="1BEA4901">
      <w:pPr>
        <w:pStyle w:val="8"/>
        <w:spacing w:line="360" w:lineRule="auto"/>
        <w:ind w:firstLine="663" w:firstLineChars="300"/>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2．此价格为货到工地验收合格的综合价格，已包含产品设计、生产、包装、保险、</w:t>
      </w:r>
      <w:r>
        <w:rPr>
          <w:rStyle w:val="44"/>
          <w:rFonts w:hint="eastAsia" w:asciiTheme="minorEastAsia" w:hAnsiTheme="minorEastAsia" w:cstheme="minorEastAsia"/>
          <w:b/>
          <w:bCs/>
          <w:color w:val="auto"/>
          <w:highlight w:val="none"/>
          <w:lang w:bidi="ar"/>
        </w:rPr>
        <w:t>装</w:t>
      </w:r>
      <w:r>
        <w:rPr>
          <w:rStyle w:val="44"/>
          <w:rFonts w:hint="eastAsia" w:asciiTheme="minorEastAsia" w:hAnsiTheme="minorEastAsia" w:cstheme="minorEastAsia"/>
          <w:b/>
          <w:bCs/>
          <w:color w:val="auto"/>
          <w:highlight w:val="none"/>
          <w:lang w:val="en-US" w:eastAsia="zh-CN" w:bidi="ar"/>
        </w:rPr>
        <w:t>车</w:t>
      </w:r>
      <w:r>
        <w:rPr>
          <w:rStyle w:val="44"/>
          <w:rFonts w:hint="eastAsia" w:asciiTheme="minorEastAsia" w:hAnsiTheme="minorEastAsia" w:cstheme="minorEastAsia"/>
          <w:b/>
          <w:bCs/>
          <w:color w:val="auto"/>
          <w:highlight w:val="none"/>
          <w:lang w:bidi="ar"/>
        </w:rPr>
        <w:t>费</w:t>
      </w:r>
      <w:r>
        <w:rPr>
          <w:rStyle w:val="44"/>
          <w:rFonts w:hint="eastAsia" w:asciiTheme="minorEastAsia" w:hAnsiTheme="minorEastAsia" w:cstheme="minorEastAsia"/>
          <w:b/>
          <w:bCs/>
          <w:color w:val="auto"/>
          <w:lang w:bidi="ar"/>
        </w:rPr>
        <w:t>、运输、备品备件专用工具、税费（国家规定的各项税费用）。因社会事件、国家政策性和市场性调整造成材料、人工、机械等价格上下浮动，投标人可以或者应当预见的风险以及合同明确的其他风险等均由乙方自行负担；综合单价不因工程量的变动而变动、也不因工程复杂程度的不同而变动；因投标人管理不善引起的费用增加以及为方便施工而增加的费用均由投标人自行承担。</w:t>
      </w:r>
    </w:p>
    <w:p w14:paraId="6231FB89">
      <w:pPr>
        <w:pStyle w:val="8"/>
        <w:spacing w:line="360" w:lineRule="auto"/>
        <w:ind w:firstLine="663" w:firstLineChars="300"/>
        <w:rPr>
          <w:rStyle w:val="44"/>
          <w:rFonts w:hint="eastAsia" w:asciiTheme="minorEastAsia" w:hAnsiTheme="minorEastAsia" w:cstheme="minorEastAsia"/>
          <w:b/>
          <w:bCs/>
          <w:color w:val="auto"/>
          <w:lang w:bidi="ar"/>
        </w:rPr>
      </w:pPr>
      <w:r>
        <w:rPr>
          <w:rStyle w:val="44"/>
          <w:rFonts w:hint="eastAsia" w:asciiTheme="minorEastAsia" w:hAnsiTheme="minorEastAsia" w:cstheme="minorEastAsia"/>
          <w:b/>
          <w:bCs/>
          <w:color w:val="auto"/>
          <w:lang w:bidi="ar"/>
        </w:rPr>
        <w:t>3.采购清单中的各项费用货币单位均为人民币(元)。</w:t>
      </w: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2" w:name="_Toc22474"/>
      <w:r>
        <w:rPr>
          <w:rFonts w:hint="eastAsia" w:ascii="Times New Roman" w:hAnsi="Times New Roman" w:eastAsia="宋体" w:cs="Times New Roman"/>
          <w:color w:val="auto"/>
        </w:rPr>
        <w:t>第六章 响应文件格式</w:t>
      </w:r>
      <w:bookmarkEnd w:id="62"/>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rPr>
      </w:pPr>
      <w:bookmarkStart w:id="63" w:name="_Toc5897"/>
      <w:bookmarkStart w:id="64" w:name="_Toc21868"/>
      <w:bookmarkStart w:id="65" w:name="_Toc18668_WPSOffice_Level1"/>
      <w:bookmarkStart w:id="66" w:name="_Toc12530_WPSOffice_Level1"/>
      <w:bookmarkStart w:id="67" w:name="_Toc8695_WPSOffice_Level1"/>
      <w:bookmarkStart w:id="68" w:name="_Toc13190_WPSOffice_Level1"/>
      <w:bookmarkStart w:id="69" w:name="_Toc32350_WPSOffice_Level1"/>
      <w:bookmarkStart w:id="70" w:name="_Toc31127_WPSOffice_Level1"/>
      <w:bookmarkStart w:id="71" w:name="_Toc28026"/>
      <w:bookmarkStart w:id="72" w:name="_Toc15033"/>
      <w:bookmarkStart w:id="73" w:name="_Toc7337"/>
      <w:bookmarkStart w:id="74" w:name="_Toc14563_WPSOffice_Level1"/>
      <w:r>
        <w:rPr>
          <w:rFonts w:hint="eastAsia" w:ascii="微软雅黑" w:hAnsi="微软雅黑" w:eastAsia="微软雅黑" w:cs="微软雅黑"/>
          <w:color w:val="auto"/>
          <w:sz w:val="44"/>
          <w:szCs w:val="44"/>
          <w:u w:val="single"/>
          <w:lang w:eastAsia="zh-CN"/>
        </w:rPr>
        <w:t>柯家村矿区及深加工产业园廊桥外罩工程岩棉复合板、隔音板采购项目</w:t>
      </w:r>
      <w:bookmarkEnd w:id="63"/>
      <w:bookmarkEnd w:id="64"/>
      <w:r>
        <w:rPr>
          <w:rFonts w:hint="eastAsia" w:ascii="微软雅黑" w:hAnsi="微软雅黑" w:eastAsia="微软雅黑" w:cs="微软雅黑"/>
          <w:color w:val="auto"/>
          <w:sz w:val="48"/>
          <w:szCs w:val="48"/>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247065C1">
      <w:pPr>
        <w:jc w:val="center"/>
        <w:rPr>
          <w:rFonts w:ascii="Times New Roman" w:hAnsi="Times New Roman" w:eastAsia="黑体" w:cs="Times New Roman"/>
          <w:color w:val="auto"/>
          <w:sz w:val="50"/>
          <w:szCs w:val="50"/>
        </w:rPr>
      </w:pPr>
      <w:bookmarkStart w:id="75" w:name="_Toc15083_WPSOffice_Level1"/>
      <w:bookmarkStart w:id="76" w:name="_Toc26260_WPSOffice_Level1"/>
      <w:bookmarkStart w:id="77" w:name="_Toc25266_WPSOffice_Level1"/>
      <w:r>
        <w:rPr>
          <w:rFonts w:ascii="Times New Roman" w:hAnsi="Times New Roman" w:eastAsia="黑体" w:cs="Times New Roman"/>
          <w:color w:val="auto"/>
          <w:sz w:val="50"/>
          <w:szCs w:val="50"/>
        </w:rPr>
        <w:t>响  应  文  件</w:t>
      </w:r>
      <w:bookmarkEnd w:id="75"/>
      <w:bookmarkEnd w:id="76"/>
      <w:bookmarkEnd w:id="77"/>
    </w:p>
    <w:p w14:paraId="06FC6E7B">
      <w:pPr>
        <w:spacing w:line="440" w:lineRule="exact"/>
        <w:rPr>
          <w:rFonts w:ascii="Times New Roman" w:hAnsi="Times New Roman" w:eastAsia="黑体" w:cs="Times New Roman"/>
          <w:color w:val="auto"/>
          <w:sz w:val="20"/>
          <w:szCs w:val="20"/>
        </w:rPr>
      </w:pPr>
    </w:p>
    <w:p w14:paraId="1D2712F4">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78" w:name="_Toc25232_WPSOffice_Level2"/>
      <w:bookmarkStart w:id="79" w:name="_Toc21458_WPSOffice_Level2"/>
      <w:bookmarkStart w:id="80" w:name="_Toc2006_WPSOffice_Level2"/>
      <w:bookmarkStart w:id="81" w:name="_Toc28179_WPSOffice_Level2"/>
      <w:bookmarkStart w:id="82" w:name="_Toc14769_WPSOffice_Level2"/>
      <w:bookmarkStart w:id="83" w:name="_Toc23599_WPSOffice_Level2"/>
      <w:bookmarkStart w:id="84" w:name="_Toc16389_WPSOffice_Level1"/>
      <w:bookmarkStart w:id="85" w:name="_Toc5520_WPSOffice_Level2"/>
      <w:bookmarkStart w:id="86" w:name="_Toc3653_WPSOffice_Level1"/>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8"/>
      <w:bookmarkEnd w:id="79"/>
      <w:bookmarkEnd w:id="80"/>
      <w:bookmarkEnd w:id="81"/>
      <w:bookmarkEnd w:id="82"/>
      <w:bookmarkEnd w:id="83"/>
      <w:bookmarkEnd w:id="84"/>
      <w:bookmarkEnd w:id="85"/>
      <w:bookmarkEnd w:id="86"/>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7" w:name="_Toc30763_WPSOffice_Level2"/>
      <w:bookmarkStart w:id="88" w:name="_Toc21748_WPSOffice_Level1"/>
      <w:bookmarkStart w:id="89" w:name="_Toc1902_WPSOffice_Level2"/>
      <w:bookmarkStart w:id="90" w:name="_Toc31577_WPSOffice_Level2"/>
      <w:bookmarkStart w:id="91" w:name="_Toc3948_WPSOffice_Level2"/>
      <w:bookmarkStart w:id="92" w:name="_Toc30382_WPSOffice_Level1"/>
      <w:bookmarkStart w:id="93" w:name="_Toc20076_WPSOffice_Level2"/>
      <w:bookmarkStart w:id="94" w:name="_Toc3668_WPSOffice_Level2"/>
      <w:bookmarkStart w:id="95" w:name="_Toc20398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7"/>
      <w:bookmarkEnd w:id="88"/>
      <w:bookmarkEnd w:id="89"/>
      <w:bookmarkEnd w:id="90"/>
      <w:bookmarkEnd w:id="91"/>
      <w:bookmarkEnd w:id="92"/>
      <w:bookmarkEnd w:id="93"/>
      <w:bookmarkEnd w:id="94"/>
      <w:bookmarkEnd w:id="95"/>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96" w:name="_Toc22351_WPSOffice_Level2"/>
      <w:bookmarkStart w:id="97" w:name="_Toc21974_WPSOffice_Level2"/>
      <w:bookmarkStart w:id="98" w:name="_Toc24832_WPSOffice_Level2"/>
      <w:bookmarkStart w:id="99" w:name="_Toc882_WPSOffice_Level2"/>
      <w:bookmarkStart w:id="100" w:name="_Toc7952_WPSOffice_Level2"/>
      <w:bookmarkStart w:id="101" w:name="_Toc29095_WPSOffice_Level2"/>
      <w:bookmarkStart w:id="102" w:name="_Toc31224_WPSOffice_Level2"/>
      <w:bookmarkStart w:id="103" w:name="_Toc9551_WPSOffice_Level1"/>
      <w:bookmarkStart w:id="104" w:name="_Toc96_WPSOffice_Level1"/>
      <w:r>
        <w:rPr>
          <w:rFonts w:ascii="Times New Roman" w:hAnsi="Times New Roman" w:eastAsia="黑体" w:cs="Times New Roman"/>
          <w:color w:val="auto"/>
          <w:sz w:val="28"/>
          <w:szCs w:val="28"/>
        </w:rPr>
        <w:t>目     录</w:t>
      </w:r>
      <w:bookmarkEnd w:id="96"/>
      <w:bookmarkEnd w:id="97"/>
      <w:bookmarkEnd w:id="98"/>
      <w:bookmarkEnd w:id="99"/>
      <w:bookmarkEnd w:id="100"/>
      <w:bookmarkEnd w:id="101"/>
      <w:bookmarkEnd w:id="102"/>
      <w:bookmarkEnd w:id="103"/>
      <w:bookmarkEnd w:id="104"/>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5" w:name="_Toc12670_WPSOffice_Level1"/>
      <w:bookmarkStart w:id="106" w:name="_Toc6353_WPSOffice_Level1"/>
      <w:bookmarkStart w:id="107" w:name="_Toc30529_WPSOffice_Level1"/>
      <w:bookmarkStart w:id="108" w:name="_Toc26987_WPSOffice_Level1"/>
      <w:bookmarkStart w:id="109" w:name="_Toc9021_WPSOffice_Level1"/>
      <w:bookmarkStart w:id="110" w:name="_Toc23368_WPSOffice_Level1"/>
      <w:bookmarkStart w:id="111" w:name="_Toc11424_WPSOffice_Level1"/>
      <w:r>
        <w:rPr>
          <w:rFonts w:ascii="Times New Roman" w:hAnsi="Times New Roman" w:eastAsia="黑体" w:cs="Times New Roman"/>
          <w:color w:val="auto"/>
          <w:sz w:val="24"/>
        </w:rPr>
        <w:t>一、报价函</w:t>
      </w:r>
      <w:bookmarkEnd w:id="105"/>
      <w:bookmarkEnd w:id="106"/>
      <w:bookmarkEnd w:id="107"/>
      <w:bookmarkEnd w:id="108"/>
      <w:bookmarkEnd w:id="109"/>
      <w:bookmarkEnd w:id="110"/>
      <w:bookmarkEnd w:id="111"/>
    </w:p>
    <w:p w14:paraId="6FFBC476">
      <w:pPr>
        <w:spacing w:line="440" w:lineRule="exact"/>
        <w:ind w:left="1619" w:leftChars="771"/>
        <w:rPr>
          <w:rFonts w:ascii="Times New Roman" w:hAnsi="Times New Roman" w:eastAsia="黑体" w:cs="Times New Roman"/>
          <w:color w:val="auto"/>
          <w:sz w:val="24"/>
        </w:rPr>
      </w:pPr>
      <w:bookmarkStart w:id="112" w:name="_Toc31927_WPSOffice_Level1"/>
      <w:bookmarkStart w:id="113" w:name="_Toc3742_WPSOffice_Level1"/>
      <w:bookmarkStart w:id="114" w:name="_Toc14150_WPSOffice_Level1"/>
      <w:bookmarkStart w:id="115" w:name="_Toc26052_WPSOffice_Level1"/>
      <w:bookmarkStart w:id="116" w:name="_Toc32729_WPSOffice_Level1"/>
      <w:bookmarkStart w:id="117" w:name="_Toc5317_WPSOffice_Level1"/>
      <w:bookmarkStart w:id="118" w:name="_Toc21229_WPSOffice_Level1"/>
      <w:r>
        <w:rPr>
          <w:rFonts w:ascii="Times New Roman" w:hAnsi="Times New Roman" w:eastAsia="黑体" w:cs="Times New Roman"/>
          <w:color w:val="auto"/>
          <w:sz w:val="24"/>
        </w:rPr>
        <w:t>二、</w:t>
      </w:r>
      <w:bookmarkEnd w:id="112"/>
      <w:bookmarkEnd w:id="113"/>
      <w:bookmarkEnd w:id="114"/>
      <w:bookmarkEnd w:id="115"/>
      <w:bookmarkEnd w:id="116"/>
      <w:bookmarkEnd w:id="117"/>
      <w:bookmarkEnd w:id="118"/>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19" w:name="_Toc29085_WPSOffice_Level1"/>
      <w:bookmarkStart w:id="120" w:name="_Toc23356_WPSOffice_Level1"/>
      <w:bookmarkStart w:id="121" w:name="_Toc25652_WPSOffice_Level1"/>
      <w:bookmarkStart w:id="122" w:name="_Toc20535_WPSOffice_Level1"/>
      <w:bookmarkStart w:id="123" w:name="_Toc25965_WPSOffice_Level1"/>
      <w:bookmarkStart w:id="124" w:name="_Toc11822_WPSOffice_Level1"/>
      <w:bookmarkStart w:id="125" w:name="_Toc4728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19"/>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0"/>
      <w:bookmarkEnd w:id="121"/>
      <w:bookmarkEnd w:id="122"/>
      <w:bookmarkEnd w:id="123"/>
      <w:bookmarkEnd w:id="124"/>
      <w:bookmarkEnd w:id="125"/>
    </w:p>
    <w:p w14:paraId="0BE35777">
      <w:pPr>
        <w:spacing w:line="440" w:lineRule="exact"/>
        <w:ind w:left="1619" w:leftChars="771"/>
        <w:rPr>
          <w:rFonts w:ascii="Times New Roman" w:hAnsi="Times New Roman" w:eastAsia="黑体" w:cs="Times New Roman"/>
          <w:color w:val="auto"/>
          <w:sz w:val="24"/>
        </w:rPr>
      </w:pPr>
      <w:bookmarkStart w:id="126" w:name="_Toc7453_WPSOffice_Level1"/>
      <w:bookmarkStart w:id="127" w:name="_Toc18964_WPSOffice_Level1"/>
      <w:bookmarkStart w:id="128" w:name="_Toc10608_WPSOffice_Level1"/>
      <w:bookmarkStart w:id="129" w:name="_Toc7286_WPSOffice_Level1"/>
      <w:bookmarkStart w:id="130" w:name="_Toc27790_WPSOffice_Level1"/>
      <w:bookmarkStart w:id="131" w:name="_Toc23744_WPSOffice_Level1"/>
      <w:bookmarkStart w:id="132" w:name="_Toc2487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26"/>
      <w:bookmarkEnd w:id="127"/>
      <w:bookmarkEnd w:id="128"/>
      <w:bookmarkEnd w:id="129"/>
      <w:r>
        <w:rPr>
          <w:rFonts w:hint="eastAsia" w:ascii="Times New Roman" w:hAnsi="Times New Roman" w:eastAsia="黑体" w:cs="Times New Roman"/>
          <w:color w:val="auto"/>
          <w:sz w:val="24"/>
        </w:rPr>
        <w:t>供应商基本情况</w:t>
      </w:r>
      <w:bookmarkEnd w:id="130"/>
      <w:bookmarkEnd w:id="131"/>
      <w:bookmarkEnd w:id="132"/>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3" w:name="_Toc16988_WPSOffice_Level1"/>
      <w:bookmarkStart w:id="134" w:name="_Toc8423_WPSOffice_Level1"/>
      <w:bookmarkStart w:id="135" w:name="_Toc21092_WPSOffice_Level1"/>
      <w:bookmarkStart w:id="136" w:name="_Toc5885_WPSOffice_Level1"/>
      <w:r>
        <w:rPr>
          <w:rFonts w:hint="eastAsia" w:ascii="Times New Roman" w:hAnsi="Times New Roman" w:eastAsia="黑体" w:cs="Times New Roman"/>
          <w:color w:val="auto"/>
          <w:sz w:val="24"/>
        </w:rPr>
        <w:t>六、</w:t>
      </w:r>
      <w:bookmarkEnd w:id="133"/>
      <w:bookmarkEnd w:id="134"/>
      <w:bookmarkEnd w:id="135"/>
      <w:bookmarkEnd w:id="136"/>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37" w:name="_Toc29334_WPSOffice_Level1"/>
      <w:bookmarkStart w:id="138" w:name="_Toc27336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37"/>
      <w:bookmarkEnd w:id="138"/>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eastAsia="宋体"/>
          <w:color w:val="auto"/>
          <w:sz w:val="24"/>
          <w:szCs w:val="24"/>
          <w:highlight w:val="none"/>
          <w:u w:val="single"/>
          <w:lang w:eastAsia="zh-CN"/>
        </w:rPr>
        <w:t>柯家村矿区及深加工产业园廊桥外罩工程岩棉复合板、隔音板采购项目</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9" w:name="_Hlk122530524"/>
      <w:r>
        <w:rPr>
          <w:rFonts w:hint="eastAsia" w:ascii="宋体" w:hAnsi="宋体" w:cs="宋体"/>
          <w:color w:val="auto"/>
          <w:sz w:val="24"/>
          <w:szCs w:val="24"/>
          <w:u w:val="single"/>
        </w:rPr>
        <w:t xml:space="preserve">           </w:t>
      </w:r>
      <w:bookmarkEnd w:id="139"/>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0" w:name="_Toc21389_WPSOffice_Level1"/>
      <w:bookmarkStart w:id="141" w:name="_Toc29236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0"/>
      <w:bookmarkEnd w:id="141"/>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柯家村矿区及深加工产业园廊桥外罩工程岩棉复合板、隔音板采购项目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2" w:name="_Toc1902_WPSOffice_Level1"/>
      <w:bookmarkStart w:id="143" w:name="_Toc2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2"/>
      <w:bookmarkEnd w:id="143"/>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49F7103F">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1．本采购清单应与</w:t>
      </w:r>
      <w:r>
        <w:rPr>
          <w:rFonts w:hint="eastAsia" w:ascii="宋体" w:hAnsi="宋体"/>
          <w:color w:val="auto"/>
          <w:szCs w:val="21"/>
        </w:rPr>
        <w:t>询比文件</w:t>
      </w:r>
      <w:r>
        <w:rPr>
          <w:rFonts w:ascii="宋体" w:hAnsi="宋体"/>
          <w:color w:val="auto"/>
          <w:szCs w:val="21"/>
        </w:rPr>
        <w:t>、合同条款等文件结合起来查阅与理解。</w:t>
      </w:r>
    </w:p>
    <w:p w14:paraId="10584972">
      <w:pPr>
        <w:adjustRightInd w:val="0"/>
        <w:snapToGrid w:val="0"/>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此价格为货到工</w:t>
      </w:r>
      <w:r>
        <w:rPr>
          <w:rFonts w:hint="eastAsia" w:ascii="宋体" w:hAnsi="宋体"/>
          <w:color w:val="auto"/>
          <w:szCs w:val="21"/>
          <w:highlight w:val="none"/>
        </w:rPr>
        <w:t>地</w:t>
      </w:r>
      <w:r>
        <w:rPr>
          <w:rFonts w:hint="eastAsia" w:ascii="宋体" w:hAnsi="宋体"/>
          <w:color w:val="auto"/>
          <w:szCs w:val="21"/>
          <w:highlight w:val="none"/>
          <w:lang w:val="en-US" w:eastAsia="zh-CN"/>
        </w:rPr>
        <w:t>的综合</w:t>
      </w:r>
      <w:r>
        <w:rPr>
          <w:rFonts w:hint="eastAsia" w:ascii="宋体" w:hAnsi="宋体"/>
          <w:color w:val="auto"/>
          <w:szCs w:val="21"/>
          <w:highlight w:val="none"/>
        </w:rPr>
        <w:t>价格</w:t>
      </w:r>
      <w:r>
        <w:rPr>
          <w:rFonts w:hint="eastAsia" w:ascii="宋体" w:hAnsi="宋体"/>
          <w:color w:val="auto"/>
          <w:szCs w:val="21"/>
        </w:rPr>
        <w:t>，已包含产品设计、生产、包装、保险、装车费、运输、备品备件专用工具、税费（国家规定的各项税费用）。因社会事件、国家政策性和市场性调整造成材料、人工、机械等价格上下浮动，</w:t>
      </w:r>
      <w:r>
        <w:rPr>
          <w:rFonts w:hint="eastAsia" w:ascii="宋体" w:hAnsi="宋体"/>
          <w:color w:val="auto"/>
          <w:szCs w:val="21"/>
          <w:lang w:val="en-US" w:eastAsia="zh-CN"/>
        </w:rPr>
        <w:t>投标人</w:t>
      </w:r>
      <w:r>
        <w:rPr>
          <w:rFonts w:hint="eastAsia" w:ascii="宋体" w:hAnsi="宋体"/>
          <w:color w:val="auto"/>
          <w:szCs w:val="21"/>
        </w:rPr>
        <w:t>可以或者应当预见的风险以及合同明确的其他风险等均由乙方自行负担；综合单价不因工程量的变动而变动、也不因工程复杂程度的不同而变动；因</w:t>
      </w:r>
      <w:r>
        <w:rPr>
          <w:rFonts w:hint="eastAsia" w:ascii="宋体" w:hAnsi="宋体"/>
          <w:color w:val="auto"/>
          <w:szCs w:val="21"/>
          <w:lang w:val="en-US" w:eastAsia="zh-CN"/>
        </w:rPr>
        <w:t>投标人</w:t>
      </w:r>
      <w:r>
        <w:rPr>
          <w:rFonts w:hint="eastAsia" w:ascii="宋体" w:hAnsi="宋体"/>
          <w:color w:val="auto"/>
          <w:szCs w:val="21"/>
        </w:rPr>
        <w:t>管理不善引起的费用增加以及为方便施工而增加的费用均由</w:t>
      </w:r>
      <w:r>
        <w:rPr>
          <w:rFonts w:hint="eastAsia" w:ascii="宋体" w:hAnsi="宋体"/>
          <w:color w:val="auto"/>
          <w:szCs w:val="21"/>
          <w:lang w:val="en-US" w:eastAsia="zh-CN"/>
        </w:rPr>
        <w:t>投标人</w:t>
      </w:r>
      <w:r>
        <w:rPr>
          <w:rFonts w:hint="eastAsia" w:ascii="宋体" w:hAnsi="宋体"/>
          <w:color w:val="auto"/>
          <w:szCs w:val="21"/>
        </w:rPr>
        <w:t>自行承担。</w:t>
      </w:r>
    </w:p>
    <w:p w14:paraId="077B9D24">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u w:val="none"/>
          <w:lang w:val="en-US" w:eastAsia="zh-CN"/>
        </w:rPr>
        <w:t>3</w:t>
      </w:r>
      <w:r>
        <w:rPr>
          <w:rFonts w:hint="eastAsia" w:ascii="宋体" w:hAnsi="宋体"/>
          <w:color w:val="auto"/>
          <w:szCs w:val="21"/>
          <w:u w:val="none"/>
        </w:rPr>
        <w:t>.</w:t>
      </w:r>
      <w:r>
        <w:rPr>
          <w:rFonts w:ascii="宋体" w:hAnsi="宋体"/>
          <w:color w:val="auto"/>
          <w:szCs w:val="21"/>
          <w:u w:val="none"/>
        </w:rPr>
        <w:t>采购清单中的各项费用货币单位均为人民币(元)。</w:t>
      </w:r>
    </w:p>
    <w:p w14:paraId="4C6A3E90">
      <w:pPr>
        <w:adjustRightInd w:val="0"/>
        <w:snapToGrid w:val="0"/>
        <w:spacing w:line="360" w:lineRule="auto"/>
        <w:ind w:firstLine="420" w:firstLineChars="200"/>
        <w:rPr>
          <w:rFonts w:ascii="宋体" w:hAnsi="宋体"/>
          <w:color w:val="auto"/>
          <w:szCs w:val="21"/>
          <w:u w:val="none"/>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法定代表人或其</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9AA5C4A">
      <w:pPr>
        <w:spacing w:line="360" w:lineRule="auto"/>
        <w:jc w:val="left"/>
        <w:rPr>
          <w:rFonts w:hint="eastAsia" w:ascii="宋体" w:hAnsi="宋体"/>
          <w:b/>
          <w:color w:val="auto"/>
        </w:rPr>
      </w:pPr>
    </w:p>
    <w:p w14:paraId="2B95BD73">
      <w:pPr>
        <w:spacing w:line="360" w:lineRule="auto"/>
        <w:jc w:val="left"/>
        <w:rPr>
          <w:rFonts w:hint="eastAsia" w:ascii="宋体" w:hAnsi="宋体"/>
          <w:b/>
          <w:color w:val="auto"/>
        </w:rPr>
      </w:pPr>
    </w:p>
    <w:p w14:paraId="5C2E5AEF">
      <w:pPr>
        <w:spacing w:line="360" w:lineRule="auto"/>
        <w:jc w:val="left"/>
        <w:rPr>
          <w:rFonts w:hint="eastAsia" w:ascii="宋体" w:hAnsi="宋体"/>
          <w:b/>
          <w:color w:val="auto"/>
        </w:rPr>
      </w:pPr>
    </w:p>
    <w:p w14:paraId="7BE7572D">
      <w:pPr>
        <w:spacing w:line="360" w:lineRule="auto"/>
        <w:jc w:val="left"/>
        <w:rPr>
          <w:rFonts w:hint="eastAsia" w:ascii="宋体" w:hAnsi="宋体"/>
          <w:b/>
          <w:color w:val="auto"/>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w:t>
      </w:r>
      <w:r>
        <w:rPr>
          <w:rFonts w:hint="eastAsia" w:ascii="宋体" w:hAnsi="宋体" w:cs="宋体"/>
          <w:b w:val="0"/>
          <w:bCs/>
          <w:color w:val="auto"/>
          <w:sz w:val="24"/>
          <w:lang w:val="en-US" w:eastAsia="zh-CN"/>
        </w:rPr>
        <w:t>装车、</w:t>
      </w:r>
      <w:r>
        <w:rPr>
          <w:rFonts w:hint="eastAsia" w:ascii="宋体" w:hAnsi="宋体" w:cs="宋体"/>
          <w:b w:val="0"/>
          <w:bCs/>
          <w:color w:val="auto"/>
          <w:sz w:val="24"/>
        </w:rPr>
        <w:t>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涉及材料检测复试费用均由供应商承担，抽检频率和批次按国家、行业标准或甲方要求执行。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4.材料须在包装外壁醒目位置及卷材上永久性标示生产厂家、生产批次、品牌标志、规格型号、唯一性可追溯性编码标识（如二维码）等信息。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5.材料供货进度应满足采购人工程进度分批次实施的安排和要求，中标人应充分理解并全力配合采购人的材料采购、进场工作，并承担因送货次数增加而引起的运输成本增加等相应风险。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材料质量负总责，材料进场应按程序履行报验、交接手续；因材料质量问题，将视作违约，中标人须赔偿由此造成返工的全部工程建设费用及其他一切损失，同时由采购人追究中标人的违约责任，情节严重的，依法追究相关责任。</w:t>
      </w:r>
    </w:p>
    <w:p w14:paraId="69384C2B">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4" w:name="_Toc22419_WPSOffice_Level1"/>
      <w:bookmarkStart w:id="145"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46" w:name="_Toc25374_WPSOffice_Level2"/>
      <w:bookmarkStart w:id="147" w:name="_Toc803_WPSOffice_Level2"/>
      <w:r>
        <w:rPr>
          <w:rFonts w:ascii="Times New Roman" w:hAnsi="Times New Roman" w:eastAsia="黑体" w:cs="Times New Roman"/>
          <w:color w:val="auto"/>
          <w:sz w:val="28"/>
          <w:szCs w:val="28"/>
        </w:rPr>
        <w:t>供应商基本情况</w:t>
      </w:r>
      <w:bookmarkEnd w:id="144"/>
      <w:bookmarkEnd w:id="145"/>
      <w:bookmarkEnd w:id="146"/>
      <w:bookmarkEnd w:id="147"/>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48" w:name="_Toc5889_WPSOffice_Level1"/>
      <w:bookmarkStart w:id="149" w:name="_Toc27376_WPSOffice_Level1"/>
      <w:bookmarkStart w:id="150" w:name="_Toc26594_WPSOffice_Level1"/>
      <w:bookmarkStart w:id="151" w:name="_Toc27072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48"/>
      <w:bookmarkEnd w:id="149"/>
      <w:bookmarkEnd w:id="150"/>
      <w:bookmarkEnd w:id="151"/>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2" w:name="_Toc22014_WPSOffice_Level1"/>
      <w:bookmarkStart w:id="153"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2"/>
      <w:bookmarkEnd w:id="153"/>
    </w:p>
    <w:p w14:paraId="1D4A1A74">
      <w:pPr>
        <w:pStyle w:val="7"/>
        <w:spacing w:line="360" w:lineRule="auto"/>
        <w:outlineLvl w:val="0"/>
        <w:rPr>
          <w:rFonts w:ascii="Times New Roman" w:hAnsi="Times New Roman"/>
          <w:color w:val="auto"/>
          <w:szCs w:val="28"/>
        </w:rPr>
      </w:pPr>
      <w:bookmarkStart w:id="154" w:name="_Toc32376"/>
      <w:bookmarkStart w:id="155" w:name="_Toc12549"/>
      <w:bookmarkStart w:id="156" w:name="_Toc27019"/>
      <w:bookmarkStart w:id="157" w:name="_Toc26341"/>
      <w:bookmarkStart w:id="158" w:name="_Toc16506"/>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4"/>
      <w:bookmarkEnd w:id="155"/>
      <w:bookmarkEnd w:id="156"/>
      <w:bookmarkEnd w:id="157"/>
      <w:bookmarkEnd w:id="158"/>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5"/>
    <w:bookmarkEnd w:id="66"/>
    <w:bookmarkEnd w:id="67"/>
    <w:bookmarkEnd w:id="68"/>
    <w:bookmarkEnd w:id="69"/>
    <w:bookmarkEnd w:id="70"/>
    <w:bookmarkEnd w:id="71"/>
    <w:bookmarkEnd w:id="72"/>
    <w:bookmarkEnd w:id="73"/>
    <w:bookmarkEnd w:id="74"/>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F3FCE-2FDA-4C89-8F35-08F499E874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D7526BC8-56BF-4091-82A7-86BA13BD961D}"/>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43BEE6B6-80B0-43F2-A7E3-0076DD2A0F19}"/>
  </w:font>
  <w:font w:name="华文楷体">
    <w:panose1 w:val="02010600040101010101"/>
    <w:charset w:val="86"/>
    <w:family w:val="auto"/>
    <w:pitch w:val="default"/>
    <w:sig w:usb0="00000287" w:usb1="080F0000" w:usb2="00000000" w:usb3="00000000" w:csb0="0004009F" w:csb1="DFD70000"/>
    <w:embedRegular r:id="rId4" w:fontKey="{7414F497-DDA8-4DF9-97C1-26401DC65E0D}"/>
  </w:font>
  <w:font w:name="仿宋_GB2312">
    <w:altName w:val="仿宋"/>
    <w:panose1 w:val="02010609030101010101"/>
    <w:charset w:val="86"/>
    <w:family w:val="modern"/>
    <w:pitch w:val="default"/>
    <w:sig w:usb0="00000000" w:usb1="00000000" w:usb2="00000000" w:usb3="00000000" w:csb0="00040000" w:csb1="00000000"/>
    <w:embedRegular r:id="rId5" w:fontKey="{DBB13CA0-650F-444A-96FE-B8FD012D490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6" w:fontKey="{BA515FF8-C76B-43B0-A478-F6AA4F9621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96DC35">
                          <w:pPr>
                            <w:pStyle w:val="13"/>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14:paraId="6596DC35">
                    <w:pPr>
                      <w:pStyle w:val="13"/>
                      <w:rPr>
                        <w:rFonts w:hint="default"/>
                        <w:sz w:val="18"/>
                        <w:szCs w:val="18"/>
                      </w:rPr>
                    </w:pPr>
                    <w:r>
                      <w:rPr>
                        <w:rFonts w:hint="default"/>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thickThinSmallGap" w:color="auto" w:sz="12"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FF7358"/>
    <w:rsid w:val="038500F8"/>
    <w:rsid w:val="038863C7"/>
    <w:rsid w:val="03A9557F"/>
    <w:rsid w:val="043E163C"/>
    <w:rsid w:val="04701D1E"/>
    <w:rsid w:val="04A27F57"/>
    <w:rsid w:val="04E034BC"/>
    <w:rsid w:val="052828BB"/>
    <w:rsid w:val="05C949EE"/>
    <w:rsid w:val="05F23A3F"/>
    <w:rsid w:val="05F94BA8"/>
    <w:rsid w:val="06341F34"/>
    <w:rsid w:val="06670E60"/>
    <w:rsid w:val="067A3D93"/>
    <w:rsid w:val="068727A0"/>
    <w:rsid w:val="07063EDC"/>
    <w:rsid w:val="073835B2"/>
    <w:rsid w:val="07686C15"/>
    <w:rsid w:val="076958CF"/>
    <w:rsid w:val="079C6BAA"/>
    <w:rsid w:val="07AF3996"/>
    <w:rsid w:val="090B10A0"/>
    <w:rsid w:val="09210464"/>
    <w:rsid w:val="0A1B1122"/>
    <w:rsid w:val="0A2E7496"/>
    <w:rsid w:val="0A3F6D80"/>
    <w:rsid w:val="0A466107"/>
    <w:rsid w:val="0A941F2B"/>
    <w:rsid w:val="0AAD73BC"/>
    <w:rsid w:val="0AB93487"/>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3E486A"/>
    <w:rsid w:val="106D5B52"/>
    <w:rsid w:val="1090350E"/>
    <w:rsid w:val="10944070"/>
    <w:rsid w:val="10A6372F"/>
    <w:rsid w:val="10DA535D"/>
    <w:rsid w:val="110D2AFF"/>
    <w:rsid w:val="111A7AF4"/>
    <w:rsid w:val="11553800"/>
    <w:rsid w:val="115A7068"/>
    <w:rsid w:val="11DF30C9"/>
    <w:rsid w:val="11F117DD"/>
    <w:rsid w:val="126B2BC5"/>
    <w:rsid w:val="12753A2E"/>
    <w:rsid w:val="129325F3"/>
    <w:rsid w:val="12FA3B2F"/>
    <w:rsid w:val="132C74B1"/>
    <w:rsid w:val="13431F92"/>
    <w:rsid w:val="136E2BA5"/>
    <w:rsid w:val="13E11194"/>
    <w:rsid w:val="14031B19"/>
    <w:rsid w:val="144A391D"/>
    <w:rsid w:val="149434CF"/>
    <w:rsid w:val="14BC5944"/>
    <w:rsid w:val="150E5893"/>
    <w:rsid w:val="151148EB"/>
    <w:rsid w:val="15133F2C"/>
    <w:rsid w:val="1551165A"/>
    <w:rsid w:val="15951074"/>
    <w:rsid w:val="15C3657D"/>
    <w:rsid w:val="15CE295E"/>
    <w:rsid w:val="16354792"/>
    <w:rsid w:val="163D1F3A"/>
    <w:rsid w:val="16414AC9"/>
    <w:rsid w:val="165076C7"/>
    <w:rsid w:val="173619DD"/>
    <w:rsid w:val="17433839"/>
    <w:rsid w:val="174D31CB"/>
    <w:rsid w:val="180A195B"/>
    <w:rsid w:val="188350F6"/>
    <w:rsid w:val="188C4113"/>
    <w:rsid w:val="191A46EE"/>
    <w:rsid w:val="19647370"/>
    <w:rsid w:val="19DE1C05"/>
    <w:rsid w:val="19F305F8"/>
    <w:rsid w:val="1A185E2C"/>
    <w:rsid w:val="1A1E1F46"/>
    <w:rsid w:val="1A3C6E09"/>
    <w:rsid w:val="1A657CD8"/>
    <w:rsid w:val="1AA97D25"/>
    <w:rsid w:val="1AB80106"/>
    <w:rsid w:val="1B13501B"/>
    <w:rsid w:val="1B87260E"/>
    <w:rsid w:val="1B9229DE"/>
    <w:rsid w:val="1C0C5403"/>
    <w:rsid w:val="1C511068"/>
    <w:rsid w:val="1CB03FE0"/>
    <w:rsid w:val="1CD07137"/>
    <w:rsid w:val="1CF12CD2"/>
    <w:rsid w:val="1D3772E3"/>
    <w:rsid w:val="1D3F5364"/>
    <w:rsid w:val="1D5F0C97"/>
    <w:rsid w:val="1D612646"/>
    <w:rsid w:val="1D7B16DB"/>
    <w:rsid w:val="1D9C6C71"/>
    <w:rsid w:val="1DD02C25"/>
    <w:rsid w:val="1E6366BC"/>
    <w:rsid w:val="1E7E7378"/>
    <w:rsid w:val="1E892D3B"/>
    <w:rsid w:val="1F1E0D0C"/>
    <w:rsid w:val="1F8615BF"/>
    <w:rsid w:val="1F93095F"/>
    <w:rsid w:val="1FB449F5"/>
    <w:rsid w:val="1FC01B05"/>
    <w:rsid w:val="1FF20E13"/>
    <w:rsid w:val="20220D88"/>
    <w:rsid w:val="202D724A"/>
    <w:rsid w:val="20432E03"/>
    <w:rsid w:val="205E123E"/>
    <w:rsid w:val="20CE712B"/>
    <w:rsid w:val="20E701EC"/>
    <w:rsid w:val="211663DC"/>
    <w:rsid w:val="2211172D"/>
    <w:rsid w:val="22456F98"/>
    <w:rsid w:val="22A243CB"/>
    <w:rsid w:val="232C1EE7"/>
    <w:rsid w:val="23610B8C"/>
    <w:rsid w:val="24080C27"/>
    <w:rsid w:val="241D716E"/>
    <w:rsid w:val="243170E3"/>
    <w:rsid w:val="24380B93"/>
    <w:rsid w:val="243E45C7"/>
    <w:rsid w:val="25262F8B"/>
    <w:rsid w:val="25C1521B"/>
    <w:rsid w:val="25CC7C14"/>
    <w:rsid w:val="2613091A"/>
    <w:rsid w:val="265909F3"/>
    <w:rsid w:val="26E81DCB"/>
    <w:rsid w:val="27621A0B"/>
    <w:rsid w:val="279E7B84"/>
    <w:rsid w:val="27B103DE"/>
    <w:rsid w:val="285445B2"/>
    <w:rsid w:val="28D24D9C"/>
    <w:rsid w:val="28FE7045"/>
    <w:rsid w:val="2916341D"/>
    <w:rsid w:val="2941798C"/>
    <w:rsid w:val="294C5129"/>
    <w:rsid w:val="295C70D0"/>
    <w:rsid w:val="29714F34"/>
    <w:rsid w:val="298A7967"/>
    <w:rsid w:val="2A7F386F"/>
    <w:rsid w:val="2A8F70B0"/>
    <w:rsid w:val="2AE43776"/>
    <w:rsid w:val="2B1D5459"/>
    <w:rsid w:val="2C895C20"/>
    <w:rsid w:val="2D141CF6"/>
    <w:rsid w:val="2D984126"/>
    <w:rsid w:val="2DB048E5"/>
    <w:rsid w:val="2DCF6290"/>
    <w:rsid w:val="2DD01EDA"/>
    <w:rsid w:val="2E0A4375"/>
    <w:rsid w:val="2E6740D2"/>
    <w:rsid w:val="2EA119DB"/>
    <w:rsid w:val="2ED8288A"/>
    <w:rsid w:val="300246FB"/>
    <w:rsid w:val="304C62DA"/>
    <w:rsid w:val="30793AE8"/>
    <w:rsid w:val="30C628C5"/>
    <w:rsid w:val="31241EB0"/>
    <w:rsid w:val="319B3695"/>
    <w:rsid w:val="31AF5071"/>
    <w:rsid w:val="31DA4319"/>
    <w:rsid w:val="32332253"/>
    <w:rsid w:val="324271A8"/>
    <w:rsid w:val="32B15339"/>
    <w:rsid w:val="333F226C"/>
    <w:rsid w:val="33C26030"/>
    <w:rsid w:val="342E3E37"/>
    <w:rsid w:val="34C603ED"/>
    <w:rsid w:val="34DF14AF"/>
    <w:rsid w:val="35201A23"/>
    <w:rsid w:val="352E65EA"/>
    <w:rsid w:val="35843E04"/>
    <w:rsid w:val="35B540D6"/>
    <w:rsid w:val="35EF65E1"/>
    <w:rsid w:val="361938E0"/>
    <w:rsid w:val="36585F94"/>
    <w:rsid w:val="36903EA0"/>
    <w:rsid w:val="36C144C3"/>
    <w:rsid w:val="36EE3C2B"/>
    <w:rsid w:val="37B45088"/>
    <w:rsid w:val="37FC42F0"/>
    <w:rsid w:val="381A338C"/>
    <w:rsid w:val="385B429C"/>
    <w:rsid w:val="386046B4"/>
    <w:rsid w:val="388C7CC2"/>
    <w:rsid w:val="38A45E3B"/>
    <w:rsid w:val="38B92676"/>
    <w:rsid w:val="38E1635E"/>
    <w:rsid w:val="39B20761"/>
    <w:rsid w:val="39C062A2"/>
    <w:rsid w:val="39F257E0"/>
    <w:rsid w:val="3A1F1997"/>
    <w:rsid w:val="3A6955BC"/>
    <w:rsid w:val="3B096510"/>
    <w:rsid w:val="3B414529"/>
    <w:rsid w:val="3B47240E"/>
    <w:rsid w:val="3B7C2F21"/>
    <w:rsid w:val="3B8A41D3"/>
    <w:rsid w:val="3BC00DC4"/>
    <w:rsid w:val="3BF07AFD"/>
    <w:rsid w:val="3C651D50"/>
    <w:rsid w:val="3C7D47D0"/>
    <w:rsid w:val="3CF655E7"/>
    <w:rsid w:val="3CF7310E"/>
    <w:rsid w:val="3D6715E4"/>
    <w:rsid w:val="3E103B9E"/>
    <w:rsid w:val="3E2829E9"/>
    <w:rsid w:val="3E3A3803"/>
    <w:rsid w:val="3E5113D8"/>
    <w:rsid w:val="3EC02C34"/>
    <w:rsid w:val="3F1B30E3"/>
    <w:rsid w:val="3F996AB6"/>
    <w:rsid w:val="3FB452E6"/>
    <w:rsid w:val="3FF744E4"/>
    <w:rsid w:val="40182D6D"/>
    <w:rsid w:val="403D54CD"/>
    <w:rsid w:val="408028ED"/>
    <w:rsid w:val="41212AAF"/>
    <w:rsid w:val="4178455B"/>
    <w:rsid w:val="419F354F"/>
    <w:rsid w:val="41A4522E"/>
    <w:rsid w:val="41B873F1"/>
    <w:rsid w:val="41BB6E00"/>
    <w:rsid w:val="41CF3C5E"/>
    <w:rsid w:val="41FB71FC"/>
    <w:rsid w:val="42625E65"/>
    <w:rsid w:val="426A68F1"/>
    <w:rsid w:val="426B29F2"/>
    <w:rsid w:val="42754E3B"/>
    <w:rsid w:val="42ED38B0"/>
    <w:rsid w:val="436A288B"/>
    <w:rsid w:val="439818D4"/>
    <w:rsid w:val="442716E3"/>
    <w:rsid w:val="44623B29"/>
    <w:rsid w:val="448B1C16"/>
    <w:rsid w:val="448C332D"/>
    <w:rsid w:val="44CB7E92"/>
    <w:rsid w:val="44D53D34"/>
    <w:rsid w:val="4551727C"/>
    <w:rsid w:val="456B6294"/>
    <w:rsid w:val="45824D6D"/>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B7D0B"/>
    <w:rsid w:val="4A301A0D"/>
    <w:rsid w:val="4A304D72"/>
    <w:rsid w:val="4A31001B"/>
    <w:rsid w:val="4A623EAE"/>
    <w:rsid w:val="4A720527"/>
    <w:rsid w:val="4ADA08DD"/>
    <w:rsid w:val="4B294D10"/>
    <w:rsid w:val="4B2C0426"/>
    <w:rsid w:val="4B302190"/>
    <w:rsid w:val="4B6869B1"/>
    <w:rsid w:val="4B726EB7"/>
    <w:rsid w:val="4BA17322"/>
    <w:rsid w:val="4C0D05F0"/>
    <w:rsid w:val="4C277DE9"/>
    <w:rsid w:val="4C6063F0"/>
    <w:rsid w:val="4C7D362F"/>
    <w:rsid w:val="4CFD207A"/>
    <w:rsid w:val="4D237C5B"/>
    <w:rsid w:val="4DB33731"/>
    <w:rsid w:val="4DB34E9F"/>
    <w:rsid w:val="4E040F77"/>
    <w:rsid w:val="4F0478A8"/>
    <w:rsid w:val="4F570614"/>
    <w:rsid w:val="4F5A2B8D"/>
    <w:rsid w:val="4F7A3E56"/>
    <w:rsid w:val="503D29A9"/>
    <w:rsid w:val="5051384E"/>
    <w:rsid w:val="5086682B"/>
    <w:rsid w:val="50932863"/>
    <w:rsid w:val="50B27620"/>
    <w:rsid w:val="50C64757"/>
    <w:rsid w:val="51801680"/>
    <w:rsid w:val="524B7D2C"/>
    <w:rsid w:val="525E7F64"/>
    <w:rsid w:val="52707792"/>
    <w:rsid w:val="528B597C"/>
    <w:rsid w:val="53C77F81"/>
    <w:rsid w:val="545223DC"/>
    <w:rsid w:val="54576B14"/>
    <w:rsid w:val="54743C2C"/>
    <w:rsid w:val="54A219EB"/>
    <w:rsid w:val="54DC6786"/>
    <w:rsid w:val="551B0517"/>
    <w:rsid w:val="55CA45E9"/>
    <w:rsid w:val="55CE5FAF"/>
    <w:rsid w:val="560D6F51"/>
    <w:rsid w:val="568D4A8B"/>
    <w:rsid w:val="56B35A9D"/>
    <w:rsid w:val="5787376C"/>
    <w:rsid w:val="57F12437"/>
    <w:rsid w:val="58340631"/>
    <w:rsid w:val="58346B6C"/>
    <w:rsid w:val="584307E1"/>
    <w:rsid w:val="586438F5"/>
    <w:rsid w:val="588621CE"/>
    <w:rsid w:val="588927B2"/>
    <w:rsid w:val="58A2012A"/>
    <w:rsid w:val="58AC03AC"/>
    <w:rsid w:val="58B3037A"/>
    <w:rsid w:val="58C42116"/>
    <w:rsid w:val="59042B8F"/>
    <w:rsid w:val="598F3C15"/>
    <w:rsid w:val="59BA0EC5"/>
    <w:rsid w:val="5A1256BA"/>
    <w:rsid w:val="5A192A7D"/>
    <w:rsid w:val="5A422A3F"/>
    <w:rsid w:val="5AB401FF"/>
    <w:rsid w:val="5AB51CCA"/>
    <w:rsid w:val="5AB57322"/>
    <w:rsid w:val="5AB86B82"/>
    <w:rsid w:val="5B3A093D"/>
    <w:rsid w:val="5B745BFD"/>
    <w:rsid w:val="5BC0596D"/>
    <w:rsid w:val="5BE5635E"/>
    <w:rsid w:val="5C03587B"/>
    <w:rsid w:val="5C3C13C1"/>
    <w:rsid w:val="5C4805D9"/>
    <w:rsid w:val="5DA53F1B"/>
    <w:rsid w:val="5DC63FF9"/>
    <w:rsid w:val="5E0771FD"/>
    <w:rsid w:val="5E2532CC"/>
    <w:rsid w:val="5FC627A0"/>
    <w:rsid w:val="5FD076A0"/>
    <w:rsid w:val="60BE240D"/>
    <w:rsid w:val="60CC0666"/>
    <w:rsid w:val="61393910"/>
    <w:rsid w:val="61DA4AD9"/>
    <w:rsid w:val="61E16FA2"/>
    <w:rsid w:val="6280132C"/>
    <w:rsid w:val="629D4803"/>
    <w:rsid w:val="62AE498D"/>
    <w:rsid w:val="63D57455"/>
    <w:rsid w:val="63FD75D1"/>
    <w:rsid w:val="63FF44D2"/>
    <w:rsid w:val="64AB0CD1"/>
    <w:rsid w:val="64D84E1A"/>
    <w:rsid w:val="65675ED4"/>
    <w:rsid w:val="6683497C"/>
    <w:rsid w:val="66D77581"/>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B480E55"/>
    <w:rsid w:val="6BB90159"/>
    <w:rsid w:val="6BC86E2C"/>
    <w:rsid w:val="6C111246"/>
    <w:rsid w:val="6C124248"/>
    <w:rsid w:val="6C6B059F"/>
    <w:rsid w:val="6C6B0957"/>
    <w:rsid w:val="6CA00B62"/>
    <w:rsid w:val="6CFE27E3"/>
    <w:rsid w:val="6D274D94"/>
    <w:rsid w:val="6D955447"/>
    <w:rsid w:val="6DD01AB0"/>
    <w:rsid w:val="6DEB139F"/>
    <w:rsid w:val="6E77012F"/>
    <w:rsid w:val="6E7A30D3"/>
    <w:rsid w:val="6E8B3FD1"/>
    <w:rsid w:val="6E915043"/>
    <w:rsid w:val="6E9D5013"/>
    <w:rsid w:val="6EB9624D"/>
    <w:rsid w:val="6F4D02A4"/>
    <w:rsid w:val="6F8C6CB0"/>
    <w:rsid w:val="6FDB7D0C"/>
    <w:rsid w:val="702F4391"/>
    <w:rsid w:val="706449CF"/>
    <w:rsid w:val="706B3710"/>
    <w:rsid w:val="706B4417"/>
    <w:rsid w:val="70784F6A"/>
    <w:rsid w:val="70B2470E"/>
    <w:rsid w:val="70C67BA4"/>
    <w:rsid w:val="71817101"/>
    <w:rsid w:val="71943263"/>
    <w:rsid w:val="71B80224"/>
    <w:rsid w:val="71F811EE"/>
    <w:rsid w:val="720B21A0"/>
    <w:rsid w:val="721D31DA"/>
    <w:rsid w:val="72775B5D"/>
    <w:rsid w:val="72C76A78"/>
    <w:rsid w:val="72E163D5"/>
    <w:rsid w:val="730651BF"/>
    <w:rsid w:val="73F502A6"/>
    <w:rsid w:val="7416564C"/>
    <w:rsid w:val="7424043B"/>
    <w:rsid w:val="74DB588C"/>
    <w:rsid w:val="751540E3"/>
    <w:rsid w:val="7522171E"/>
    <w:rsid w:val="756B7C19"/>
    <w:rsid w:val="757762DF"/>
    <w:rsid w:val="76085468"/>
    <w:rsid w:val="764861AD"/>
    <w:rsid w:val="765A1D4D"/>
    <w:rsid w:val="76790114"/>
    <w:rsid w:val="772B58B2"/>
    <w:rsid w:val="77822AD2"/>
    <w:rsid w:val="77C20E5D"/>
    <w:rsid w:val="7846297D"/>
    <w:rsid w:val="78753744"/>
    <w:rsid w:val="791E0B39"/>
    <w:rsid w:val="79487052"/>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915</Words>
  <Characters>976</Characters>
  <Lines>1</Lines>
  <Paragraphs>1</Paragraphs>
  <TotalTime>1</TotalTime>
  <ScaleCrop>false</ScaleCrop>
  <LinksUpToDate>false</LinksUpToDate>
  <CharactersWithSpaces>3126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2025-07-03T11:39:13Z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55B50C58D85F4B7CA28A772F0422495A_13</vt:lpwstr>
  </property>
  <property fmtid="{D5CDD505-2E9C-101B-9397-08002B2CF9AE}" pid="4" name="KSOTemplateDocerSaveRecord">
    <vt:lpwstr>eyJoZGlkIjoiNGRiN2FjM2IwNjUxZWRiZTZhMTg1YTdmYzFhZWExNzgiLCJ1c2VySWQiOiI0MDU4NDYwODgifQ==</vt:lpwstr>
  </property>
</Properties>
</file>