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89177">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合肥市包河区BH202437号地块项目</w:t>
      </w:r>
      <w:bookmarkStart w:id="203" w:name="_GoBack"/>
      <w:bookmarkEnd w:id="203"/>
    </w:p>
    <w:p w14:paraId="332C392A">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二标段水泥砖采购项目</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 xml:space="preserve">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highlight w:val="none"/>
        </w:rPr>
      </w:pPr>
    </w:p>
    <w:p w14:paraId="0D3160AD">
      <w:pPr>
        <w:pStyle w:val="2"/>
        <w:rPr>
          <w:rFonts w:ascii="Times New Roman" w:hAnsi="Times New Roman" w:cs="Times New Roman"/>
          <w:color w:val="auto"/>
          <w:szCs w:val="21"/>
          <w:highlight w:val="none"/>
        </w:rPr>
      </w:pPr>
    </w:p>
    <w:p w14:paraId="6B3871F8">
      <w:pPr>
        <w:rPr>
          <w:color w:val="auto"/>
          <w:highlight w:val="none"/>
        </w:rPr>
      </w:pPr>
    </w:p>
    <w:p w14:paraId="28B17120">
      <w:pPr>
        <w:pStyle w:val="2"/>
        <w:rPr>
          <w:rFonts w:ascii="Times New Roman" w:hAnsi="Times New Roman" w:cs="Times New Roman"/>
          <w:color w:val="auto"/>
          <w:szCs w:val="21"/>
          <w:highlight w:val="none"/>
        </w:rPr>
      </w:pPr>
    </w:p>
    <w:p w14:paraId="3E23AC69">
      <w:pPr>
        <w:pStyle w:val="2"/>
        <w:rPr>
          <w:rFonts w:ascii="Times New Roman" w:hAnsi="Times New Roman" w:cs="Times New Roman"/>
          <w:color w:val="auto"/>
          <w:szCs w:val="21"/>
          <w:highlight w:val="none"/>
        </w:rPr>
      </w:pPr>
    </w:p>
    <w:p w14:paraId="33EC8FBC">
      <w:pPr>
        <w:pStyle w:val="3"/>
        <w:rPr>
          <w:rFonts w:ascii="Times New Roman" w:hAnsi="Times New Roman" w:cs="Times New Roman"/>
          <w:color w:val="auto"/>
          <w:szCs w:val="21"/>
          <w:highlight w:val="none"/>
        </w:rPr>
      </w:pPr>
    </w:p>
    <w:p w14:paraId="66600C50">
      <w:pPr>
        <w:jc w:val="center"/>
        <w:rPr>
          <w:rFonts w:hint="eastAsia" w:ascii="Times New Roman" w:hAnsi="Times New Roman" w:eastAsia="黑体" w:cs="Times New Roman"/>
          <w:color w:val="auto"/>
          <w:sz w:val="72"/>
          <w:szCs w:val="72"/>
          <w:highlight w:val="none"/>
          <w:lang w:eastAsia="zh-CN"/>
        </w:rPr>
      </w:pPr>
      <w:r>
        <w:rPr>
          <w:rFonts w:ascii="Times New Roman" w:hAnsi="Times New Roman" w:eastAsia="黑体" w:cs="Times New Roman"/>
          <w:color w:val="auto"/>
          <w:sz w:val="72"/>
          <w:szCs w:val="72"/>
          <w:highlight w:val="none"/>
        </w:rPr>
        <w:t>询  比  文  件</w:t>
      </w:r>
    </w:p>
    <w:p w14:paraId="29855586">
      <w:pPr>
        <w:spacing w:line="540" w:lineRule="exact"/>
        <w:ind w:firstLine="420"/>
        <w:rPr>
          <w:rFonts w:ascii="Times New Roman" w:hAnsi="Times New Roman" w:cs="Times New Roman"/>
          <w:color w:val="auto"/>
          <w:szCs w:val="21"/>
          <w:highlight w:val="none"/>
        </w:rPr>
      </w:pPr>
    </w:p>
    <w:p w14:paraId="49468AB4">
      <w:pPr>
        <w:spacing w:line="540" w:lineRule="exact"/>
        <w:ind w:firstLine="420"/>
        <w:rPr>
          <w:rFonts w:ascii="Times New Roman" w:hAnsi="Times New Roman" w:cs="Times New Roman"/>
          <w:color w:val="auto"/>
          <w:szCs w:val="21"/>
          <w:highlight w:val="none"/>
        </w:rPr>
      </w:pPr>
    </w:p>
    <w:p w14:paraId="349D569A">
      <w:pPr>
        <w:spacing w:line="540" w:lineRule="exact"/>
        <w:ind w:firstLine="420"/>
        <w:rPr>
          <w:rFonts w:ascii="Times New Roman" w:hAnsi="Times New Roman" w:cs="Times New Roman"/>
          <w:color w:val="auto"/>
          <w:szCs w:val="21"/>
          <w:highlight w:val="none"/>
        </w:rPr>
      </w:pPr>
    </w:p>
    <w:p w14:paraId="3A05B35C">
      <w:pPr>
        <w:spacing w:line="540" w:lineRule="exact"/>
        <w:ind w:firstLine="420"/>
        <w:rPr>
          <w:rFonts w:ascii="Times New Roman" w:hAnsi="Times New Roman" w:cs="Times New Roman"/>
          <w:color w:val="auto"/>
          <w:szCs w:val="21"/>
          <w:highlight w:val="none"/>
        </w:rPr>
      </w:pPr>
    </w:p>
    <w:p w14:paraId="46AEBA11">
      <w:pPr>
        <w:spacing w:line="540" w:lineRule="exact"/>
        <w:ind w:firstLine="420"/>
        <w:rPr>
          <w:rFonts w:ascii="Times New Roman" w:hAnsi="Times New Roman" w:cs="Times New Roman"/>
          <w:color w:val="auto"/>
          <w:szCs w:val="21"/>
          <w:highlight w:val="none"/>
        </w:rPr>
      </w:pPr>
    </w:p>
    <w:p w14:paraId="35849173">
      <w:pPr>
        <w:spacing w:line="540" w:lineRule="exact"/>
        <w:ind w:firstLine="420"/>
        <w:rPr>
          <w:rFonts w:ascii="Times New Roman" w:hAnsi="Times New Roman" w:cs="Times New Roman"/>
          <w:color w:val="auto"/>
          <w:szCs w:val="21"/>
          <w:highlight w:val="none"/>
        </w:rPr>
      </w:pPr>
    </w:p>
    <w:p w14:paraId="424D0981">
      <w:pPr>
        <w:spacing w:line="540" w:lineRule="exact"/>
        <w:ind w:firstLine="420"/>
        <w:rPr>
          <w:rFonts w:ascii="Times New Roman" w:hAnsi="Times New Roman" w:cs="Times New Roman"/>
          <w:color w:val="auto"/>
          <w:szCs w:val="21"/>
          <w:highlight w:val="none"/>
        </w:rPr>
      </w:pPr>
    </w:p>
    <w:p w14:paraId="07A1887D">
      <w:pPr>
        <w:spacing w:line="540" w:lineRule="exact"/>
        <w:ind w:firstLine="420"/>
        <w:rPr>
          <w:rFonts w:ascii="Times New Roman" w:hAnsi="Times New Roman" w:cs="Times New Roman"/>
          <w:color w:val="auto"/>
          <w:szCs w:val="21"/>
          <w:highlight w:val="none"/>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highlight w:val="none"/>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highlight w:val="none"/>
          <w:u w:val="single"/>
          <w:lang w:eastAsia="zh-CN"/>
        </w:rPr>
      </w:pPr>
      <w:r>
        <w:rPr>
          <w:rFonts w:hint="eastAsia" w:ascii="黑体" w:hAnsi="黑体" w:eastAsia="黑体" w:cs="黑体"/>
          <w:color w:val="auto"/>
          <w:sz w:val="32"/>
          <w:szCs w:val="32"/>
          <w:highlight w:val="none"/>
        </w:rPr>
        <w:t>采</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购</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人：</w:t>
      </w:r>
      <w:r>
        <w:rPr>
          <w:rFonts w:hint="eastAsia" w:ascii="黑体" w:hAnsi="黑体" w:eastAsia="黑体" w:cs="黑体"/>
          <w:color w:val="auto"/>
          <w:sz w:val="32"/>
          <w:szCs w:val="32"/>
          <w:highlight w:val="none"/>
          <w:u w:val="single"/>
          <w:lang w:eastAsia="zh-CN"/>
        </w:rPr>
        <w:t>安徽省经工物资有限公司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日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 xml:space="preserve"> 2025 </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 xml:space="preserve"> 8 </w:t>
      </w:r>
      <w:r>
        <w:rPr>
          <w:rFonts w:hint="eastAsia" w:ascii="黑体" w:hAnsi="黑体" w:eastAsia="黑体" w:cs="黑体"/>
          <w:color w:val="auto"/>
          <w:sz w:val="32"/>
          <w:szCs w:val="32"/>
          <w:highlight w:val="none"/>
        </w:rPr>
        <w:t>月</w:t>
      </w:r>
    </w:p>
    <w:p w14:paraId="76D6F35A">
      <w:pPr>
        <w:pStyle w:val="2"/>
        <w:rPr>
          <w:rFonts w:hint="eastAsia" w:ascii="黑体" w:hAnsi="黑体" w:eastAsia="黑体" w:cs="黑体"/>
          <w:color w:val="FF0000"/>
          <w:sz w:val="32"/>
          <w:szCs w:val="32"/>
          <w:highlight w:val="none"/>
        </w:rPr>
      </w:pPr>
    </w:p>
    <w:p w14:paraId="02CB63D9">
      <w:pPr>
        <w:pStyle w:val="3"/>
        <w:rPr>
          <w:rFonts w:hint="eastAsia"/>
        </w:rPr>
      </w:pPr>
    </w:p>
    <w:sdt>
      <w:sdtPr>
        <w:rPr>
          <w:rFonts w:ascii="宋体" w:hAnsi="宋体" w:eastAsia="宋体" w:cstheme="minorBidi"/>
          <w:color w:val="auto"/>
          <w:kern w:val="2"/>
          <w:sz w:val="32"/>
          <w:szCs w:val="40"/>
          <w:highlight w:val="none"/>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highlight w:val="none"/>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highlight w:val="none"/>
            </w:rPr>
          </w:pPr>
          <w:r>
            <w:rPr>
              <w:rFonts w:ascii="宋体" w:hAnsi="宋体" w:eastAsia="宋体"/>
              <w:b/>
              <w:bCs/>
              <w:color w:val="auto"/>
              <w:sz w:val="32"/>
              <w:szCs w:val="40"/>
              <w:highlight w:val="none"/>
            </w:rPr>
            <w:t>目</w:t>
          </w:r>
          <w:r>
            <w:rPr>
              <w:rFonts w:hint="eastAsia" w:ascii="宋体" w:hAnsi="宋体" w:eastAsia="宋体"/>
              <w:b/>
              <w:bCs/>
              <w:color w:val="auto"/>
              <w:sz w:val="32"/>
              <w:szCs w:val="40"/>
              <w:highlight w:val="none"/>
              <w:lang w:val="en-US" w:eastAsia="zh-CN"/>
            </w:rPr>
            <w:t xml:space="preserve"> </w:t>
          </w:r>
          <w:r>
            <w:rPr>
              <w:rFonts w:ascii="宋体" w:hAnsi="宋体" w:eastAsia="宋体"/>
              <w:b/>
              <w:bCs/>
              <w:color w:val="auto"/>
              <w:sz w:val="32"/>
              <w:szCs w:val="40"/>
              <w:highlight w:val="none"/>
            </w:rPr>
            <w:t>录</w:t>
          </w:r>
        </w:p>
        <w:p w14:paraId="323B9A5F">
          <w:pPr>
            <w:pStyle w:val="15"/>
            <w:tabs>
              <w:tab w:val="right" w:leader="dot" w:pos="8312"/>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_Toc16250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highlight w:val="none"/>
            </w:rPr>
            <w:t>采购公告</w:t>
          </w:r>
          <w:r>
            <w:tab/>
          </w:r>
          <w:r>
            <w:fldChar w:fldCharType="begin"/>
          </w:r>
          <w:r>
            <w:instrText xml:space="preserve"> PAGEREF _Toc16250 \h </w:instrText>
          </w:r>
          <w:r>
            <w:fldChar w:fldCharType="separate"/>
          </w:r>
          <w:r>
            <w:t>3</w:t>
          </w:r>
          <w:r>
            <w:fldChar w:fldCharType="end"/>
          </w:r>
          <w:r>
            <w:rPr>
              <w:rFonts w:hint="eastAsia" w:ascii="宋体" w:hAnsi="宋体" w:eastAsia="宋体" w:cs="宋体"/>
              <w:color w:val="auto"/>
              <w:szCs w:val="24"/>
              <w:highlight w:val="none"/>
            </w:rPr>
            <w:fldChar w:fldCharType="end"/>
          </w:r>
        </w:p>
        <w:p w14:paraId="299C33C2">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_Toc9896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highlight w:val="none"/>
            </w:rPr>
            <w:t>供应商须知</w:t>
          </w:r>
          <w:r>
            <w:tab/>
          </w:r>
          <w:r>
            <w:fldChar w:fldCharType="begin"/>
          </w:r>
          <w:r>
            <w:instrText xml:space="preserve"> PAGEREF _Toc9896 \h </w:instrText>
          </w:r>
          <w:r>
            <w:fldChar w:fldCharType="separate"/>
          </w:r>
          <w:r>
            <w:t>6</w:t>
          </w:r>
          <w:r>
            <w:fldChar w:fldCharType="end"/>
          </w:r>
          <w:r>
            <w:rPr>
              <w:rFonts w:hint="eastAsia" w:ascii="宋体" w:hAnsi="宋体" w:eastAsia="宋体" w:cs="宋体"/>
              <w:color w:val="auto"/>
              <w:szCs w:val="24"/>
              <w:highlight w:val="none"/>
            </w:rPr>
            <w:fldChar w:fldCharType="end"/>
          </w:r>
        </w:p>
        <w:p w14:paraId="46B94088">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_Toc11325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highlight w:val="none"/>
            </w:rPr>
            <w:t>评审办法</w:t>
          </w:r>
          <w:r>
            <w:tab/>
          </w:r>
          <w:r>
            <w:fldChar w:fldCharType="begin"/>
          </w:r>
          <w:r>
            <w:instrText xml:space="preserve"> PAGEREF _Toc11325 \h </w:instrText>
          </w:r>
          <w:r>
            <w:fldChar w:fldCharType="separate"/>
          </w:r>
          <w:r>
            <w:t>17</w:t>
          </w:r>
          <w:r>
            <w:fldChar w:fldCharType="end"/>
          </w:r>
          <w:r>
            <w:rPr>
              <w:rFonts w:hint="eastAsia" w:ascii="宋体" w:hAnsi="宋体" w:eastAsia="宋体" w:cs="宋体"/>
              <w:color w:val="auto"/>
              <w:szCs w:val="24"/>
              <w:highlight w:val="none"/>
            </w:rPr>
            <w:fldChar w:fldCharType="end"/>
          </w:r>
        </w:p>
        <w:p w14:paraId="4CDE3A79">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_Toc21136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 xml:space="preserve">第四章 </w:t>
          </w:r>
          <w:r>
            <w:rPr>
              <w:rFonts w:ascii="Times New Roman" w:hAnsi="Times New Roman" w:eastAsia="宋体" w:cs="Times New Roman"/>
              <w:highlight w:val="none"/>
            </w:rPr>
            <w:t>合同内容</w:t>
          </w:r>
          <w:r>
            <w:tab/>
          </w:r>
          <w:r>
            <w:fldChar w:fldCharType="begin"/>
          </w:r>
          <w:r>
            <w:instrText xml:space="preserve"> PAGEREF _Toc21136 \h </w:instrText>
          </w:r>
          <w:r>
            <w:fldChar w:fldCharType="separate"/>
          </w:r>
          <w:r>
            <w:t>25</w:t>
          </w:r>
          <w:r>
            <w:fldChar w:fldCharType="end"/>
          </w:r>
          <w:r>
            <w:rPr>
              <w:rFonts w:hint="eastAsia" w:ascii="宋体" w:hAnsi="宋体" w:eastAsia="宋体" w:cs="宋体"/>
              <w:color w:val="auto"/>
              <w:szCs w:val="24"/>
              <w:highlight w:val="none"/>
            </w:rPr>
            <w:fldChar w:fldCharType="end"/>
          </w:r>
        </w:p>
        <w:p w14:paraId="7B06DCF9">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_Toc16657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第五章 采购需求及清单</w:t>
          </w:r>
          <w:r>
            <w:tab/>
          </w:r>
          <w:r>
            <w:fldChar w:fldCharType="begin"/>
          </w:r>
          <w:r>
            <w:instrText xml:space="preserve"> PAGEREF _Toc16657 \h </w:instrText>
          </w:r>
          <w:r>
            <w:fldChar w:fldCharType="separate"/>
          </w:r>
          <w:r>
            <w:t>41</w:t>
          </w:r>
          <w:r>
            <w:fldChar w:fldCharType="end"/>
          </w:r>
          <w:r>
            <w:rPr>
              <w:rFonts w:hint="eastAsia" w:ascii="宋体" w:hAnsi="宋体" w:eastAsia="宋体" w:cs="宋体"/>
              <w:color w:val="auto"/>
              <w:szCs w:val="24"/>
              <w:highlight w:val="none"/>
            </w:rPr>
            <w:fldChar w:fldCharType="end"/>
          </w:r>
        </w:p>
        <w:p w14:paraId="791C44D9">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_Toc32017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 xml:space="preserve">第六章 </w:t>
          </w:r>
          <w:r>
            <w:rPr>
              <w:rFonts w:hint="eastAsia" w:ascii="Times New Roman" w:hAnsi="Times New Roman" w:eastAsia="宋体" w:cs="Times New Roman"/>
              <w:highlight w:val="none"/>
            </w:rPr>
            <w:t>响应文件格式</w:t>
          </w:r>
          <w:r>
            <w:tab/>
          </w:r>
          <w:r>
            <w:fldChar w:fldCharType="begin"/>
          </w:r>
          <w:r>
            <w:instrText xml:space="preserve"> PAGEREF _Toc32017 \h </w:instrText>
          </w:r>
          <w:r>
            <w:fldChar w:fldCharType="separate"/>
          </w:r>
          <w:r>
            <w:t>42</w:t>
          </w:r>
          <w:r>
            <w:fldChar w:fldCharType="end"/>
          </w:r>
          <w:r>
            <w:rPr>
              <w:rFonts w:hint="eastAsia" w:ascii="宋体" w:hAnsi="宋体" w:eastAsia="宋体" w:cs="宋体"/>
              <w:color w:val="auto"/>
              <w:szCs w:val="24"/>
              <w:highlight w:val="none"/>
            </w:rPr>
            <w:fldChar w:fldCharType="end"/>
          </w:r>
        </w:p>
        <w:p w14:paraId="0C6A63A8">
          <w:pPr>
            <w:pStyle w:val="15"/>
            <w:tabs>
              <w:tab w:val="right" w:leader="dot" w:pos="8312"/>
            </w:tabs>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highlight w:val="none"/>
            </w:rPr>
          </w:pPr>
          <w:r>
            <w:rPr>
              <w:rFonts w:hint="eastAsia" w:ascii="宋体" w:hAnsi="宋体" w:eastAsia="宋体" w:cs="宋体"/>
              <w:color w:val="auto"/>
              <w:szCs w:val="24"/>
              <w:highlight w:val="none"/>
            </w:rPr>
            <w:fldChar w:fldCharType="end"/>
          </w:r>
        </w:p>
      </w:sdtContent>
    </w:sdt>
    <w:p w14:paraId="3BF787A3">
      <w:pPr>
        <w:jc w:val="center"/>
        <w:rPr>
          <w:rFonts w:ascii="宋体" w:hAnsi="宋体" w:eastAsia="宋体"/>
          <w:color w:val="auto"/>
          <w:highlight w:val="none"/>
        </w:rPr>
      </w:pPr>
    </w:p>
    <w:p w14:paraId="46EE0C31">
      <w:pPr>
        <w:jc w:val="center"/>
        <w:rPr>
          <w:rFonts w:ascii="宋体" w:hAnsi="宋体" w:eastAsia="宋体"/>
          <w:color w:val="auto"/>
          <w:highlight w:val="none"/>
        </w:rPr>
      </w:pPr>
    </w:p>
    <w:p w14:paraId="30FB8451">
      <w:pPr>
        <w:pStyle w:val="5"/>
        <w:spacing w:before="312" w:after="312"/>
        <w:rPr>
          <w:rFonts w:ascii="Times New Roman" w:hAnsi="Times New Roman" w:eastAsia="宋体" w:cs="Times New Roman"/>
          <w:color w:val="auto"/>
          <w:highlight w:val="none"/>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5"/>
        <w:spacing w:before="312" w:after="312"/>
        <w:rPr>
          <w:rFonts w:ascii="Times New Roman" w:hAnsi="Times New Roman" w:eastAsia="宋体" w:cs="Times New Roman"/>
          <w:color w:val="auto"/>
          <w:highlight w:val="none"/>
        </w:rPr>
      </w:pPr>
      <w:bookmarkStart w:id="0" w:name="_Toc16250"/>
      <w:r>
        <w:rPr>
          <w:rFonts w:ascii="Times New Roman" w:hAnsi="Times New Roman" w:eastAsia="宋体" w:cs="Times New Roman"/>
          <w:color w:val="auto"/>
          <w:highlight w:val="none"/>
        </w:rPr>
        <w:t>采购公告</w:t>
      </w:r>
      <w:bookmarkEnd w:id="0"/>
    </w:p>
    <w:p w14:paraId="04084549">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6496_WPSOffice_Level2"/>
      <w:bookmarkStart w:id="2" w:name="_Toc10395_WPSOffice_Level2"/>
      <w:bookmarkStart w:id="3" w:name="_Toc525632585"/>
      <w:bookmarkStart w:id="4" w:name="_Toc13871"/>
      <w:bookmarkStart w:id="5" w:name="_Toc12765"/>
      <w:bookmarkStart w:id="6" w:name="_Toc24354_WPSOffice_Level2"/>
      <w:bookmarkStart w:id="7" w:name="_Toc4489_WPSOffice_Level2"/>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合肥市包河区BH202437号地块项目二标段水泥砖采购项目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w:t>
      </w:r>
      <w:r>
        <w:rPr>
          <w:rFonts w:hint="eastAsia" w:ascii="Times New Roman" w:hAnsi="Times New Roman" w:eastAsia="宋体" w:cs="Times New Roman"/>
          <w:color w:val="auto"/>
          <w:sz w:val="21"/>
          <w:szCs w:val="21"/>
          <w:highlight w:val="none"/>
          <w:u w:val="single"/>
          <w:lang w:eastAsia="zh-CN"/>
        </w:rPr>
        <w:t>安徽省经工物资有限公司</w:t>
      </w:r>
      <w:r>
        <w:rPr>
          <w:rFonts w:hint="default" w:ascii="Times New Roman" w:hAnsi="Times New Roman" w:eastAsia="宋体" w:cs="Times New Roman"/>
          <w:color w:val="auto"/>
          <w:sz w:val="21"/>
          <w:szCs w:val="21"/>
          <w:highlight w:val="none"/>
          <w:u w:val="single"/>
        </w:rPr>
        <w:t>。</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 项目概况：</w:t>
      </w:r>
      <w:r>
        <w:rPr>
          <w:rFonts w:hint="eastAsia" w:ascii="Times New Roman" w:hAnsi="Times New Roman" w:eastAsia="宋体" w:cs="Times New Roman"/>
          <w:color w:val="auto"/>
          <w:szCs w:val="21"/>
          <w:highlight w:val="none"/>
          <w:u w:val="single"/>
          <w:lang w:val="en-US" w:eastAsia="zh-CN"/>
        </w:rPr>
        <w:t>本项目总占地面积294.87亩，容积率≤ 1.5，建设一个客房数不少于 500 套的酒店，本次建设的为</w:t>
      </w:r>
      <w:r>
        <w:rPr>
          <w:rFonts w:hint="default" w:ascii="Times New Roman" w:hAnsi="Times New Roman" w:eastAsia="宋体" w:cs="Times New Roman"/>
          <w:color w:val="auto"/>
          <w:szCs w:val="21"/>
          <w:highlight w:val="none"/>
          <w:u w:val="single"/>
          <w:lang w:val="en-US" w:eastAsia="zh-CN"/>
        </w:rPr>
        <w:t>地块内</w:t>
      </w:r>
      <w:r>
        <w:rPr>
          <w:rFonts w:hint="eastAsia" w:ascii="Times New Roman" w:hAnsi="Times New Roman" w:eastAsia="宋体" w:cs="Times New Roman"/>
          <w:color w:val="auto"/>
          <w:szCs w:val="21"/>
          <w:highlight w:val="none"/>
          <w:u w:val="single"/>
          <w:lang w:val="en-US" w:eastAsia="zh-CN"/>
        </w:rPr>
        <w:t>1#楼、2#楼、门卫房</w:t>
      </w:r>
      <w:r>
        <w:rPr>
          <w:rFonts w:hint="default" w:ascii="Times New Roman" w:hAnsi="Times New Roman" w:eastAsia="宋体" w:cs="Times New Roman"/>
          <w:color w:val="auto"/>
          <w:kern w:val="0"/>
          <w:sz w:val="21"/>
          <w:szCs w:val="21"/>
          <w:highlight w:val="none"/>
          <w:u w:val="none"/>
          <w:lang w:eastAsia="zh-CN"/>
        </w:rPr>
        <w:t>。</w:t>
      </w:r>
    </w:p>
    <w:p w14:paraId="4C504C29">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8128_WPSOffice_Level2"/>
      <w:bookmarkStart w:id="9" w:name="_Toc18453"/>
      <w:bookmarkStart w:id="10" w:name="_Toc18367_WPSOffice_Level2"/>
      <w:bookmarkStart w:id="11" w:name="_Toc525632586"/>
      <w:bookmarkStart w:id="12" w:name="_Toc23266_WPSOffice_Level2"/>
      <w:bookmarkStart w:id="13" w:name="_Toc10274"/>
      <w:bookmarkStart w:id="14" w:name="_Toc17858_WPSOffice_Level2"/>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r>
        <w:rPr>
          <w:rFonts w:hint="eastAsia" w:ascii="Times New Roman" w:hAnsi="Times New Roman" w:eastAsia="黑体" w:cs="Times New Roman"/>
          <w:b w:val="0"/>
          <w:bCs/>
          <w:color w:val="auto"/>
          <w:sz w:val="22"/>
          <w:szCs w:val="15"/>
          <w:highlight w:val="none"/>
          <w:lang w:val="en-US" w:eastAsia="zh-CN"/>
        </w:rPr>
        <w:t>.</w:t>
      </w:r>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eastAsia" w:ascii="宋体" w:hAnsi="宋体" w:eastAsia="宋体" w:cs="宋体"/>
          <w:color w:val="auto"/>
          <w:szCs w:val="21"/>
          <w:highlight w:val="none"/>
          <w:u w:val="single"/>
          <w:lang w:val="en-US" w:eastAsia="zh-CN"/>
        </w:rPr>
        <w:t xml:space="preserve">详见采购清单。 </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eastAsia" w:ascii="Times New Roman" w:hAnsi="Times New Roman" w:eastAsia="宋体" w:cs="Times New Roman"/>
          <w:color w:val="auto"/>
          <w:szCs w:val="21"/>
          <w:highlight w:val="none"/>
          <w:u w:val="single"/>
          <w:lang w:val="en-US" w:eastAsia="zh-CN"/>
        </w:rPr>
        <w:t>段</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cs="Times New Roman"/>
          <w:color w:val="auto"/>
          <w:szCs w:val="22"/>
          <w:highlight w:val="none"/>
          <w:u w:val="single"/>
          <w:lang w:val="en-US" w:eastAsia="zh-CN"/>
        </w:rPr>
        <w:t>人民币33.4万元</w:t>
      </w:r>
      <w:r>
        <w:rPr>
          <w:rFonts w:hint="eastAsia" w:ascii="宋体" w:hAnsi="宋体" w:eastAsia="宋体" w:cs="宋体"/>
          <w:b w:val="0"/>
          <w:bCs w:val="0"/>
          <w:color w:val="auto"/>
          <w:szCs w:val="21"/>
          <w:highlight w:val="none"/>
          <w:u w:val="single"/>
          <w:lang w:val="en-US" w:eastAsia="zh-CN"/>
        </w:rPr>
        <w:t>。</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none"/>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宋体" w:hAnsi="宋体" w:eastAsia="宋体" w:cs="宋体"/>
          <w:color w:val="auto"/>
          <w:sz w:val="21"/>
          <w:szCs w:val="21"/>
          <w:highlight w:val="none"/>
          <w:u w:val="single"/>
          <w:lang w:val="en-US" w:eastAsia="zh-CN"/>
        </w:rPr>
        <w:t>批次供应，自甲方通知之日起7日内货到现场</w:t>
      </w:r>
      <w:r>
        <w:rPr>
          <w:rFonts w:hint="eastAsia" w:ascii="宋体" w:hAnsi="宋体" w:eastAsia="宋体" w:cs="宋体"/>
          <w:color w:val="auto"/>
          <w:kern w:val="0"/>
          <w:sz w:val="21"/>
          <w:szCs w:val="21"/>
          <w:highlight w:val="none"/>
          <w:u w:val="single"/>
          <w:lang w:val="en-US" w:eastAsia="zh-CN"/>
        </w:rPr>
        <w:t>（具体根据实际情况安排进度）</w:t>
      </w:r>
      <w:r>
        <w:rPr>
          <w:rFonts w:hint="eastAsia" w:ascii="宋体" w:hAnsi="宋体" w:eastAsia="宋体" w:cs="宋体"/>
          <w:color w:val="auto"/>
          <w:kern w:val="0"/>
          <w:sz w:val="21"/>
          <w:szCs w:val="21"/>
          <w:highlight w:val="none"/>
          <w:u w:val="none"/>
          <w:lang w:eastAsia="zh-CN"/>
        </w:rPr>
        <w:t>。</w:t>
      </w:r>
      <w:r>
        <w:rPr>
          <w:rFonts w:hint="eastAsia" w:ascii="宋体" w:hAnsi="宋体" w:eastAsia="宋体" w:cs="宋体"/>
          <w:color w:val="auto"/>
          <w:szCs w:val="21"/>
          <w:highlight w:val="none"/>
          <w:u w:val="none"/>
          <w:lang w:val="en-US" w:eastAsia="zh-CN"/>
        </w:rPr>
        <w:t xml:space="preserve"> </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color w:val="auto"/>
          <w:szCs w:val="21"/>
          <w:highlight w:val="none"/>
          <w:u w:val="single"/>
          <w:lang w:val="en-US" w:eastAsia="zh-CN"/>
        </w:rPr>
        <w:t>安徽省合肥市包河区黄河路以北、庐州大道两侧，</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auto"/>
          <w:szCs w:val="21"/>
          <w:highlight w:val="none"/>
          <w:u w:val="none"/>
          <w:lang w:val="en-US" w:eastAsia="zh-CN"/>
        </w:rPr>
        <w:t>。</w:t>
      </w:r>
      <w:r>
        <w:rPr>
          <w:rFonts w:hint="eastAsia" w:ascii="Times New Roman" w:hAnsi="Times New Roman" w:eastAsia="宋体" w:cs="Times New Roman"/>
          <w:color w:val="auto"/>
          <w:szCs w:val="21"/>
          <w:highlight w:val="none"/>
          <w:lang w:val="en-US" w:eastAsia="zh-CN"/>
        </w:rPr>
        <w:t xml:space="preserve">           </w:t>
      </w:r>
    </w:p>
    <w:p w14:paraId="22830808">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供应商资格条件</w:t>
      </w:r>
    </w:p>
    <w:p w14:paraId="71F8C970">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Times New Roman" w:hAnsi="Times New Roman"/>
          <w:color w:val="auto"/>
          <w:sz w:val="21"/>
          <w:szCs w:val="22"/>
          <w:highlight w:val="none"/>
        </w:rPr>
        <w:t>（1）</w:t>
      </w:r>
      <w:r>
        <w:rPr>
          <w:rFonts w:hint="eastAsia" w:ascii="宋体" w:hAnsi="宋体" w:cs="宋体"/>
          <w:color w:val="auto"/>
          <w:sz w:val="21"/>
          <w:szCs w:val="22"/>
          <w:highlight w:val="none"/>
        </w:rPr>
        <w:t>资质最低要求：</w:t>
      </w:r>
    </w:p>
    <w:p w14:paraId="6F1DA9E0">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cs="宋体"/>
          <w:color w:val="auto"/>
          <w:sz w:val="21"/>
          <w:szCs w:val="22"/>
          <w:highlight w:val="none"/>
        </w:rPr>
      </w:pPr>
      <w:r>
        <w:rPr>
          <w:rFonts w:hint="eastAsia" w:ascii="宋体" w:hAnsi="宋体" w:cs="宋体"/>
          <w:color w:val="auto"/>
          <w:sz w:val="21"/>
          <w:szCs w:val="22"/>
          <w:highlight w:val="none"/>
        </w:rPr>
        <w:t xml:space="preserve">①具备独立法人资格，持有有效的营业执照。  </w:t>
      </w:r>
    </w:p>
    <w:p w14:paraId="4A3E2316">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cs="宋体"/>
          <w:color w:val="auto"/>
          <w:sz w:val="21"/>
          <w:szCs w:val="22"/>
          <w:highlight w:val="none"/>
        </w:rPr>
      </w:pPr>
      <w:r>
        <w:rPr>
          <w:rFonts w:hint="eastAsia" w:ascii="宋体" w:hAnsi="宋体" w:cs="宋体"/>
          <w:color w:val="auto"/>
          <w:sz w:val="21"/>
          <w:szCs w:val="22"/>
          <w:highlight w:val="none"/>
        </w:rPr>
        <w:t>②制造商/厂家参与询比的，应具备有生产、销售采购人所需材料的能力</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经销商/代理商参加询比的，应具备销售采购人所需材料的能力（提供所投产品业绩进行证明）。</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2</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业绩最低要求：</w:t>
      </w:r>
    </w:p>
    <w:p w14:paraId="4CFF6869">
      <w:pPr>
        <w:pStyle w:val="2"/>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none"/>
          <w:u w:val="single"/>
          <w:lang w:val="en-US" w:eastAsia="zh-CN"/>
        </w:rPr>
      </w:pPr>
      <w:r>
        <w:rPr>
          <w:rFonts w:hint="default" w:ascii="Times New Roman" w:hAnsi="Times New Roman" w:cs="Times New Roman" w:eastAsiaTheme="minorEastAsia"/>
          <w:b w:val="0"/>
          <w:bCs w:val="0"/>
          <w:color w:val="auto"/>
          <w:highlight w:val="none"/>
          <w:u w:val="single"/>
          <w:lang w:val="en-US" w:eastAsia="zh-CN"/>
        </w:rPr>
        <w:t>至少提供1个自202</w:t>
      </w:r>
      <w:r>
        <w:rPr>
          <w:rFonts w:hint="eastAsia" w:ascii="Times New Roman" w:hAnsi="Times New Roman" w:cs="Times New Roman"/>
          <w:b w:val="0"/>
          <w:bCs w:val="0"/>
          <w:color w:val="auto"/>
          <w:highlight w:val="none"/>
          <w:u w:val="single"/>
          <w:lang w:val="en-US" w:eastAsia="zh-CN"/>
        </w:rPr>
        <w:t>2</w:t>
      </w:r>
      <w:r>
        <w:rPr>
          <w:rFonts w:hint="default" w:ascii="Times New Roman" w:hAnsi="Times New Roman" w:cs="Times New Roman" w:eastAsiaTheme="minorEastAsia"/>
          <w:b w:val="0"/>
          <w:bCs w:val="0"/>
          <w:color w:val="auto"/>
          <w:highlight w:val="none"/>
          <w:u w:val="single"/>
          <w:lang w:val="en-US" w:eastAsia="zh-CN"/>
        </w:rPr>
        <w:t>年1月1日以来，单项合同额不低于</w:t>
      </w:r>
      <w:r>
        <w:rPr>
          <w:rFonts w:hint="eastAsia" w:ascii="Times New Roman" w:hAnsi="Times New Roman" w:cs="Times New Roman"/>
          <w:b w:val="0"/>
          <w:bCs w:val="0"/>
          <w:color w:val="auto"/>
          <w:highlight w:val="none"/>
          <w:u w:val="single"/>
          <w:lang w:val="en-US" w:eastAsia="zh-CN"/>
        </w:rPr>
        <w:t>20</w:t>
      </w:r>
      <w:r>
        <w:rPr>
          <w:rFonts w:hint="default" w:ascii="Times New Roman" w:hAnsi="Times New Roman" w:cs="Times New Roman" w:eastAsiaTheme="minorEastAsia"/>
          <w:b w:val="0"/>
          <w:bCs w:val="0"/>
          <w:color w:val="auto"/>
          <w:highlight w:val="none"/>
          <w:u w:val="single"/>
          <w:lang w:val="en-US" w:eastAsia="zh-CN"/>
        </w:rPr>
        <w:t>万元的</w:t>
      </w:r>
      <w:r>
        <w:rPr>
          <w:rFonts w:hint="eastAsia" w:ascii="Times New Roman" w:hAnsi="Times New Roman" w:cs="Times New Roman"/>
          <w:b w:val="0"/>
          <w:bCs w:val="0"/>
          <w:color w:val="auto"/>
          <w:highlight w:val="none"/>
          <w:u w:val="single"/>
          <w:lang w:val="en-US" w:eastAsia="zh-CN"/>
        </w:rPr>
        <w:t>水泥砖</w:t>
      </w:r>
      <w:r>
        <w:rPr>
          <w:rFonts w:hint="default" w:ascii="Times New Roman" w:hAnsi="Times New Roman" w:cs="Times New Roman" w:eastAsiaTheme="minorEastAsia"/>
          <w:b w:val="0"/>
          <w:bCs w:val="0"/>
          <w:color w:val="auto"/>
          <w:highlight w:val="none"/>
          <w:u w:val="single"/>
          <w:lang w:val="en-US" w:eastAsia="zh-CN"/>
        </w:rPr>
        <w:t>供应</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w:t>
      </w:r>
      <w:r>
        <w:rPr>
          <w:rFonts w:hint="default" w:ascii="Times New Roman" w:hAnsi="Times New Roman" w:cs="Times New Roman" w:eastAsiaTheme="minorEastAsia"/>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r>
        <w:rPr>
          <w:rFonts w:hint="eastAsia" w:ascii="Times New Roman" w:hAnsi="Times New Roman" w:cs="Times New Roman"/>
          <w:b w:val="0"/>
          <w:bCs w:val="0"/>
          <w:color w:val="auto"/>
          <w:szCs w:val="21"/>
          <w:highlight w:val="none"/>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业绩证明材料要求：</w:t>
      </w:r>
    </w:p>
    <w:p w14:paraId="7DE2D19D">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①合同协议书复印件；</w:t>
      </w:r>
    </w:p>
    <w:p w14:paraId="3FCCA2B9">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20"/>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lang w:eastAsia="zh-CN"/>
        </w:rPr>
      </w:pPr>
      <w:r>
        <w:rPr>
          <w:rFonts w:hint="default" w:ascii="Times New Roman" w:hAnsi="Times New Roman" w:cs="Times New Roman" w:eastAsiaTheme="minorEastAsia"/>
          <w:color w:val="auto"/>
          <w:szCs w:val="22"/>
          <w:highlight w:val="none"/>
        </w:rPr>
        <w:t>（</w:t>
      </w:r>
      <w:r>
        <w:rPr>
          <w:rFonts w:hint="default" w:ascii="Times New Roman" w:hAnsi="Times New Roman" w:cs="Times New Roman" w:eastAsiaTheme="minorEastAsia"/>
          <w:color w:val="auto"/>
          <w:szCs w:val="22"/>
          <w:highlight w:val="none"/>
          <w:lang w:val="en-US" w:eastAsia="zh-CN"/>
        </w:rPr>
        <w:t>3</w:t>
      </w:r>
      <w:r>
        <w:rPr>
          <w:rFonts w:hint="default" w:ascii="Times New Roman" w:hAnsi="Times New Roman" w:cs="Times New Roman" w:eastAsiaTheme="minorEastAsia"/>
          <w:color w:val="auto"/>
          <w:szCs w:val="22"/>
          <w:highlight w:val="none"/>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Cs w:val="22"/>
          <w:highlight w:val="none"/>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③在国家企业信用信息公示系统（</w:t>
      </w:r>
      <w:r>
        <w:rPr>
          <w:rFonts w:hint="eastAsia" w:ascii="Times New Roman" w:hAnsi="Times New Roman" w:cs="Times New Roman"/>
          <w:color w:val="auto"/>
          <w:szCs w:val="22"/>
          <w:highlight w:val="none"/>
          <w:lang w:eastAsia="zh-CN"/>
        </w:rPr>
        <w:t>www.gsxt.gov.cn</w:t>
      </w:r>
      <w:r>
        <w:rPr>
          <w:rFonts w:hint="default" w:ascii="Times New Roman" w:hAnsi="Times New Roman" w:cs="Times New Roman" w:eastAsiaTheme="minorEastAsia"/>
          <w:color w:val="auto"/>
          <w:szCs w:val="22"/>
          <w:highlight w:val="none"/>
        </w:rPr>
        <w:t>）中未被列入严重违法失信企业名单；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④在“信用中国”网站（</w:t>
      </w:r>
      <w:r>
        <w:rPr>
          <w:rFonts w:hint="eastAsia" w:ascii="Times New Roman" w:hAnsi="Times New Roman" w:cs="Times New Roman"/>
          <w:color w:val="auto"/>
          <w:szCs w:val="22"/>
          <w:highlight w:val="none"/>
          <w:lang w:eastAsia="zh-CN"/>
        </w:rPr>
        <w:t>www.creditchina.gov.cn</w:t>
      </w:r>
      <w:r>
        <w:rPr>
          <w:rFonts w:hint="default" w:ascii="Times New Roman" w:hAnsi="Times New Roman" w:cs="Times New Roman" w:eastAsiaTheme="minorEastAsia"/>
          <w:color w:val="auto"/>
          <w:szCs w:val="22"/>
          <w:highlight w:val="none"/>
        </w:rPr>
        <w:t>）中未被列入失信被执行人名单；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如有</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⑥其他要求：</w:t>
      </w:r>
      <w:r>
        <w:rPr>
          <w:rFonts w:hint="default" w:ascii="Times New Roman" w:hAnsi="Times New Roman" w:cs="Times New Roman" w:eastAsiaTheme="minorEastAsia"/>
          <w:color w:val="auto"/>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eastAsiaTheme="minorEastAsia"/>
          <w:color w:val="auto"/>
          <w:highlight w:val="none"/>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1994"/>
      <w:bookmarkStart w:id="19" w:name="_Toc4751"/>
      <w:bookmarkStart w:id="20" w:name="_Toc29452_WPSOffice_Level2"/>
      <w:bookmarkStart w:id="21" w:name="_Toc25666_WPSOffice_Level2"/>
      <w:bookmarkStart w:id="22" w:name="_Toc2996_WPSOffice_Level2"/>
      <w:bookmarkStart w:id="23" w:name="_Toc525632588"/>
      <w:bookmarkStart w:id="24" w:name="_Toc4109_WPSOffice_Level2"/>
      <w:r>
        <w:rPr>
          <w:rFonts w:hint="default" w:ascii="Times New Roman" w:hAnsi="Times New Roman" w:eastAsia="黑体" w:cs="Times New Roman"/>
          <w:b w:val="0"/>
          <w:bCs/>
          <w:color w:val="auto"/>
          <w:sz w:val="22"/>
          <w:szCs w:val="15"/>
          <w:highlight w:val="none"/>
          <w:lang w:val="en-US" w:eastAsia="zh-CN"/>
        </w:rPr>
        <w:t>询比文件的获取</w:t>
      </w:r>
      <w:bookmarkEnd w:id="18"/>
      <w:bookmarkEnd w:id="19"/>
      <w:bookmarkEnd w:id="20"/>
      <w:bookmarkEnd w:id="21"/>
      <w:bookmarkEnd w:id="22"/>
      <w:bookmarkEnd w:id="23"/>
      <w:bookmarkEnd w:id="24"/>
    </w:p>
    <w:p w14:paraId="56E2CBF5">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highlight w:val="none"/>
        </w:rPr>
      </w:pPr>
      <w:bookmarkStart w:id="25" w:name="_Toc525632589"/>
      <w:bookmarkStart w:id="26" w:name="_Toc726"/>
      <w:r>
        <w:rPr>
          <w:rFonts w:hint="eastAsia" w:ascii="Times New Roman" w:hAnsi="Times New Roman"/>
          <w:color w:val="auto"/>
          <w:sz w:val="21"/>
          <w:szCs w:val="22"/>
          <w:highlight w:val="none"/>
        </w:rPr>
        <w:t>供应商须在“</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w:t>
      </w:r>
      <w:r>
        <w:rPr>
          <w:rFonts w:hint="eastAsia" w:ascii="Times New Roman" w:hAnsi="Times New Roman"/>
          <w:color w:val="auto"/>
          <w:sz w:val="21"/>
          <w:szCs w:val="22"/>
          <w:highlight w:val="none"/>
          <w:lang w:eastAsia="zh-CN"/>
        </w:rPr>
        <w:t>www.ahjggroup.com</w:t>
      </w:r>
      <w:r>
        <w:rPr>
          <w:rFonts w:hint="eastAsia" w:ascii="Times New Roman" w:hAnsi="Times New Roman"/>
          <w:color w:val="auto"/>
          <w:sz w:val="21"/>
          <w:szCs w:val="22"/>
          <w:highlight w:val="none"/>
        </w:rPr>
        <w:t>）“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25"/>
      <w:bookmarkEnd w:id="26"/>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27" w:name="_Toc525632591"/>
      <w:bookmarkStart w:id="28" w:name="_Toc22719"/>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b/>
          <w:bCs/>
          <w:color w:val="auto"/>
          <w:kern w:val="0"/>
          <w:sz w:val="21"/>
          <w:szCs w:val="21"/>
          <w:highlight w:val="none"/>
          <w:u w:val="single"/>
          <w:lang w:val="en-US" w:eastAsia="zh-CN" w:bidi="ar-SA"/>
        </w:rPr>
        <w:t xml:space="preserve"> 2025 </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 xml:space="preserve"> 8 </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 xml:space="preserve"> 21 </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 xml:space="preserve"> 14 </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 xml:space="preserve"> 30</w:t>
      </w:r>
      <w:r>
        <w:rPr>
          <w:rFonts w:hint="default" w:ascii="Times New Roman" w:hAnsi="Times New Roman" w:eastAsia="宋体" w:cs="Times New Roman"/>
          <w:b/>
          <w:bCs/>
          <w:color w:val="auto"/>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w:t>
      </w:r>
      <w:r>
        <w:rPr>
          <w:rFonts w:hint="eastAsia" w:ascii="Times New Roman" w:hAnsi="Times New Roman" w:eastAsia="宋体" w:cs="Times New Roman"/>
          <w:color w:val="auto"/>
          <w:kern w:val="2"/>
          <w:sz w:val="21"/>
          <w:szCs w:val="21"/>
          <w:highlight w:val="none"/>
          <w:u w:val="single"/>
          <w:lang w:val="en-US" w:eastAsia="zh-CN" w:bidi="ar-SA"/>
        </w:rPr>
        <w:t>1008室</w:t>
      </w:r>
      <w:r>
        <w:rPr>
          <w:rFonts w:hint="default" w:ascii="Times New Roman" w:hAnsi="Times New Roman" w:eastAsia="宋体" w:cs="Times New Roman"/>
          <w:color w:val="auto"/>
          <w:kern w:val="2"/>
          <w:sz w:val="21"/>
          <w:szCs w:val="21"/>
          <w:highlight w:val="none"/>
          <w:lang w:val="en-US" w:eastAsia="zh-CN" w:bidi="ar-SA"/>
        </w:rPr>
        <w:t>。</w:t>
      </w:r>
    </w:p>
    <w:p w14:paraId="15F180B1">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37370C5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r>
        <w:rPr>
          <w:rFonts w:hint="eastAsia" w:ascii="Times New Roman" w:hAnsi="Times New Roman" w:eastAsia="宋体" w:cs="Times New Roman"/>
          <w:szCs w:val="22"/>
          <w:highlight w:val="yellow"/>
        </w:rPr>
        <w:t>供应商的法定代表人应携带本人身份证原件及法定代表人身份证明书；如由授权代理人出席，则需携带本人身份证原件及授权委托书准时参加启封会议。</w:t>
      </w:r>
    </w:p>
    <w:p w14:paraId="2AD2231C">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响应保证金的金额：</w:t>
      </w:r>
    </w:p>
    <w:p w14:paraId="46250A5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2000</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2"/>
          <w:sz w:val="21"/>
          <w:szCs w:val="21"/>
          <w:highlight w:val="none"/>
          <w:u w:val="single"/>
          <w:lang w:val="en-US" w:eastAsia="zh-CN" w:bidi="ar-SA"/>
        </w:rPr>
        <w:t>贰仟元整</w:t>
      </w:r>
      <w:r>
        <w:rPr>
          <w:rFonts w:hint="eastAsia" w:ascii="Times New Roman" w:hAnsi="Times New Roman" w:eastAsia="宋体" w:cs="Times New Roman"/>
          <w:b/>
          <w:bCs/>
          <w:color w:val="auto"/>
          <w:kern w:val="2"/>
          <w:sz w:val="21"/>
          <w:szCs w:val="21"/>
          <w:highlight w:val="none"/>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若采用电汇（转账）形式，响应保证金必须由供应商的</w:t>
      </w:r>
      <w:r>
        <w:rPr>
          <w:rFonts w:hint="eastAsia" w:ascii="宋体" w:hAnsi="宋体" w:cs="宋体"/>
          <w:color w:val="auto"/>
          <w:sz w:val="21"/>
          <w:szCs w:val="21"/>
          <w:highlight w:val="none"/>
          <w:lang w:val="en-US" w:eastAsia="zh-CN" w:bidi="ar"/>
        </w:rPr>
        <w:t>银行</w:t>
      </w:r>
      <w:r>
        <w:rPr>
          <w:rFonts w:hint="eastAsia" w:ascii="宋体" w:hAnsi="宋体" w:cs="宋体"/>
          <w:color w:val="auto"/>
          <w:sz w:val="21"/>
          <w:szCs w:val="21"/>
          <w:highlight w:val="none"/>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响应保证金的账户信息：</w:t>
      </w:r>
    </w:p>
    <w:p w14:paraId="737C81BC">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户</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名：</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开户银行：</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工行合肥蜀山支行</w:t>
      </w:r>
    </w:p>
    <w:p w14:paraId="036ABDAF">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账</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号：</w:t>
      </w:r>
      <w:r>
        <w:rPr>
          <w:rFonts w:hint="default" w:ascii="Times New Roman" w:hAnsi="Times New Roman"/>
          <w:color w:val="auto"/>
          <w:sz w:val="21"/>
          <w:szCs w:val="21"/>
          <w:highlight w:val="none"/>
          <w:lang w:bidi="ar"/>
        </w:rPr>
        <w:t>1302012119200034038</w:t>
      </w:r>
    </w:p>
    <w:p w14:paraId="661636F0">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default"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付款备注：水泥砖响应保证金</w:t>
      </w:r>
    </w:p>
    <w:p w14:paraId="0687E177">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备注：</w:t>
      </w:r>
    </w:p>
    <w:p w14:paraId="5E74587D">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w:t>
      </w:r>
      <w:r>
        <w:rPr>
          <w:rFonts w:hint="default" w:ascii="Times New Roman" w:hAnsi="Times New Roman"/>
          <w:color w:val="auto"/>
          <w:sz w:val="21"/>
          <w:szCs w:val="21"/>
          <w:highlight w:val="none"/>
          <w:lang w:bidi="ar"/>
        </w:rPr>
        <w:t>1</w:t>
      </w:r>
      <w:r>
        <w:rPr>
          <w:rFonts w:hint="eastAsia" w:ascii="宋体" w:hAnsi="宋体" w:cs="宋体"/>
          <w:color w:val="auto"/>
          <w:sz w:val="21"/>
          <w:szCs w:val="21"/>
          <w:highlight w:val="none"/>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①响应保证金的到账截止时间：响应</w:t>
      </w:r>
      <w:r>
        <w:rPr>
          <w:rFonts w:hint="eastAsia" w:ascii="宋体" w:hAnsi="宋体" w:cs="宋体"/>
          <w:color w:val="auto"/>
          <w:sz w:val="21"/>
          <w:szCs w:val="21"/>
          <w:highlight w:val="none"/>
          <w:lang w:val="en-US" w:eastAsia="zh-CN" w:bidi="ar"/>
        </w:rPr>
        <w:t>文件递交</w:t>
      </w:r>
      <w:r>
        <w:rPr>
          <w:rFonts w:hint="eastAsia" w:ascii="宋体" w:hAnsi="宋体" w:cs="宋体"/>
          <w:color w:val="auto"/>
          <w:sz w:val="21"/>
          <w:szCs w:val="21"/>
          <w:highlight w:val="none"/>
          <w:lang w:bidi="ar"/>
        </w:rPr>
        <w:t>截止时间。</w:t>
      </w:r>
    </w:p>
    <w:p w14:paraId="22D83E34">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②供应商账户汇入到上述账户，采购人不接受以个人名义或以现金形式提交的响应保证金。</w:t>
      </w:r>
    </w:p>
    <w:p w14:paraId="6AF987E4">
      <w:pPr>
        <w:spacing w:beforeLines="0" w:afterLines="0" w:line="440" w:lineRule="exact"/>
        <w:ind w:firstLine="420"/>
        <w:rPr>
          <w:rFonts w:hint="eastAsia" w:ascii="宋体" w:hAnsi="宋体" w:eastAsia="宋体" w:cs="宋体"/>
          <w:color w:val="FF0000"/>
          <w:szCs w:val="21"/>
          <w:highlight w:val="yellow"/>
        </w:rPr>
      </w:pPr>
      <w:r>
        <w:rPr>
          <w:rFonts w:hint="eastAsia" w:ascii="宋体" w:hAnsi="宋体" w:cs="宋体"/>
          <w:b/>
          <w:color w:val="auto"/>
          <w:sz w:val="21"/>
          <w:szCs w:val="21"/>
          <w:highlight w:val="yellow"/>
          <w:lang w:bidi="ar"/>
        </w:rPr>
        <w:t>（</w:t>
      </w:r>
      <w:r>
        <w:rPr>
          <w:rFonts w:hint="default" w:ascii="Times New Roman" w:hAnsi="Times New Roman"/>
          <w:b/>
          <w:color w:val="auto"/>
          <w:sz w:val="21"/>
          <w:szCs w:val="21"/>
          <w:highlight w:val="yellow"/>
          <w:lang w:bidi="ar"/>
        </w:rPr>
        <w:t>2</w:t>
      </w:r>
      <w:r>
        <w:rPr>
          <w:rFonts w:hint="eastAsia" w:ascii="宋体" w:hAnsi="宋体" w:cs="宋体"/>
          <w:b/>
          <w:color w:val="auto"/>
          <w:sz w:val="21"/>
          <w:szCs w:val="21"/>
          <w:highlight w:val="yellow"/>
          <w:lang w:bidi="ar"/>
        </w:rPr>
        <w:t>）</w:t>
      </w:r>
      <w:r>
        <w:rPr>
          <w:rFonts w:hint="eastAsia" w:ascii="宋体" w:hAnsi="宋体" w:cs="宋体"/>
          <w:b/>
          <w:color w:val="auto"/>
          <w:sz w:val="21"/>
          <w:szCs w:val="21"/>
          <w:highlight w:val="yellow"/>
          <w:lang w:val="en-US" w:eastAsia="zh-CN" w:bidi="ar"/>
        </w:rPr>
        <w:t>成交公示</w:t>
      </w:r>
      <w:r>
        <w:rPr>
          <w:rFonts w:hint="eastAsia" w:ascii="宋体" w:hAnsi="宋体" w:cs="宋体"/>
          <w:b/>
          <w:color w:val="auto"/>
          <w:sz w:val="21"/>
          <w:szCs w:val="21"/>
          <w:highlight w:val="yellow"/>
          <w:lang w:bidi="ar"/>
        </w:rPr>
        <w:t>后，</w:t>
      </w:r>
      <w:r>
        <w:rPr>
          <w:rFonts w:hint="eastAsia" w:ascii="宋体" w:hAnsi="宋体" w:cs="宋体"/>
          <w:b/>
          <w:color w:val="auto"/>
          <w:sz w:val="21"/>
          <w:szCs w:val="21"/>
          <w:highlight w:val="yellow"/>
          <w:lang w:eastAsia="zh-CN" w:bidi="ar"/>
        </w:rPr>
        <w:t>在</w:t>
      </w:r>
      <w:r>
        <w:rPr>
          <w:rFonts w:hint="eastAsia" w:ascii="宋体" w:hAnsi="宋体" w:cs="宋体"/>
          <w:b/>
          <w:color w:val="auto"/>
          <w:sz w:val="21"/>
          <w:szCs w:val="21"/>
          <w:highlight w:val="yellow"/>
          <w:lang w:val="en-US" w:eastAsia="zh-CN" w:bidi="ar"/>
        </w:rPr>
        <w:t>合同签订前，乙方需向甲方支付合同总价2%的</w:t>
      </w:r>
      <w:r>
        <w:rPr>
          <w:rFonts w:hint="eastAsia" w:ascii="宋体" w:hAnsi="宋体" w:cs="宋体"/>
          <w:b/>
          <w:color w:val="auto"/>
          <w:sz w:val="21"/>
          <w:szCs w:val="21"/>
          <w:highlight w:val="yellow"/>
          <w:lang w:bidi="ar"/>
        </w:rPr>
        <w:t>履约保证金</w:t>
      </w:r>
      <w:r>
        <w:rPr>
          <w:rFonts w:hint="eastAsia" w:ascii="宋体" w:hAnsi="宋体" w:cs="宋体"/>
          <w:b/>
          <w:color w:val="auto"/>
          <w:sz w:val="21"/>
          <w:szCs w:val="21"/>
          <w:highlight w:val="yellow"/>
          <w:lang w:val="en-US" w:eastAsia="zh-CN" w:bidi="ar"/>
        </w:rPr>
        <w:t>或提供合同总价5%的银行保函</w:t>
      </w:r>
      <w:r>
        <w:rPr>
          <w:rFonts w:hint="eastAsia" w:ascii="宋体" w:hAnsi="宋体" w:cs="宋体"/>
          <w:b/>
          <w:color w:val="auto"/>
          <w:sz w:val="21"/>
          <w:szCs w:val="21"/>
          <w:highlight w:val="yellow"/>
          <w:lang w:bidi="ar"/>
        </w:rPr>
        <w:t>。</w:t>
      </w:r>
      <w:r>
        <w:rPr>
          <w:rFonts w:hint="eastAsia" w:ascii="宋体" w:hAnsi="宋体" w:eastAsia="宋体" w:cs="宋体"/>
          <w:color w:val="auto"/>
          <w:szCs w:val="21"/>
          <w:highlight w:val="yellow"/>
        </w:rPr>
        <w:t xml:space="preserve"> </w:t>
      </w:r>
      <w:r>
        <w:rPr>
          <w:rFonts w:hint="eastAsia" w:ascii="宋体" w:hAnsi="宋体" w:eastAsia="宋体" w:cs="宋体"/>
          <w:color w:val="FF0000"/>
          <w:szCs w:val="21"/>
          <w:highlight w:val="yellow"/>
        </w:rPr>
        <w:t xml:space="preserve"> </w:t>
      </w:r>
    </w:p>
    <w:p w14:paraId="110D2E1A">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3F36708D">
      <w:pPr>
        <w:snapToGrid w:val="0"/>
        <w:spacing w:beforeLines="0" w:afterLines="0" w:line="440" w:lineRule="exact"/>
        <w:ind w:firstLine="420" w:firstLineChars="200"/>
        <w:rPr>
          <w:rFonts w:hint="eastAsia" w:ascii="Times New Roman" w:hAnsi="Times New Roman"/>
          <w:color w:val="auto"/>
          <w:sz w:val="21"/>
          <w:szCs w:val="22"/>
          <w:highlight w:val="none"/>
        </w:rPr>
      </w:pPr>
      <w:bookmarkStart w:id="29" w:name="_Toc321_WPSOffice_Level2"/>
      <w:bookmarkStart w:id="30" w:name="_Toc14943_WPSOffice_Level2"/>
      <w:bookmarkStart w:id="31" w:name="_Toc525632592"/>
      <w:bookmarkStart w:id="32" w:name="_Toc8501"/>
      <w:bookmarkStart w:id="33" w:name="_Toc26829"/>
      <w:bookmarkStart w:id="34" w:name="_Toc28571_WPSOffice_Level2"/>
      <w:bookmarkStart w:id="35" w:name="_Toc20572_WPSOffice_Level2"/>
      <w:r>
        <w:rPr>
          <w:rFonts w:hint="eastAsia" w:ascii="Times New Roman" w:hAnsi="Times New Roman"/>
          <w:color w:val="auto"/>
          <w:sz w:val="21"/>
          <w:szCs w:val="22"/>
          <w:highlight w:val="none"/>
        </w:rPr>
        <w:t xml:space="preserve">本次采购公告在“ </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w:t>
      </w:r>
      <w:r>
        <w:rPr>
          <w:rFonts w:hint="eastAsia" w:ascii="Times New Roman" w:hAnsi="Times New Roman"/>
          <w:color w:val="auto"/>
          <w:sz w:val="21"/>
          <w:szCs w:val="22"/>
          <w:highlight w:val="none"/>
          <w:lang w:eastAsia="zh-CN"/>
        </w:rPr>
        <w:t>www.ahjggroup.com</w:t>
      </w:r>
      <w:r>
        <w:rPr>
          <w:rFonts w:hint="eastAsia" w:ascii="Times New Roman" w:hAnsi="Times New Roman"/>
          <w:color w:val="auto"/>
          <w:sz w:val="21"/>
          <w:szCs w:val="22"/>
          <w:highlight w:val="none"/>
        </w:rPr>
        <w:t>）“招标公告”栏目中发布。</w:t>
      </w:r>
    </w:p>
    <w:p w14:paraId="1B57102E">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采 购 人：</w:t>
      </w:r>
      <w:r>
        <w:rPr>
          <w:rFonts w:hint="eastAsia" w:ascii="Times New Roman" w:hAnsi="Times New Roman" w:eastAsia="宋体" w:cs="Times New Roman"/>
          <w:color w:val="auto"/>
          <w:sz w:val="21"/>
          <w:szCs w:val="21"/>
          <w:highlight w:val="none"/>
          <w:lang w:eastAsia="zh-CN"/>
        </w:rPr>
        <w:t>安徽省经工物资有限公司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kern w:val="2"/>
          <w:sz w:val="21"/>
          <w:szCs w:val="21"/>
          <w:highlight w:val="none"/>
        </w:rPr>
        <w:t>安徽省合肥市包河区西藏路1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号高速时代广场C1栋</w:t>
      </w:r>
      <w:r>
        <w:rPr>
          <w:rFonts w:hint="default" w:ascii="Times New Roman" w:hAnsi="Times New Roman" w:eastAsia="宋体" w:cs="Times New Roman"/>
          <w:color w:val="auto"/>
          <w:kern w:val="2"/>
          <w:sz w:val="21"/>
          <w:szCs w:val="21"/>
          <w:highlight w:val="none"/>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2"/>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67DD1B2B">
      <w:pPr>
        <w:pStyle w:val="2"/>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24EB2EA2">
      <w:pPr>
        <w:pStyle w:val="5"/>
        <w:spacing w:before="312" w:after="312"/>
        <w:rPr>
          <w:rFonts w:ascii="Times New Roman" w:hAnsi="Times New Roman" w:eastAsia="宋体" w:cs="Times New Roman"/>
          <w:color w:val="auto"/>
          <w:highlight w:val="none"/>
        </w:rPr>
      </w:pPr>
      <w:bookmarkStart w:id="36" w:name="_Toc9896"/>
      <w:r>
        <w:rPr>
          <w:rFonts w:ascii="Times New Roman" w:hAnsi="Times New Roman" w:eastAsia="宋体" w:cs="Times New Roman"/>
          <w:color w:val="auto"/>
          <w:highlight w:val="none"/>
        </w:rPr>
        <w:t>供应商须知</w:t>
      </w:r>
      <w:bookmarkEnd w:id="36"/>
    </w:p>
    <w:p w14:paraId="75B22214">
      <w:pPr>
        <w:spacing w:line="440" w:lineRule="exact"/>
        <w:jc w:val="center"/>
        <w:outlineLvl w:val="1"/>
        <w:rPr>
          <w:rFonts w:ascii="Times New Roman" w:hAnsi="Times New Roman" w:eastAsia="黑体" w:cs="Times New Roman"/>
          <w:color w:val="auto"/>
          <w:sz w:val="28"/>
          <w:szCs w:val="28"/>
          <w:highlight w:val="none"/>
        </w:rPr>
      </w:pPr>
      <w:bookmarkStart w:id="37" w:name="_Toc29381_WPSOffice_Level2"/>
      <w:bookmarkStart w:id="38" w:name="_Toc19501"/>
      <w:bookmarkStart w:id="39" w:name="_Toc55466811"/>
      <w:bookmarkStart w:id="40" w:name="_Toc26656928"/>
      <w:bookmarkStart w:id="41" w:name="_Toc16069"/>
      <w:r>
        <w:rPr>
          <w:rFonts w:ascii="Times New Roman" w:hAnsi="Times New Roman" w:eastAsia="黑体" w:cs="Times New Roman"/>
          <w:color w:val="auto"/>
          <w:sz w:val="28"/>
          <w:szCs w:val="28"/>
          <w:highlight w:val="none"/>
        </w:rPr>
        <w:t>供应商须知前附表</w:t>
      </w:r>
      <w:bookmarkEnd w:id="37"/>
      <w:bookmarkEnd w:id="38"/>
      <w:bookmarkEnd w:id="39"/>
      <w:bookmarkEnd w:id="40"/>
      <w:bookmarkEnd w:id="41"/>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2193"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34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1</w:t>
            </w:r>
          </w:p>
        </w:tc>
        <w:tc>
          <w:tcPr>
            <w:tcW w:w="2193"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34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2</w:t>
            </w:r>
          </w:p>
        </w:tc>
        <w:tc>
          <w:tcPr>
            <w:tcW w:w="2193"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val="en-US" w:eastAsia="zh-CN"/>
              </w:rPr>
              <w:t>采购</w:t>
            </w:r>
            <w:r>
              <w:rPr>
                <w:rFonts w:hint="default"/>
                <w:color w:val="auto"/>
                <w:sz w:val="22"/>
                <w:szCs w:val="22"/>
                <w:highlight w:val="none"/>
              </w:rPr>
              <w:t>代理机构</w:t>
            </w:r>
          </w:p>
        </w:tc>
        <w:tc>
          <w:tcPr>
            <w:tcW w:w="634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3</w:t>
            </w:r>
          </w:p>
        </w:tc>
        <w:tc>
          <w:tcPr>
            <w:tcW w:w="2193"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34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4</w:t>
            </w:r>
          </w:p>
        </w:tc>
        <w:tc>
          <w:tcPr>
            <w:tcW w:w="2193"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34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5</w:t>
            </w:r>
          </w:p>
        </w:tc>
        <w:tc>
          <w:tcPr>
            <w:tcW w:w="2193"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34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6</w:t>
            </w:r>
          </w:p>
        </w:tc>
        <w:tc>
          <w:tcPr>
            <w:tcW w:w="2193"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34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7</w:t>
            </w:r>
          </w:p>
        </w:tc>
        <w:tc>
          <w:tcPr>
            <w:tcW w:w="2193"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34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8</w:t>
            </w:r>
          </w:p>
        </w:tc>
        <w:tc>
          <w:tcPr>
            <w:tcW w:w="2193"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34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9</w:t>
            </w:r>
          </w:p>
        </w:tc>
        <w:tc>
          <w:tcPr>
            <w:tcW w:w="2193"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34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highlight w:val="none"/>
                <w:u w:val="none"/>
                <w:lang w:val="en-US" w:eastAsia="zh-CN" w:bidi="ar"/>
              </w:rPr>
              <w:t>10</w:t>
            </w:r>
          </w:p>
        </w:tc>
        <w:tc>
          <w:tcPr>
            <w:tcW w:w="2193"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34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11</w:t>
            </w:r>
          </w:p>
        </w:tc>
        <w:tc>
          <w:tcPr>
            <w:tcW w:w="2193" w:type="dxa"/>
            <w:vAlign w:val="center"/>
          </w:tcPr>
          <w:p w14:paraId="68540773">
            <w:pPr>
              <w:keepNext w:val="0"/>
              <w:keepLines w:val="0"/>
              <w:suppressLineNumbers w:val="0"/>
              <w:spacing w:before="0" w:beforeAutospacing="0" w:after="0" w:afterAutospacing="0"/>
              <w:ind w:left="0" w:right="0"/>
              <w:jc w:val="center"/>
              <w:rPr>
                <w:rFonts w:hint="eastAsia" w:eastAsiaTheme="minorEastAsia"/>
                <w:color w:val="auto"/>
                <w:sz w:val="22"/>
                <w:szCs w:val="22"/>
                <w:highlight w:val="none"/>
                <w:lang w:val="en-US" w:eastAsia="zh-CN"/>
              </w:rPr>
            </w:pPr>
            <w:r>
              <w:rPr>
                <w:rFonts w:hint="default"/>
                <w:color w:val="auto"/>
                <w:sz w:val="22"/>
                <w:szCs w:val="22"/>
                <w:highlight w:val="none"/>
              </w:rPr>
              <w:t>是否接受联合体</w:t>
            </w:r>
            <w:r>
              <w:rPr>
                <w:rFonts w:hint="eastAsia"/>
                <w:color w:val="auto"/>
                <w:sz w:val="22"/>
                <w:szCs w:val="22"/>
                <w:highlight w:val="none"/>
                <w:lang w:val="en-US" w:eastAsia="zh-CN"/>
              </w:rPr>
              <w:t>响应</w:t>
            </w:r>
          </w:p>
        </w:tc>
        <w:tc>
          <w:tcPr>
            <w:tcW w:w="634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12</w:t>
            </w:r>
          </w:p>
        </w:tc>
        <w:tc>
          <w:tcPr>
            <w:tcW w:w="2193"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34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13</w:t>
            </w:r>
          </w:p>
        </w:tc>
        <w:tc>
          <w:tcPr>
            <w:tcW w:w="2193"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val="en-US" w:eastAsia="zh-CN"/>
              </w:rPr>
              <w:t>响应</w:t>
            </w:r>
            <w:r>
              <w:rPr>
                <w:rFonts w:hint="default"/>
                <w:color w:val="auto"/>
                <w:sz w:val="22"/>
                <w:szCs w:val="22"/>
                <w:highlight w:val="none"/>
              </w:rPr>
              <w:t>预备会</w:t>
            </w:r>
          </w:p>
        </w:tc>
        <w:tc>
          <w:tcPr>
            <w:tcW w:w="634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14</w:t>
            </w:r>
          </w:p>
        </w:tc>
        <w:tc>
          <w:tcPr>
            <w:tcW w:w="2193"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34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15</w:t>
            </w:r>
          </w:p>
        </w:tc>
        <w:tc>
          <w:tcPr>
            <w:tcW w:w="2193"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34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16</w:t>
            </w:r>
          </w:p>
        </w:tc>
        <w:tc>
          <w:tcPr>
            <w:tcW w:w="2193"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34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17</w:t>
            </w:r>
          </w:p>
        </w:tc>
        <w:tc>
          <w:tcPr>
            <w:tcW w:w="2193"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34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8"/>
                <w:rFonts w:hint="eastAsia" w:ascii="宋体" w:hAnsi="宋体" w:eastAsia="宋体" w:cs="宋体"/>
                <w:bCs/>
                <w:color w:val="auto"/>
                <w:sz w:val="22"/>
                <w:szCs w:val="22"/>
                <w:highlight w:val="none"/>
                <w:lang w:bidi="ar"/>
              </w:rPr>
              <w:t>允许有利于</w:t>
            </w:r>
            <w:r>
              <w:rPr>
                <w:rStyle w:val="48"/>
                <w:rFonts w:hint="eastAsia" w:ascii="宋体" w:hAnsi="宋体" w:eastAsia="宋体" w:cs="宋体"/>
                <w:bCs/>
                <w:color w:val="auto"/>
                <w:sz w:val="22"/>
                <w:szCs w:val="22"/>
                <w:highlight w:val="none"/>
                <w:lang w:eastAsia="zh-CN" w:bidi="ar"/>
              </w:rPr>
              <w:t>采购人</w:t>
            </w:r>
            <w:r>
              <w:rPr>
                <w:rStyle w:val="48"/>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18</w:t>
            </w:r>
          </w:p>
        </w:tc>
        <w:tc>
          <w:tcPr>
            <w:tcW w:w="2193"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34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19</w:t>
            </w:r>
          </w:p>
        </w:tc>
        <w:tc>
          <w:tcPr>
            <w:tcW w:w="2193"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347" w:type="dxa"/>
            <w:vAlign w:val="center"/>
          </w:tcPr>
          <w:p w14:paraId="580C117B">
            <w:pPr>
              <w:pStyle w:val="42"/>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2193"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347" w:type="dxa"/>
            <w:vAlign w:val="center"/>
          </w:tcPr>
          <w:p w14:paraId="652E8F59">
            <w:pPr>
              <w:pStyle w:val="42"/>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cs="宋体"/>
                <w:color w:val="auto"/>
                <w:sz w:val="22"/>
                <w:szCs w:val="22"/>
                <w:highlight w:val="none"/>
                <w:lang w:eastAsia="zh-CN"/>
              </w:rPr>
              <w:t>安徽交控建设工程集团有限公司</w:t>
            </w:r>
            <w:r>
              <w:rPr>
                <w:rFonts w:hint="eastAsia" w:ascii="宋体" w:hAnsi="宋体" w:eastAsia="宋体" w:cs="宋体"/>
                <w:color w:val="auto"/>
                <w:sz w:val="22"/>
                <w:szCs w:val="22"/>
                <w:highlight w:val="none"/>
              </w:rPr>
              <w:t>”（网址：</w:t>
            </w:r>
            <w:r>
              <w:rPr>
                <w:rFonts w:hint="eastAsia" w:cs="宋体"/>
                <w:color w:val="auto"/>
                <w:sz w:val="22"/>
                <w:szCs w:val="22"/>
                <w:highlight w:val="none"/>
                <w:lang w:eastAsia="zh-CN"/>
              </w:rPr>
              <w:t>www.ahjggroup.com</w:t>
            </w:r>
            <w:r>
              <w:rPr>
                <w:rFonts w:hint="eastAsia" w:ascii="宋体" w:hAnsi="宋体" w:eastAsia="宋体" w:cs="宋体"/>
                <w:color w:val="auto"/>
                <w:sz w:val="22"/>
                <w:szCs w:val="22"/>
                <w:highlight w:val="none"/>
              </w:rPr>
              <w:t>）“招标公告”栏目</w:t>
            </w:r>
            <w:r>
              <w:rPr>
                <w:rFonts w:hint="eastAsia" w:ascii="宋体" w:hAnsi="宋体" w:eastAsia="宋体" w:cs="宋体"/>
                <w:color w:val="auto"/>
                <w:sz w:val="22"/>
                <w:szCs w:val="22"/>
                <w:highlight w:val="none"/>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20</w:t>
            </w:r>
          </w:p>
        </w:tc>
        <w:tc>
          <w:tcPr>
            <w:tcW w:w="2193"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34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auto"/>
                <w:sz w:val="22"/>
                <w:szCs w:val="22"/>
                <w:highlight w:val="none"/>
                <w:lang w:eastAsia="zh-CN"/>
              </w:rPr>
              <w:t xml:space="preserve"> 安徽交控建设工程集团有限公司</w:t>
            </w:r>
            <w:r>
              <w:rPr>
                <w:rFonts w:hint="eastAsia" w:ascii="宋体" w:hAnsi="宋体" w:eastAsia="宋体" w:cs="宋体"/>
                <w:color w:val="auto"/>
                <w:sz w:val="22"/>
                <w:szCs w:val="22"/>
                <w:highlight w:val="none"/>
              </w:rPr>
              <w:t>”（网址：</w:t>
            </w:r>
            <w:r>
              <w:rPr>
                <w:rFonts w:hint="eastAsia" w:ascii="宋体" w:hAnsi="宋体" w:eastAsia="宋体" w:cs="宋体"/>
                <w:color w:val="auto"/>
                <w:sz w:val="22"/>
                <w:szCs w:val="22"/>
                <w:highlight w:val="none"/>
                <w:lang w:eastAsia="zh-CN"/>
              </w:rPr>
              <w:t>www.ahjggroup.com</w:t>
            </w:r>
            <w:r>
              <w:rPr>
                <w:rFonts w:hint="eastAsia" w:ascii="宋体" w:hAnsi="宋体" w:eastAsia="宋体" w:cs="宋体"/>
                <w:color w:val="auto"/>
                <w:sz w:val="22"/>
                <w:szCs w:val="22"/>
                <w:highlight w:val="none"/>
              </w:rPr>
              <w:t>）“招标公告”栏目</w:t>
            </w:r>
            <w:r>
              <w:rPr>
                <w:rFonts w:hint="eastAsia" w:ascii="宋体" w:hAnsi="宋体" w:eastAsia="宋体" w:cs="宋体"/>
                <w:color w:val="auto"/>
                <w:sz w:val="22"/>
                <w:szCs w:val="22"/>
                <w:highlight w:val="none"/>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2193"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347" w:type="dxa"/>
            <w:vAlign w:val="center"/>
          </w:tcPr>
          <w:p w14:paraId="042C5927">
            <w:pPr>
              <w:pStyle w:val="42"/>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auto"/>
                <w:sz w:val="22"/>
                <w:szCs w:val="22"/>
                <w:highlight w:val="none"/>
                <w:lang w:eastAsia="zh-CN"/>
              </w:rPr>
              <w:t>安徽交控建设工程集团</w:t>
            </w:r>
            <w:r>
              <w:rPr>
                <w:rFonts w:hint="eastAsia" w:ascii="宋体" w:hAnsi="宋体" w:eastAsia="宋体" w:cs="宋体"/>
                <w:color w:val="auto"/>
                <w:sz w:val="22"/>
                <w:szCs w:val="22"/>
                <w:highlight w:val="none"/>
              </w:rPr>
              <w:t>（网址：</w:t>
            </w:r>
            <w:r>
              <w:rPr>
                <w:rFonts w:hint="eastAsia" w:cs="宋体"/>
                <w:color w:val="auto"/>
                <w:sz w:val="22"/>
                <w:szCs w:val="22"/>
                <w:highlight w:val="none"/>
                <w:lang w:eastAsia="zh-CN"/>
              </w:rPr>
              <w:t>www.ahjggroup.com</w:t>
            </w:r>
            <w:r>
              <w:rPr>
                <w:rFonts w:hint="eastAsia" w:ascii="宋体" w:hAnsi="宋体" w:eastAsia="宋体" w:cs="宋体"/>
                <w:color w:val="auto"/>
                <w:sz w:val="22"/>
                <w:szCs w:val="22"/>
                <w:highlight w:val="none"/>
              </w:rPr>
              <w:t>）的网站，及时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22</w:t>
            </w:r>
          </w:p>
        </w:tc>
        <w:tc>
          <w:tcPr>
            <w:tcW w:w="2193" w:type="dxa"/>
            <w:vAlign w:val="center"/>
          </w:tcPr>
          <w:p w14:paraId="14017135">
            <w:pPr>
              <w:pStyle w:val="42"/>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响应文件份数</w:t>
            </w:r>
          </w:p>
        </w:tc>
        <w:tc>
          <w:tcPr>
            <w:tcW w:w="6347" w:type="dxa"/>
            <w:vAlign w:val="center"/>
          </w:tcPr>
          <w:p w14:paraId="59DC1050">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highlight w:val="none"/>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23</w:t>
            </w:r>
          </w:p>
        </w:tc>
        <w:tc>
          <w:tcPr>
            <w:tcW w:w="2193" w:type="dxa"/>
            <w:vAlign w:val="center"/>
          </w:tcPr>
          <w:p w14:paraId="0AF0B06A">
            <w:pPr>
              <w:pStyle w:val="42"/>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eastAsia="zh-CN"/>
              </w:rPr>
            </w:pPr>
            <w:r>
              <w:rPr>
                <w:rFonts w:hint="eastAsia"/>
                <w:color w:val="auto"/>
                <w:sz w:val="22"/>
                <w:szCs w:val="22"/>
                <w:highlight w:val="none"/>
                <w:lang w:eastAsia="zh-CN"/>
              </w:rPr>
              <w:t>装订包封要求</w:t>
            </w:r>
          </w:p>
        </w:tc>
        <w:tc>
          <w:tcPr>
            <w:tcW w:w="6347" w:type="dxa"/>
            <w:vAlign w:val="center"/>
          </w:tcPr>
          <w:p w14:paraId="78587EFE">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b/>
                <w:bCs w:val="0"/>
                <w:color w:val="auto"/>
                <w:kern w:val="2"/>
                <w:sz w:val="22"/>
                <w:szCs w:val="22"/>
                <w:highlight w:val="yellow"/>
                <w:lang w:val="en-US" w:eastAsia="zh-CN" w:bidi="ar"/>
              </w:rPr>
            </w:pPr>
            <w:r>
              <w:rPr>
                <w:rFonts w:hint="eastAsia" w:ascii="宋体" w:hAnsi="宋体" w:eastAsia="宋体" w:cs="宋体"/>
                <w:b/>
                <w:bCs w:val="0"/>
                <w:color w:val="auto"/>
                <w:kern w:val="2"/>
                <w:sz w:val="22"/>
                <w:szCs w:val="22"/>
                <w:highlight w:val="yellow"/>
                <w:lang w:val="en-US" w:eastAsia="zh-CN" w:bidi="ar"/>
              </w:rPr>
              <w:t>响应文件胶装，按商务技术文件正副本和报价文件正副本分成两个密封袋封装，封口处须密封并加盖企业公章。</w:t>
            </w:r>
          </w:p>
          <w:p w14:paraId="61B7B61A">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default" w:ascii="宋体" w:hAnsi="宋体" w:eastAsia="宋体" w:cs="宋体"/>
                <w:b/>
                <w:bCs w:val="0"/>
                <w:color w:val="auto"/>
                <w:kern w:val="2"/>
                <w:sz w:val="22"/>
                <w:szCs w:val="22"/>
                <w:highlight w:val="none"/>
                <w:lang w:val="en-US" w:eastAsia="zh-CN" w:bidi="ar"/>
              </w:rPr>
            </w:pPr>
            <w:r>
              <w:rPr>
                <w:rFonts w:hint="eastAsia" w:cs="宋体"/>
                <w:b/>
                <w:bCs w:val="0"/>
                <w:color w:val="auto"/>
                <w:kern w:val="2"/>
                <w:sz w:val="22"/>
                <w:szCs w:val="22"/>
                <w:highlight w:val="yellow"/>
                <w:lang w:val="en-US" w:eastAsia="zh-CN" w:bidi="ar"/>
              </w:rPr>
              <w:t>在商务技术文件密封袋内必须同时用U盘放盖章版商务技术文件的扫描件一份（PDF版），在报价文件密封袋内用U盘放报价文件扫描件一份(PDF版)和报价清单电子版一份(EXCEL版)；如启封发现上述资料未放齐的，视为形式评审不合格，取消资格。</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24</w:t>
            </w:r>
          </w:p>
        </w:tc>
        <w:tc>
          <w:tcPr>
            <w:tcW w:w="2193"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347"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25</w:t>
            </w:r>
          </w:p>
        </w:tc>
        <w:tc>
          <w:tcPr>
            <w:tcW w:w="2193"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347"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val="en-US" w:eastAsia="zh-CN"/>
              </w:rPr>
              <w:t>响应</w:t>
            </w:r>
            <w:r>
              <w:rPr>
                <w:rFonts w:hint="default"/>
                <w:color w:val="auto"/>
                <w:sz w:val="22"/>
                <w:szCs w:val="22"/>
                <w:highlight w:val="none"/>
              </w:rPr>
              <w:t>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26</w:t>
            </w:r>
          </w:p>
        </w:tc>
        <w:tc>
          <w:tcPr>
            <w:tcW w:w="2193"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34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w:t>
            </w:r>
            <w:r>
              <w:rPr>
                <w:rFonts w:hint="eastAsia"/>
                <w:b/>
                <w:bCs/>
                <w:color w:val="auto"/>
                <w:sz w:val="22"/>
                <w:szCs w:val="22"/>
                <w:highlight w:val="none"/>
                <w:lang w:val="en-US" w:eastAsia="zh-CN"/>
              </w:rPr>
              <w:t>响应</w:t>
            </w:r>
            <w:r>
              <w:rPr>
                <w:rFonts w:hint="default"/>
                <w:b/>
                <w:bCs/>
                <w:color w:val="auto"/>
                <w:sz w:val="22"/>
                <w:szCs w:val="22"/>
                <w:highlight w:val="none"/>
              </w:rPr>
              <w:t>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27</w:t>
            </w:r>
          </w:p>
        </w:tc>
        <w:tc>
          <w:tcPr>
            <w:tcW w:w="2193"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34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28</w:t>
            </w:r>
          </w:p>
        </w:tc>
        <w:tc>
          <w:tcPr>
            <w:tcW w:w="2193"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34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none"/>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29</w:t>
            </w:r>
          </w:p>
        </w:tc>
        <w:tc>
          <w:tcPr>
            <w:tcW w:w="2193"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34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w:t>
            </w:r>
            <w:r>
              <w:rPr>
                <w:rFonts w:hint="eastAsia"/>
                <w:color w:val="auto"/>
                <w:sz w:val="22"/>
                <w:szCs w:val="22"/>
                <w:highlight w:val="none"/>
                <w:lang w:val="en-US" w:eastAsia="zh-CN"/>
              </w:rPr>
              <w:t>响应</w:t>
            </w:r>
            <w:r>
              <w:rPr>
                <w:rFonts w:hint="default"/>
                <w:color w:val="auto"/>
                <w:sz w:val="22"/>
                <w:szCs w:val="22"/>
                <w:highlight w:val="none"/>
              </w:rPr>
              <w:t>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30</w:t>
            </w:r>
          </w:p>
        </w:tc>
        <w:tc>
          <w:tcPr>
            <w:tcW w:w="2193"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347" w:type="dxa"/>
            <w:vAlign w:val="center"/>
          </w:tcPr>
          <w:p w14:paraId="0E2C1FF3">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9"/>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9"/>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①</w:t>
            </w:r>
            <w:r>
              <w:rPr>
                <w:rFonts w:hint="eastAsia" w:eastAsia="宋体"/>
                <w:color w:val="auto"/>
                <w:sz w:val="22"/>
                <w:szCs w:val="22"/>
                <w:highlight w:val="none"/>
                <w:u w:val="none"/>
                <w:lang w:val="en-US" w:eastAsia="zh-CN"/>
              </w:rPr>
              <w:t>响应</w:t>
            </w:r>
            <w:r>
              <w:rPr>
                <w:rFonts w:hint="eastAsia" w:eastAsia="宋体"/>
                <w:color w:val="auto"/>
                <w:sz w:val="22"/>
                <w:szCs w:val="22"/>
                <w:highlight w:val="none"/>
                <w:u w:val="none"/>
                <w:lang w:eastAsia="zh-CN"/>
              </w:rPr>
              <w:t>保证金的到账截止时间：</w:t>
            </w:r>
            <w:r>
              <w:rPr>
                <w:rFonts w:hint="eastAsia" w:eastAsia="宋体"/>
                <w:color w:val="auto"/>
                <w:sz w:val="22"/>
                <w:szCs w:val="22"/>
                <w:highlight w:val="none"/>
                <w:u w:val="none"/>
                <w:lang w:val="en-US" w:eastAsia="zh-CN"/>
              </w:rPr>
              <w:t>响应</w:t>
            </w:r>
            <w:r>
              <w:rPr>
                <w:rFonts w:hint="eastAsia" w:eastAsia="宋体"/>
                <w:color w:val="auto"/>
                <w:sz w:val="22"/>
                <w:szCs w:val="22"/>
                <w:highlight w:val="none"/>
                <w:u w:val="none"/>
                <w:lang w:eastAsia="zh-CN"/>
              </w:rPr>
              <w:t>截止时间。</w:t>
            </w:r>
          </w:p>
          <w:p w14:paraId="1D8317AE">
            <w:pPr>
              <w:pStyle w:val="9"/>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②供应商银行账户汇入到上述账户，采购人不接受以个人名义或以现金形式提交的响应保证金。</w:t>
            </w:r>
          </w:p>
          <w:p w14:paraId="77018E5A">
            <w:pPr>
              <w:pStyle w:val="9"/>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none"/>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31</w:t>
            </w:r>
          </w:p>
        </w:tc>
        <w:tc>
          <w:tcPr>
            <w:tcW w:w="2193"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w:t>
            </w:r>
            <w:r>
              <w:rPr>
                <w:rFonts w:hint="eastAsia"/>
                <w:color w:val="auto"/>
                <w:sz w:val="22"/>
                <w:szCs w:val="22"/>
                <w:highlight w:val="none"/>
                <w:lang w:val="en-US" w:eastAsia="zh-CN"/>
              </w:rPr>
              <w:t>响应</w:t>
            </w:r>
            <w:r>
              <w:rPr>
                <w:rFonts w:hint="default"/>
                <w:color w:val="auto"/>
                <w:sz w:val="22"/>
                <w:szCs w:val="22"/>
                <w:highlight w:val="none"/>
              </w:rPr>
              <w:t>保证金的情形</w:t>
            </w:r>
          </w:p>
        </w:tc>
        <w:tc>
          <w:tcPr>
            <w:tcW w:w="634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w:t>
            </w:r>
            <w:r>
              <w:rPr>
                <w:rFonts w:hint="eastAsia"/>
                <w:color w:val="auto"/>
                <w:sz w:val="22"/>
                <w:szCs w:val="22"/>
                <w:highlight w:val="none"/>
                <w:lang w:val="en-US" w:eastAsia="zh-CN"/>
              </w:rPr>
              <w:t>成交</w:t>
            </w:r>
            <w:r>
              <w:rPr>
                <w:rFonts w:hint="default"/>
                <w:color w:val="auto"/>
                <w:sz w:val="22"/>
                <w:szCs w:val="22"/>
                <w:highlight w:val="none"/>
              </w:rPr>
              <w:t>候选人放弃</w:t>
            </w:r>
            <w:r>
              <w:rPr>
                <w:rFonts w:hint="eastAsia"/>
                <w:color w:val="auto"/>
                <w:sz w:val="22"/>
                <w:szCs w:val="22"/>
                <w:highlight w:val="none"/>
                <w:lang w:val="en-US" w:eastAsia="zh-CN"/>
              </w:rPr>
              <w:t>成交</w:t>
            </w:r>
            <w:r>
              <w:rPr>
                <w:rFonts w:hint="default"/>
                <w:color w:val="auto"/>
                <w:sz w:val="22"/>
                <w:szCs w:val="22"/>
                <w:highlight w:val="none"/>
              </w:rPr>
              <w:t>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w:t>
            </w:r>
            <w:r>
              <w:rPr>
                <w:rFonts w:hint="eastAsia"/>
                <w:color w:val="auto"/>
                <w:sz w:val="22"/>
                <w:szCs w:val="22"/>
                <w:highlight w:val="none"/>
                <w:lang w:val="en-US" w:eastAsia="zh-CN"/>
              </w:rPr>
              <w:t>响应</w:t>
            </w:r>
            <w:r>
              <w:rPr>
                <w:rFonts w:hint="default"/>
                <w:color w:val="auto"/>
                <w:sz w:val="22"/>
                <w:szCs w:val="22"/>
                <w:highlight w:val="none"/>
              </w:rPr>
              <w:t>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w:t>
            </w:r>
            <w:r>
              <w:rPr>
                <w:rFonts w:hint="eastAsia"/>
                <w:color w:val="auto"/>
                <w:sz w:val="22"/>
                <w:szCs w:val="22"/>
                <w:highlight w:val="none"/>
                <w:lang w:val="en-US" w:eastAsia="zh-CN"/>
              </w:rPr>
              <w:t>响应</w:t>
            </w:r>
            <w:r>
              <w:rPr>
                <w:rFonts w:hint="default"/>
                <w:color w:val="auto"/>
                <w:sz w:val="22"/>
                <w:szCs w:val="22"/>
                <w:highlight w:val="none"/>
              </w:rPr>
              <w:t>、以行贿谋取</w:t>
            </w:r>
            <w:r>
              <w:rPr>
                <w:rFonts w:hint="eastAsia"/>
                <w:color w:val="auto"/>
                <w:sz w:val="22"/>
                <w:szCs w:val="22"/>
                <w:highlight w:val="none"/>
                <w:lang w:val="en-US" w:eastAsia="zh-CN"/>
              </w:rPr>
              <w:t>成交</w:t>
            </w:r>
            <w:r>
              <w:rPr>
                <w:rFonts w:hint="default"/>
                <w:color w:val="auto"/>
                <w:sz w:val="22"/>
                <w:szCs w:val="22"/>
                <w:highlight w:val="none"/>
              </w:rPr>
              <w:t>、无正当理由放弃</w:t>
            </w:r>
            <w:r>
              <w:rPr>
                <w:rFonts w:hint="eastAsia"/>
                <w:color w:val="auto"/>
                <w:sz w:val="22"/>
                <w:szCs w:val="22"/>
                <w:highlight w:val="none"/>
                <w:lang w:val="en-US" w:eastAsia="zh-CN"/>
              </w:rPr>
              <w:t>成交</w:t>
            </w:r>
            <w:r>
              <w:rPr>
                <w:rFonts w:hint="default"/>
                <w:color w:val="auto"/>
                <w:sz w:val="22"/>
                <w:szCs w:val="22"/>
                <w:highlight w:val="none"/>
              </w:rPr>
              <w:t>以及进行恶意投诉等</w:t>
            </w:r>
            <w:r>
              <w:rPr>
                <w:rFonts w:hint="eastAsia"/>
                <w:color w:val="auto"/>
                <w:sz w:val="22"/>
                <w:szCs w:val="22"/>
                <w:highlight w:val="none"/>
                <w:lang w:val="en-US" w:eastAsia="zh-CN"/>
              </w:rPr>
              <w:t>响应</w:t>
            </w:r>
            <w:r>
              <w:rPr>
                <w:rFonts w:hint="default"/>
                <w:color w:val="auto"/>
                <w:sz w:val="22"/>
                <w:szCs w:val="22"/>
                <w:highlight w:val="none"/>
              </w:rPr>
              <w:t>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32</w:t>
            </w:r>
          </w:p>
        </w:tc>
        <w:tc>
          <w:tcPr>
            <w:tcW w:w="2193"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34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 w:val="22"/>
                <w:szCs w:val="22"/>
                <w:highlight w:val="none"/>
              </w:rPr>
            </w:pPr>
            <w:r>
              <w:rPr>
                <w:rFonts w:hint="default"/>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33</w:t>
            </w:r>
          </w:p>
        </w:tc>
        <w:tc>
          <w:tcPr>
            <w:tcW w:w="2193"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347" w:type="dxa"/>
            <w:vAlign w:val="center"/>
          </w:tcPr>
          <w:p w14:paraId="70A5CD33">
            <w:pPr>
              <w:keepNext w:val="0"/>
              <w:keepLines w:val="0"/>
              <w:suppressLineNumbers w:val="0"/>
              <w:spacing w:before="0" w:beforeAutospacing="0" w:after="0" w:afterAutospacing="0"/>
              <w:ind w:left="0" w:right="42" w:rightChars="20" w:firstLine="2420" w:firstLineChars="1100"/>
              <w:jc w:val="both"/>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34</w:t>
            </w:r>
          </w:p>
        </w:tc>
        <w:tc>
          <w:tcPr>
            <w:tcW w:w="2193"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347" w:type="dxa"/>
            <w:vAlign w:val="center"/>
          </w:tcPr>
          <w:p w14:paraId="15C9ADEC">
            <w:pPr>
              <w:pStyle w:val="42"/>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lang w:val="en-US" w:eastAsia="zh-CN"/>
              </w:rPr>
            </w:pPr>
            <w:r>
              <w:rPr>
                <w:rFonts w:hint="eastAsia" w:ascii="宋体" w:hAnsi="宋体" w:cs="宋体"/>
                <w:color w:val="auto"/>
                <w:sz w:val="22"/>
                <w:szCs w:val="22"/>
                <w:highlight w:val="none"/>
                <w:u w:val="single"/>
              </w:rPr>
              <w:t>20</w:t>
            </w:r>
            <w:r>
              <w:rPr>
                <w:rFonts w:hint="eastAsia" w:ascii="宋体" w:hAnsi="宋体" w:cs="宋体"/>
                <w:color w:val="auto"/>
                <w:sz w:val="22"/>
                <w:szCs w:val="22"/>
                <w:highlight w:val="none"/>
                <w:u w:val="single"/>
                <w:lang w:val="en-US" w:eastAsia="zh-CN"/>
              </w:rPr>
              <w:t>2</w:t>
            </w:r>
            <w:r>
              <w:rPr>
                <w:rFonts w:hint="eastAsia" w:cs="宋体"/>
                <w:color w:val="auto"/>
                <w:sz w:val="22"/>
                <w:szCs w:val="22"/>
                <w:highlight w:val="none"/>
                <w:u w:val="single"/>
                <w:lang w:val="en-US" w:eastAsia="zh-CN"/>
              </w:rPr>
              <w:t>2</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1</w:t>
            </w:r>
            <w:r>
              <w:rPr>
                <w:rFonts w:hint="eastAsia" w:ascii="宋体" w:hAnsi="宋体" w:cs="宋体"/>
                <w:color w:val="auto"/>
                <w:sz w:val="22"/>
                <w:szCs w:val="22"/>
                <w:highlight w:val="none"/>
              </w:rPr>
              <w:t>日</w:t>
            </w:r>
            <w:r>
              <w:rPr>
                <w:rFonts w:hint="default"/>
                <w:color w:val="auto"/>
                <w:sz w:val="22"/>
                <w:szCs w:val="22"/>
                <w:highlight w:val="none"/>
              </w:rPr>
              <w:t>至</w:t>
            </w:r>
            <w:r>
              <w:rPr>
                <w:rFonts w:hint="eastAsia"/>
                <w:color w:val="auto"/>
                <w:sz w:val="22"/>
                <w:szCs w:val="22"/>
                <w:highlight w:val="none"/>
                <w:lang w:val="en-US" w:eastAsia="zh-CN"/>
              </w:rPr>
              <w:t>响应</w:t>
            </w:r>
            <w:r>
              <w:rPr>
                <w:rFonts w:hint="default"/>
                <w:color w:val="auto"/>
                <w:sz w:val="22"/>
                <w:szCs w:val="22"/>
                <w:highlight w:val="none"/>
              </w:rPr>
              <w:t>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35</w:t>
            </w:r>
          </w:p>
        </w:tc>
        <w:tc>
          <w:tcPr>
            <w:tcW w:w="2193"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347" w:type="dxa"/>
            <w:vAlign w:val="center"/>
          </w:tcPr>
          <w:p w14:paraId="668A9EEB">
            <w:pPr>
              <w:pStyle w:val="42"/>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rPr>
              <w:t xml:space="preserve"> </w:t>
            </w: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36</w:t>
            </w:r>
          </w:p>
        </w:tc>
        <w:tc>
          <w:tcPr>
            <w:tcW w:w="2193"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w:t>
            </w:r>
            <w:r>
              <w:rPr>
                <w:rFonts w:hint="eastAsia"/>
                <w:color w:val="auto"/>
                <w:sz w:val="22"/>
                <w:szCs w:val="22"/>
                <w:highlight w:val="none"/>
                <w:lang w:val="en-US" w:eastAsia="zh-CN"/>
              </w:rPr>
              <w:t>响应</w:t>
            </w:r>
            <w:r>
              <w:rPr>
                <w:rFonts w:hint="default"/>
                <w:color w:val="auto"/>
                <w:sz w:val="22"/>
                <w:szCs w:val="22"/>
                <w:highlight w:val="none"/>
              </w:rPr>
              <w:t>方案</w:t>
            </w:r>
          </w:p>
        </w:tc>
        <w:tc>
          <w:tcPr>
            <w:tcW w:w="634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37</w:t>
            </w:r>
          </w:p>
        </w:tc>
        <w:tc>
          <w:tcPr>
            <w:tcW w:w="2193"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34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38</w:t>
            </w:r>
          </w:p>
        </w:tc>
        <w:tc>
          <w:tcPr>
            <w:tcW w:w="2193"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rPr>
              <w:t>开标程序</w:t>
            </w:r>
          </w:p>
        </w:tc>
        <w:tc>
          <w:tcPr>
            <w:tcW w:w="634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39</w:t>
            </w:r>
          </w:p>
        </w:tc>
        <w:tc>
          <w:tcPr>
            <w:tcW w:w="2193"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34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40</w:t>
            </w:r>
          </w:p>
        </w:tc>
        <w:tc>
          <w:tcPr>
            <w:tcW w:w="2193"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开标时间和地点</w:t>
            </w:r>
          </w:p>
        </w:tc>
        <w:tc>
          <w:tcPr>
            <w:tcW w:w="6347"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41</w:t>
            </w:r>
          </w:p>
        </w:tc>
        <w:tc>
          <w:tcPr>
            <w:tcW w:w="2193"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34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42</w:t>
            </w:r>
          </w:p>
        </w:tc>
        <w:tc>
          <w:tcPr>
            <w:tcW w:w="2193"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w:t>
            </w:r>
            <w:r>
              <w:rPr>
                <w:rFonts w:hint="eastAsia"/>
                <w:color w:val="auto"/>
                <w:sz w:val="22"/>
                <w:szCs w:val="22"/>
                <w:highlight w:val="none"/>
                <w:lang w:val="en-US" w:eastAsia="zh-CN"/>
              </w:rPr>
              <w:t>成交</w:t>
            </w:r>
            <w:r>
              <w:rPr>
                <w:rFonts w:hint="default"/>
                <w:color w:val="auto"/>
                <w:sz w:val="22"/>
                <w:szCs w:val="22"/>
                <w:highlight w:val="none"/>
              </w:rPr>
              <w:t>候选人的人数</w:t>
            </w:r>
          </w:p>
        </w:tc>
        <w:tc>
          <w:tcPr>
            <w:tcW w:w="634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评标办法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43</w:t>
            </w:r>
          </w:p>
        </w:tc>
        <w:tc>
          <w:tcPr>
            <w:tcW w:w="2193"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val="en-US" w:eastAsia="zh-CN"/>
              </w:rPr>
              <w:t>成交</w:t>
            </w:r>
            <w:r>
              <w:rPr>
                <w:rFonts w:hint="default"/>
                <w:color w:val="auto"/>
                <w:sz w:val="22"/>
                <w:szCs w:val="22"/>
                <w:highlight w:val="none"/>
              </w:rPr>
              <w:t>候选人公示媒介及期限</w:t>
            </w:r>
          </w:p>
        </w:tc>
        <w:tc>
          <w:tcPr>
            <w:tcW w:w="6347" w:type="dxa"/>
            <w:vAlign w:val="center"/>
          </w:tcPr>
          <w:p w14:paraId="61C35264">
            <w:pPr>
              <w:pStyle w:val="42"/>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none"/>
              </w:rPr>
              <w:t>公示媒介：“安徽交控建设工程集团有限公司”（网址：</w:t>
            </w:r>
            <w:r>
              <w:rPr>
                <w:rFonts w:hint="eastAsia" w:cs="宋体"/>
                <w:color w:val="auto"/>
                <w:sz w:val="22"/>
                <w:szCs w:val="22"/>
                <w:highlight w:val="none"/>
                <w:lang w:eastAsia="zh-CN"/>
              </w:rPr>
              <w:t>www.ahjggroup.com</w:t>
            </w:r>
            <w:r>
              <w:rPr>
                <w:rFonts w:hint="eastAsia" w:ascii="宋体" w:hAnsi="宋体" w:eastAsia="宋体" w:cs="宋体"/>
                <w:color w:val="auto"/>
                <w:sz w:val="22"/>
                <w:szCs w:val="22"/>
                <w:highlight w:val="none"/>
              </w:rPr>
              <w:t>）“招标公告”栏目</w:t>
            </w:r>
            <w:r>
              <w:rPr>
                <w:rFonts w:hint="eastAsia" w:cs="宋体"/>
                <w:color w:val="auto"/>
                <w:sz w:val="22"/>
                <w:szCs w:val="22"/>
                <w:highlight w:val="none"/>
                <w:lang w:val="en-US" w:eastAsia="zh-CN"/>
              </w:rPr>
              <w:t>，</w:t>
            </w: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cs="宋体"/>
                <w:color w:val="auto"/>
                <w:sz w:val="22"/>
                <w:szCs w:val="22"/>
                <w:highlight w:val="none"/>
                <w:u w:val="single"/>
                <w:lang w:val="en-US" w:eastAsia="zh-CN"/>
              </w:rPr>
              <w:t>3</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44</w:t>
            </w:r>
          </w:p>
        </w:tc>
        <w:tc>
          <w:tcPr>
            <w:tcW w:w="2193"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w:t>
            </w:r>
            <w:r>
              <w:rPr>
                <w:rFonts w:hint="eastAsia"/>
                <w:color w:val="auto"/>
                <w:sz w:val="22"/>
                <w:szCs w:val="22"/>
                <w:highlight w:val="none"/>
                <w:lang w:val="en-US" w:eastAsia="zh-CN"/>
              </w:rPr>
              <w:t>成交</w:t>
            </w:r>
            <w:r>
              <w:rPr>
                <w:rFonts w:hint="eastAsia"/>
                <w:color w:val="auto"/>
                <w:sz w:val="22"/>
                <w:szCs w:val="22"/>
                <w:highlight w:val="none"/>
                <w:lang w:eastAsia="zh-CN"/>
              </w:rPr>
              <w:t>人</w:t>
            </w:r>
          </w:p>
        </w:tc>
        <w:tc>
          <w:tcPr>
            <w:tcW w:w="634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45</w:t>
            </w:r>
          </w:p>
        </w:tc>
        <w:tc>
          <w:tcPr>
            <w:tcW w:w="2193"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347" w:type="dxa"/>
            <w:vAlign w:val="center"/>
          </w:tcPr>
          <w:p w14:paraId="78E7B841">
            <w:pPr>
              <w:keepNext w:val="0"/>
              <w:keepLines w:val="0"/>
              <w:suppressLineNumbers w:val="0"/>
              <w:spacing w:before="0" w:beforeLines="0" w:beforeAutospacing="0" w:after="0" w:afterLines="0" w:afterAutospacing="0" w:line="440" w:lineRule="exact"/>
              <w:ind w:left="0" w:right="0"/>
              <w:rPr>
                <w:rFonts w:hint="eastAsia"/>
                <w:color w:val="auto"/>
                <w:sz w:val="21"/>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成交公示后</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在</w:t>
            </w:r>
            <w:r>
              <w:rPr>
                <w:rFonts w:hint="eastAsia" w:ascii="宋体" w:hAnsi="宋体" w:eastAsia="宋体" w:cs="宋体"/>
                <w:color w:val="auto"/>
                <w:szCs w:val="21"/>
                <w:highlight w:val="none"/>
                <w:lang w:val="en-US" w:eastAsia="zh-CN"/>
              </w:rPr>
              <w:t>合同签订前，乙方需向甲方支付合同总价2%的</w:t>
            </w:r>
            <w:r>
              <w:rPr>
                <w:rFonts w:hint="eastAsia" w:ascii="宋体" w:hAnsi="宋体" w:eastAsia="宋体" w:cs="宋体"/>
                <w:color w:val="auto"/>
                <w:szCs w:val="21"/>
                <w:highlight w:val="none"/>
              </w:rPr>
              <w:t>履约保证金</w:t>
            </w:r>
            <w:r>
              <w:rPr>
                <w:rFonts w:hint="eastAsia" w:ascii="宋体" w:hAnsi="宋体" w:eastAsia="宋体" w:cs="宋体"/>
                <w:color w:val="auto"/>
                <w:szCs w:val="21"/>
                <w:highlight w:val="none"/>
                <w:lang w:val="en-US" w:eastAsia="zh-CN"/>
              </w:rPr>
              <w:t>或提供合同总价5%的银行保函</w:t>
            </w:r>
            <w:r>
              <w:rPr>
                <w:rFonts w:hint="eastAsia" w:ascii="宋体" w:hAnsi="宋体" w:eastAsia="宋体" w:cs="宋体"/>
                <w:color w:val="auto"/>
                <w:szCs w:val="21"/>
                <w:highlight w:val="none"/>
              </w:rPr>
              <w:t>。</w:t>
            </w:r>
          </w:p>
          <w:p w14:paraId="40DED63E">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ascii="宋体" w:hAnsi="宋体" w:eastAsia="宋体" w:cs="宋体"/>
                <w:szCs w:val="21"/>
                <w:highlight w:val="none"/>
              </w:rPr>
              <w:t>（2）履约保证金退还时间：该项目物资供应整体验收完成后28天内。</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46</w:t>
            </w:r>
          </w:p>
        </w:tc>
        <w:tc>
          <w:tcPr>
            <w:tcW w:w="2193"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34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2193"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w:t>
            </w:r>
            <w:r>
              <w:rPr>
                <w:rFonts w:hint="eastAsia"/>
                <w:color w:val="auto"/>
                <w:sz w:val="22"/>
                <w:szCs w:val="22"/>
                <w:highlight w:val="none"/>
                <w:lang w:val="en-US" w:eastAsia="zh-CN"/>
              </w:rPr>
              <w:t>采购</w:t>
            </w:r>
          </w:p>
        </w:tc>
        <w:tc>
          <w:tcPr>
            <w:tcW w:w="634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8</w:t>
            </w:r>
          </w:p>
        </w:tc>
        <w:tc>
          <w:tcPr>
            <w:tcW w:w="2193"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sz w:val="22"/>
                <w:szCs w:val="22"/>
                <w:highlight w:val="none"/>
              </w:rPr>
              <w:t>响应文件作否决处理情形</w:t>
            </w:r>
          </w:p>
        </w:tc>
        <w:tc>
          <w:tcPr>
            <w:tcW w:w="6347"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9</w:t>
            </w:r>
          </w:p>
        </w:tc>
        <w:tc>
          <w:tcPr>
            <w:tcW w:w="2193"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kern w:val="0"/>
                <w:sz w:val="22"/>
                <w:szCs w:val="22"/>
                <w:highlight w:val="none"/>
                <w:lang w:bidi="ar"/>
              </w:rPr>
              <w:t>异常低价评审情形</w:t>
            </w:r>
          </w:p>
        </w:tc>
        <w:tc>
          <w:tcPr>
            <w:tcW w:w="6347"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2EEFD3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4ED376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1"/>
                <w:highlight w:val="none"/>
                <w:lang w:val="en-US" w:eastAsia="zh-CN" w:bidi="ar-SA"/>
              </w:rPr>
            </w:pPr>
            <w:r>
              <w:rPr>
                <w:rFonts w:hint="eastAsia" w:cstheme="minorBidi"/>
                <w:color w:val="auto"/>
                <w:kern w:val="2"/>
                <w:sz w:val="22"/>
                <w:szCs w:val="21"/>
                <w:highlight w:val="none"/>
                <w:lang w:val="en-US" w:eastAsia="zh-CN" w:bidi="ar-SA"/>
              </w:rPr>
              <w:t>50</w:t>
            </w:r>
          </w:p>
        </w:tc>
        <w:tc>
          <w:tcPr>
            <w:tcW w:w="2193" w:type="dxa"/>
            <w:shd w:val="clear" w:color="auto" w:fill="auto"/>
            <w:vAlign w:val="center"/>
          </w:tcPr>
          <w:p w14:paraId="01E4BD2E">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b/>
                <w:color w:val="auto"/>
                <w:kern w:val="0"/>
                <w:sz w:val="22"/>
                <w:szCs w:val="22"/>
                <w:highlight w:val="none"/>
                <w:lang w:val="en-US" w:eastAsia="zh-CN" w:bidi="ar"/>
              </w:rPr>
            </w:pPr>
            <w:r>
              <w:rPr>
                <w:rFonts w:hint="eastAsia" w:ascii="宋体" w:hAnsi="宋体" w:eastAsia="宋体" w:cs="宋体"/>
                <w:b/>
                <w:color w:val="auto"/>
                <w:kern w:val="0"/>
                <w:sz w:val="22"/>
                <w:szCs w:val="22"/>
                <w:highlight w:val="none"/>
                <w:lang w:val="en-US" w:eastAsia="zh-CN" w:bidi="ar"/>
              </w:rPr>
              <w:t>送样</w:t>
            </w:r>
          </w:p>
        </w:tc>
        <w:tc>
          <w:tcPr>
            <w:tcW w:w="6347" w:type="dxa"/>
            <w:shd w:val="clear" w:color="auto" w:fill="auto"/>
            <w:vAlign w:val="center"/>
          </w:tcPr>
          <w:p w14:paraId="7C90601F">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 xml:space="preserve">拟成交人须在采购人通知之日起5日内送样并经采购人确认、封样，如所送样品不符合产品要求或在供应过程中达不到采购人要求的： </w:t>
            </w:r>
          </w:p>
          <w:p w14:paraId="14B782ED">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 xml:space="preserve">1）采购人有权终止成交候选人资格，并没收响应保证金；按候选人公示顺延成交人或重新采购。 </w:t>
            </w:r>
          </w:p>
          <w:p w14:paraId="2402C797">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 xml:space="preserve">2）采购人有权终止合同，并依据合同规定追究法律责任。 </w:t>
            </w:r>
          </w:p>
          <w:p w14:paraId="3A749900">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 xml:space="preserve">3）采购人有权对拟成交人违约行为按照约定进行处罚。 </w:t>
            </w:r>
          </w:p>
          <w:p w14:paraId="76455339">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FF0000"/>
                <w:kern w:val="2"/>
                <w:sz w:val="22"/>
                <w:szCs w:val="22"/>
                <w:highlight w:val="none"/>
                <w:lang w:val="en-US" w:eastAsia="zh-CN" w:bidi="ar-SA"/>
              </w:rPr>
            </w:pPr>
            <w:r>
              <w:rPr>
                <w:rFonts w:hint="eastAsia" w:ascii="宋体" w:hAnsi="宋体" w:eastAsia="宋体" w:cs="宋体"/>
                <w:color w:val="auto"/>
                <w:sz w:val="22"/>
                <w:szCs w:val="22"/>
                <w:highlight w:val="yellow"/>
                <w:lang w:val="en-US" w:eastAsia="zh-CN"/>
              </w:rPr>
              <w:t>4）采购人有权将未完成的供货部分移交给第三方实施，供应商应无条件配合相关移交工作。</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leftChars="0" w:right="0" w:rightChars="0"/>
              <w:jc w:val="center"/>
              <w:rPr>
                <w:rFonts w:hint="default"/>
                <w:color w:val="auto"/>
                <w:sz w:val="22"/>
                <w:szCs w:val="22"/>
                <w:highlight w:val="none"/>
                <w:lang w:val="en-US"/>
              </w:rPr>
            </w:pPr>
            <w:r>
              <w:rPr>
                <w:rFonts w:hint="eastAsia"/>
                <w:color w:val="auto"/>
                <w:sz w:val="22"/>
                <w:szCs w:val="21"/>
                <w:highlight w:val="none"/>
                <w:lang w:val="en-US" w:eastAsia="zh-CN"/>
              </w:rPr>
              <w:t>51</w:t>
            </w:r>
          </w:p>
        </w:tc>
        <w:tc>
          <w:tcPr>
            <w:tcW w:w="8540" w:type="dxa"/>
            <w:gridSpan w:val="2"/>
            <w:vAlign w:val="center"/>
          </w:tcPr>
          <w:p w14:paraId="12EE7275">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或其他利害关系人对评标结果有异议的，应以书面形式提出</w:t>
            </w:r>
            <w:r>
              <w:rPr>
                <w:rFonts w:hint="eastAsia"/>
                <w:color w:val="auto"/>
                <w:spacing w:val="-3"/>
                <w:kern w:val="0"/>
                <w:sz w:val="22"/>
                <w:szCs w:val="22"/>
                <w:highlight w:val="none"/>
              </w:rPr>
              <w:t>，异议材料应包括：</w:t>
            </w:r>
          </w:p>
          <w:p w14:paraId="4EEF7789">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15AFE683">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4F2DEEC3">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47F6BE4">
            <w:pPr>
              <w:keepNext w:val="0"/>
              <w:keepLines w:val="0"/>
              <w:widowControl/>
              <w:suppressLineNumbers w:val="0"/>
              <w:shd w:val="clear" w:color="auto" w:fill="FFFFFF"/>
              <w:spacing w:before="0" w:beforeAutospacing="0" w:after="0" w:afterAutospacing="0"/>
              <w:ind w:left="0" w:leftChars="0" w:right="0" w:rightChars="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ind w:left="0" w:leftChars="0" w:right="0" w:rightChars="0"/>
              <w:jc w:val="center"/>
              <w:rPr>
                <w:rFonts w:hint="default" w:asciiTheme="minorHAnsi" w:hAnsiTheme="minorHAnsi" w:eastAsiaTheme="minorEastAsia" w:cstheme="minorBidi"/>
                <w:color w:val="auto"/>
                <w:kern w:val="2"/>
                <w:sz w:val="22"/>
                <w:szCs w:val="22"/>
                <w:highlight w:val="none"/>
                <w:lang w:val="en-US" w:eastAsia="zh-CN" w:bidi="ar-SA"/>
              </w:rPr>
            </w:pPr>
            <w:bookmarkStart w:id="42" w:name="_Toc14201207"/>
            <w:bookmarkStart w:id="43" w:name="_Toc26656938"/>
            <w:bookmarkStart w:id="44" w:name="_Toc9067720"/>
            <w:r>
              <w:rPr>
                <w:rFonts w:hint="eastAsia"/>
                <w:color w:val="auto"/>
                <w:sz w:val="22"/>
                <w:szCs w:val="21"/>
                <w:highlight w:val="none"/>
                <w:lang w:val="en-US" w:eastAsia="zh-CN"/>
              </w:rPr>
              <w:t>52</w:t>
            </w:r>
          </w:p>
        </w:tc>
        <w:tc>
          <w:tcPr>
            <w:tcW w:w="8540" w:type="dxa"/>
            <w:gridSpan w:val="2"/>
            <w:vAlign w:val="center"/>
          </w:tcPr>
          <w:p w14:paraId="373EC6CF">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1.本项目后期有可能涉及部分产品的优化及深化设计，响应单位在响应报价时应充分考虑此部分的费用，根据自身因素、综合条件、市场风险自行报价，成交后不予调整。</w:t>
            </w:r>
          </w:p>
          <w:p w14:paraId="2DE20602">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cs="宋体" w:eastAsiaTheme="minorEastAsia"/>
                <w:bCs/>
                <w:color w:val="auto"/>
                <w:kern w:val="0"/>
                <w:sz w:val="22"/>
                <w:szCs w:val="22"/>
                <w:highlight w:val="none"/>
                <w:lang w:val="en-US" w:eastAsia="zh-CN" w:bidi="ar"/>
              </w:rPr>
            </w:pPr>
            <w:r>
              <w:rPr>
                <w:rFonts w:hint="eastAsia" w:ascii="宋体" w:hAnsi="宋体" w:eastAsia="宋体" w:cs="宋体"/>
                <w:color w:val="auto"/>
                <w:sz w:val="22"/>
                <w:szCs w:val="22"/>
                <w:highlight w:val="none"/>
                <w:lang w:val="en-US" w:eastAsia="zh-CN"/>
              </w:rPr>
              <w:t>2.材料常规检测费用含在报价中，采购人不另外单独支付。</w:t>
            </w:r>
          </w:p>
        </w:tc>
      </w:tr>
      <w:tr w14:paraId="7812AE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2FA3198">
            <w:pPr>
              <w:keepNext w:val="0"/>
              <w:keepLines w:val="0"/>
              <w:suppressLineNumbers w:val="0"/>
              <w:spacing w:before="0" w:beforeAutospacing="0" w:after="0" w:afterAutospacing="0"/>
              <w:ind w:left="0" w:leftChars="0" w:right="0" w:rightChars="0"/>
              <w:jc w:val="center"/>
              <w:rPr>
                <w:rFonts w:hint="default"/>
                <w:color w:val="auto"/>
                <w:sz w:val="22"/>
                <w:szCs w:val="21"/>
                <w:highlight w:val="none"/>
                <w:lang w:val="en-US" w:eastAsia="zh-CN"/>
              </w:rPr>
            </w:pPr>
            <w:r>
              <w:rPr>
                <w:rFonts w:hint="eastAsia"/>
                <w:b/>
                <w:bCs/>
                <w:color w:val="auto"/>
                <w:sz w:val="22"/>
                <w:szCs w:val="21"/>
                <w:highlight w:val="none"/>
                <w:lang w:val="en-US" w:eastAsia="zh-CN"/>
              </w:rPr>
              <w:t>53</w:t>
            </w:r>
          </w:p>
        </w:tc>
        <w:tc>
          <w:tcPr>
            <w:tcW w:w="8540" w:type="dxa"/>
            <w:gridSpan w:val="2"/>
            <w:vAlign w:val="center"/>
          </w:tcPr>
          <w:p w14:paraId="1EA1B7DC">
            <w:pPr>
              <w:keepNext w:val="0"/>
              <w:keepLines w:val="0"/>
              <w:suppressLineNumbers w:val="0"/>
              <w:spacing w:before="0" w:beforeAutospacing="0" w:after="0" w:afterAutospacing="0"/>
              <w:ind w:left="0" w:leftChars="0" w:right="0" w:rightChars="0" w:firstLine="420" w:firstLineChars="200"/>
              <w:jc w:val="left"/>
              <w:textAlignment w:val="top"/>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14:textFill>
                  <w14:solidFill>
                    <w14:schemeClr w14:val="tx1"/>
                  </w14:solidFill>
                </w14:textFill>
              </w:rPr>
              <w:t>1.自2025 年1月1日起计算，乙方须按累计供货金额每达800万，在甲方指定的交控建工集团任意开发或代建项目购买住宅1套、车位1个。1套住宅+1个车位预估价为</w:t>
            </w:r>
            <w:r>
              <w:rPr>
                <w:rFonts w:hint="eastAsia" w:ascii="宋体" w:hAnsi="宋体" w:cs="宋体"/>
                <w:b/>
                <w:bCs/>
                <w:color w:val="000000" w:themeColor="text1"/>
                <w:sz w:val="21"/>
                <w:szCs w:val="21"/>
                <w:highlight w:val="yellow"/>
                <w:lang w:val="en-US" w:eastAsia="zh-CN"/>
                <w14:textFill>
                  <w14:solidFill>
                    <w14:schemeClr w14:val="tx1"/>
                  </w14:solidFill>
                </w14:textFill>
              </w:rPr>
              <w:t>8</w:t>
            </w:r>
            <w:r>
              <w:rPr>
                <w:rFonts w:hint="eastAsia" w:ascii="宋体" w:hAnsi="宋体" w:cs="宋体"/>
                <w:b/>
                <w:bCs/>
                <w:color w:val="000000" w:themeColor="text1"/>
                <w:sz w:val="21"/>
                <w:szCs w:val="21"/>
                <w:highlight w:val="yellow"/>
                <w14:textFill>
                  <w14:solidFill>
                    <w14:schemeClr w14:val="tx1"/>
                  </w14:solidFill>
                </w14:textFill>
              </w:rPr>
              <w:t>0万元，购买人可为乙方或乙方指定的购买人。</w:t>
            </w:r>
          </w:p>
          <w:p w14:paraId="6744BC57">
            <w:pPr>
              <w:keepNext w:val="0"/>
              <w:keepLines w:val="0"/>
              <w:suppressLineNumbers w:val="0"/>
              <w:spacing w:before="0" w:beforeAutospacing="0" w:after="0" w:afterAutospacing="0"/>
              <w:ind w:left="0" w:leftChars="0" w:right="0" w:rightChars="0" w:firstLine="420" w:firstLineChars="200"/>
              <w:jc w:val="left"/>
              <w:textAlignment w:val="top"/>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14:textFill>
                  <w14:solidFill>
                    <w14:schemeClr w14:val="tx1"/>
                  </w14:solidFill>
                </w14:textFill>
              </w:rPr>
              <w:t>2.房屋认购应在累计供货额达到每800万后的60天内完成房屋认购，如乙方未在约定时间内完成房屋认购，乙方需向甲方支付累计供货价款10%的违约金，甲方有权直接从乙方未支付的货款中直接扣除。</w:t>
            </w:r>
          </w:p>
          <w:p w14:paraId="7FD83331">
            <w:pPr>
              <w:keepNext w:val="0"/>
              <w:keepLines w:val="0"/>
              <w:suppressLineNumbers w:val="0"/>
              <w:spacing w:before="0" w:beforeAutospacing="0" w:after="0" w:afterAutospacing="0"/>
              <w:ind w:left="0" w:leftChars="0" w:right="0" w:rightChars="0" w:firstLine="420" w:firstLineChars="200"/>
              <w:jc w:val="left"/>
              <w:textAlignment w:val="top"/>
              <w:rPr>
                <w:rFonts w:hint="eastAsia" w:ascii="宋体" w:hAnsi="宋体" w:eastAsia="宋体" w:cs="宋体"/>
                <w:color w:val="auto"/>
                <w:sz w:val="22"/>
                <w:szCs w:val="22"/>
                <w:highlight w:val="none"/>
                <w:lang w:val="en-US" w:eastAsia="zh-CN"/>
              </w:rPr>
            </w:pPr>
            <w:r>
              <w:rPr>
                <w:rFonts w:hint="eastAsia" w:ascii="宋体" w:hAnsi="宋体" w:cs="宋体"/>
                <w:b/>
                <w:bCs/>
                <w:color w:val="000000" w:themeColor="text1"/>
                <w:sz w:val="21"/>
                <w:szCs w:val="21"/>
                <w:highlight w:val="yellow"/>
                <w14:textFill>
                  <w14:solidFill>
                    <w14:schemeClr w14:val="tx1"/>
                  </w14:solidFill>
                </w14:textFill>
              </w:rPr>
              <w:t>3.对于完成工抵的供应商获得下年度集采重点推荐资格；额外给予上年度合作额度10%的上浮空间；对合作供应商授予“战略合作伙伴"认证资质。</w:t>
            </w:r>
          </w:p>
        </w:tc>
      </w:tr>
    </w:tbl>
    <w:p w14:paraId="4F99B9F3">
      <w:pPr>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146F2141">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 xml:space="preserve">①具备独立法人资格，持有有效的营业执照。  </w:t>
            </w:r>
          </w:p>
          <w:p w14:paraId="1DF8031F">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②制造商/厂家参与询比的，应具备有生产、销售采购人所需材料的能力；经销商/代理商参加询比的，应具备销售采购人所需材料的能力（提供所投产品业绩进行证明）。</w:t>
            </w: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2"/>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r>
              <w:rPr>
                <w:rFonts w:hint="eastAsia"/>
                <w:color w:val="auto"/>
                <w:highlight w:val="none"/>
                <w:lang w:val="en-US" w:eastAsia="zh-CN"/>
              </w:rPr>
              <w:t>至少提供1个自2022年1月1日以来，单项合同额不低于</w:t>
            </w:r>
            <w:r>
              <w:rPr>
                <w:rFonts w:hint="eastAsia"/>
                <w:color w:val="auto"/>
                <w:highlight w:val="none"/>
                <w:u w:val="single"/>
                <w:lang w:val="en-US" w:eastAsia="zh-CN"/>
              </w:rPr>
              <w:t>20</w:t>
            </w:r>
            <w:r>
              <w:rPr>
                <w:rFonts w:hint="eastAsia"/>
                <w:color w:val="auto"/>
                <w:highlight w:val="none"/>
                <w:lang w:val="en-US" w:eastAsia="zh-CN"/>
              </w:rPr>
              <w:t>万元的水泥砖供应合同业绩，</w:t>
            </w:r>
            <w:r>
              <w:rPr>
                <w:rFonts w:hint="default"/>
                <w:color w:val="auto"/>
                <w:highlight w:val="none"/>
                <w:lang w:val="en-US" w:eastAsia="zh-CN"/>
              </w:rPr>
              <w:t>每个业绩至少提供不低于合同金额50%的增值税发票（或提供不低于资格审查要求业绩金额的增值税发票），未提供或提供发票金额不足的，该业绩无效</w:t>
            </w:r>
            <w:r>
              <w:rPr>
                <w:rFonts w:hint="eastAsia"/>
                <w:color w:val="auto"/>
                <w:highlight w:val="none"/>
                <w:lang w:val="en-US" w:eastAsia="zh-CN"/>
              </w:rPr>
              <w:t>。</w:t>
            </w:r>
          </w:p>
        </w:tc>
      </w:tr>
    </w:tbl>
    <w:p w14:paraId="1E862039">
      <w:pPr>
        <w:bidi w:val="0"/>
        <w:rPr>
          <w:rFonts w:hint="eastAsia"/>
          <w:color w:val="auto"/>
          <w:highlight w:val="none"/>
          <w:lang w:val="en-US" w:eastAsia="zh-CN"/>
        </w:rPr>
      </w:pPr>
      <w:r>
        <w:rPr>
          <w:rFonts w:hint="eastAsia"/>
          <w:color w:val="auto"/>
          <w:highlight w:val="none"/>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③若业绩合同中包含多项设备，则合同中应能体现资格要求中所需设备的内容和金额，无法体现的，须提供供货单据、供货发票、业主验收单等能证明相关评审因素的证明材料，否则业绩不予认可。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highlight w:val="none"/>
          <w:lang w:val="en-US" w:eastAsia="zh-CN"/>
        </w:rPr>
        <w:t>④</w:t>
      </w:r>
      <w:r>
        <w:rPr>
          <w:rFonts w:hint="eastAsia"/>
          <w:color w:val="auto"/>
          <w:highlight w:val="none"/>
        </w:rPr>
        <w:t>如近年来，</w:t>
      </w:r>
      <w:r>
        <w:rPr>
          <w:rFonts w:hint="eastAsia"/>
          <w:color w:val="auto"/>
          <w:highlight w:val="none"/>
          <w:lang w:val="en-US" w:eastAsia="zh-CN"/>
        </w:rPr>
        <w:t>响应</w:t>
      </w:r>
      <w:r>
        <w:rPr>
          <w:rFonts w:hint="eastAsia"/>
          <w:color w:val="auto"/>
          <w:highlight w:val="none"/>
        </w:rPr>
        <w:t>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568C1D1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1"/>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1.</w:t>
            </w:r>
            <w:r>
              <w:rPr>
                <w:rFonts w:hint="eastAsia"/>
                <w:color w:val="auto"/>
                <w:highlight w:val="none"/>
                <w:lang w:val="en-US" w:eastAsia="zh-CN"/>
              </w:rPr>
              <w:t>响应</w:t>
            </w:r>
            <w:r>
              <w:rPr>
                <w:rFonts w:hint="eastAsia"/>
                <w:color w:val="auto"/>
                <w:highlight w:val="none"/>
              </w:rPr>
              <w:t>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2.</w:t>
            </w:r>
            <w:r>
              <w:rPr>
                <w:rFonts w:hint="eastAsia"/>
                <w:color w:val="auto"/>
                <w:highlight w:val="none"/>
                <w:lang w:val="en-US" w:eastAsia="zh-CN"/>
              </w:rPr>
              <w:t>响应</w:t>
            </w:r>
            <w:r>
              <w:rPr>
                <w:rFonts w:hint="eastAsia"/>
                <w:color w:val="auto"/>
                <w:highlight w:val="none"/>
              </w:rPr>
              <w:t>人未被人民法院列入失信被执行人（以“信用中国”官网</w:t>
            </w:r>
            <w:r>
              <w:rPr>
                <w:rFonts w:hint="eastAsia"/>
                <w:color w:val="auto"/>
                <w:highlight w:val="none"/>
                <w:lang w:eastAsia="zh-CN"/>
              </w:rPr>
              <w:t>www.creditchina.gov.cn</w:t>
            </w:r>
            <w:r>
              <w:rPr>
                <w:rFonts w:hint="eastAsia"/>
                <w:color w:val="auto"/>
                <w:highlight w:val="none"/>
              </w:rPr>
              <w:t>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3</w:t>
            </w:r>
            <w:r>
              <w:rPr>
                <w:rFonts w:hint="eastAsia"/>
                <w:color w:val="auto"/>
                <w:highlight w:val="none"/>
                <w:lang w:val="en-US" w:eastAsia="zh-CN"/>
              </w:rPr>
              <w:t>响应</w:t>
            </w:r>
            <w:r>
              <w:rPr>
                <w:rFonts w:hint="eastAsia"/>
                <w:color w:val="auto"/>
                <w:highlight w:val="none"/>
              </w:rPr>
              <w:t>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4</w:t>
            </w:r>
            <w:r>
              <w:rPr>
                <w:rFonts w:hint="eastAsia"/>
                <w:color w:val="auto"/>
                <w:highlight w:val="none"/>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5</w:t>
            </w:r>
            <w:r>
              <w:rPr>
                <w:rFonts w:hint="eastAsia"/>
                <w:color w:val="auto"/>
                <w:highlight w:val="none"/>
              </w:rPr>
              <w:t>.没有在国家企业信用信息公示系统（</w:t>
            </w:r>
            <w:r>
              <w:rPr>
                <w:rFonts w:hint="eastAsia"/>
                <w:color w:val="auto"/>
                <w:highlight w:val="none"/>
                <w:lang w:eastAsia="zh-CN"/>
              </w:rPr>
              <w:t>www.gsxt.gov.cn</w:t>
            </w:r>
            <w:r>
              <w:rPr>
                <w:rFonts w:hint="eastAsia"/>
                <w:color w:val="auto"/>
                <w:highlight w:val="none"/>
              </w:rPr>
              <w:t>）中被列入严重违法失信企业名单。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6</w:t>
            </w:r>
            <w:r>
              <w:rPr>
                <w:rFonts w:hint="eastAsia"/>
                <w:color w:val="auto"/>
                <w:highlight w:val="none"/>
              </w:rPr>
              <w:t>.没有法律法规规定的其他情形。</w:t>
            </w:r>
          </w:p>
        </w:tc>
      </w:tr>
    </w:tbl>
    <w:p w14:paraId="144FECD2">
      <w:pPr>
        <w:pStyle w:val="34"/>
        <w:rPr>
          <w:rFonts w:ascii="Times New Roman" w:hAnsi="Times New Roman" w:eastAsia="黑体" w:cs="Times New Roman"/>
          <w:bCs/>
          <w:color w:val="auto"/>
          <w:sz w:val="24"/>
          <w:szCs w:val="32"/>
          <w:highlight w:val="none"/>
        </w:rPr>
      </w:pPr>
    </w:p>
    <w:p w14:paraId="48355162">
      <w:pPr>
        <w:pStyle w:val="34"/>
        <w:rPr>
          <w:rFonts w:ascii="Times New Roman" w:hAnsi="Times New Roman" w:eastAsia="黑体" w:cs="Times New Roman"/>
          <w:bCs/>
          <w:color w:val="auto"/>
          <w:sz w:val="24"/>
          <w:szCs w:val="32"/>
          <w:highlight w:val="none"/>
        </w:rPr>
      </w:pPr>
    </w:p>
    <w:p w14:paraId="6DB6BC15">
      <w:pPr>
        <w:jc w:val="center"/>
        <w:rPr>
          <w:rFonts w:hint="eastAsia" w:ascii="黑体" w:eastAsia="黑体"/>
          <w:sz w:val="24"/>
          <w:szCs w:val="24"/>
          <w:highlight w:val="none"/>
        </w:rPr>
      </w:pPr>
    </w:p>
    <w:p w14:paraId="43ED56AD">
      <w:pPr>
        <w:jc w:val="center"/>
        <w:rPr>
          <w:rFonts w:hint="eastAsia" w:ascii="黑体" w:eastAsia="黑体"/>
          <w:color w:val="auto"/>
          <w:sz w:val="24"/>
          <w:szCs w:val="24"/>
          <w:highlight w:val="none"/>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 总则</w:t>
      </w:r>
    </w:p>
    <w:p w14:paraId="77412F2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1.1 质量要求</w:t>
      </w:r>
    </w:p>
    <w:p w14:paraId="0EE35E84">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本合同包的质量要求：</w:t>
      </w:r>
      <w:r>
        <w:rPr>
          <w:rFonts w:hint="eastAsia" w:ascii="Times New Roman" w:hAnsi="Times New Roman" w:cs="Times New Roman"/>
          <w:color w:val="auto"/>
          <w:szCs w:val="21"/>
          <w:highlight w:val="none"/>
        </w:rPr>
        <w:t>见供应商须知前附表。</w:t>
      </w:r>
    </w:p>
    <w:p w14:paraId="1F3A9F9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 xml:space="preserve"> </w:t>
      </w:r>
      <w:r>
        <w:rPr>
          <w:rFonts w:ascii="Times New Roman" w:hAnsi="Times New Roman" w:cs="Times New Roman"/>
          <w:color w:val="auto"/>
          <w:szCs w:val="21"/>
          <w:highlight w:val="none"/>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 xml:space="preserve"> 其他</w:t>
      </w:r>
      <w:r>
        <w:rPr>
          <w:rFonts w:hint="eastAsia" w:ascii="Times New Roman" w:hAnsi="Times New Roman" w:cs="Times New Roman"/>
          <w:color w:val="auto"/>
          <w:szCs w:val="21"/>
          <w:highlight w:val="none"/>
        </w:rPr>
        <w:t>要求：见供应商须知前附表</w:t>
      </w:r>
      <w:r>
        <w:rPr>
          <w:rFonts w:ascii="Times New Roman" w:hAnsi="Times New Roman" w:cs="Times New Roman"/>
          <w:color w:val="auto"/>
          <w:szCs w:val="21"/>
          <w:highlight w:val="none"/>
        </w:rPr>
        <w:t>。</w:t>
      </w:r>
    </w:p>
    <w:p w14:paraId="457EDFD6">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3</w:t>
      </w:r>
      <w:r>
        <w:rPr>
          <w:rFonts w:ascii="Times New Roman" w:hAnsi="Times New Roman" w:eastAsia="黑体" w:cs="Times New Roman"/>
          <w:bCs/>
          <w:color w:val="auto"/>
          <w:sz w:val="24"/>
          <w:szCs w:val="32"/>
          <w:highlight w:val="none"/>
        </w:rPr>
        <w:t xml:space="preserve"> 费用承担</w:t>
      </w:r>
    </w:p>
    <w:p w14:paraId="5C4C1601">
      <w:pPr>
        <w:spacing w:line="440" w:lineRule="exact"/>
        <w:ind w:firstLine="42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4</w:t>
      </w:r>
      <w:r>
        <w:rPr>
          <w:rFonts w:ascii="Times New Roman" w:hAnsi="Times New Roman" w:eastAsia="黑体" w:cs="Times New Roman"/>
          <w:bCs/>
          <w:color w:val="auto"/>
          <w:sz w:val="24"/>
          <w:szCs w:val="32"/>
          <w:highlight w:val="none"/>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5</w:t>
      </w:r>
      <w:r>
        <w:rPr>
          <w:rFonts w:ascii="Times New Roman" w:hAnsi="Times New Roman" w:eastAsia="黑体" w:cs="Times New Roman"/>
          <w:bCs/>
          <w:color w:val="auto"/>
          <w:sz w:val="24"/>
          <w:szCs w:val="32"/>
          <w:highlight w:val="none"/>
        </w:rPr>
        <w:t xml:space="preserve"> 计量单位</w:t>
      </w:r>
    </w:p>
    <w:p w14:paraId="573641B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 xml:space="preserve"> 踏勘现场</w:t>
      </w:r>
    </w:p>
    <w:p w14:paraId="74AD0A0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w:t>
      </w:r>
      <w:r>
        <w:rPr>
          <w:rFonts w:hint="eastAsia" w:ascii="Times New Roman" w:hAnsi="Times New Roman" w:cs="Times New Roman"/>
          <w:color w:val="auto"/>
          <w:highlight w:val="none"/>
        </w:rPr>
        <w:t>自行</w:t>
      </w:r>
      <w:r>
        <w:rPr>
          <w:rFonts w:ascii="Times New Roman" w:hAnsi="Times New Roman" w:cs="Times New Roman"/>
          <w:color w:val="auto"/>
          <w:highlight w:val="none"/>
        </w:rPr>
        <w:t>踏勘现场</w:t>
      </w:r>
      <w:r>
        <w:rPr>
          <w:rFonts w:hint="eastAsia" w:ascii="Times New Roman" w:hAnsi="Times New Roman" w:cs="Times New Roman"/>
          <w:color w:val="auto"/>
          <w:highlight w:val="none"/>
        </w:rPr>
        <w:t>且</w:t>
      </w:r>
      <w:r>
        <w:rPr>
          <w:rFonts w:ascii="Times New Roman" w:hAnsi="Times New Roman" w:cs="Times New Roman"/>
          <w:color w:val="auto"/>
          <w:highlight w:val="none"/>
        </w:rPr>
        <w:t>费用自理。</w:t>
      </w:r>
    </w:p>
    <w:p w14:paraId="0739545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7</w:t>
      </w:r>
      <w:r>
        <w:rPr>
          <w:rFonts w:ascii="Times New Roman" w:hAnsi="Times New Roman" w:eastAsia="黑体" w:cs="Times New Roman"/>
          <w:bCs/>
          <w:color w:val="auto"/>
          <w:sz w:val="24"/>
          <w:szCs w:val="32"/>
          <w:highlight w:val="none"/>
        </w:rPr>
        <w:t xml:space="preserve"> 分包</w:t>
      </w:r>
    </w:p>
    <w:p w14:paraId="43E1953C">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不允许分包。</w:t>
      </w:r>
    </w:p>
    <w:p w14:paraId="1DBA1C2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8</w:t>
      </w:r>
      <w:r>
        <w:rPr>
          <w:rFonts w:ascii="Times New Roman" w:hAnsi="Times New Roman" w:eastAsia="黑体" w:cs="Times New Roman"/>
          <w:bCs/>
          <w:color w:val="auto"/>
          <w:sz w:val="24"/>
          <w:szCs w:val="32"/>
          <w:highlight w:val="none"/>
        </w:rPr>
        <w:t xml:space="preserve"> 偏</w:t>
      </w:r>
      <w:r>
        <w:rPr>
          <w:rFonts w:hint="eastAsia" w:ascii="Times New Roman" w:hAnsi="Times New Roman" w:eastAsia="黑体" w:cs="Times New Roman"/>
          <w:bCs/>
          <w:color w:val="auto"/>
          <w:sz w:val="24"/>
          <w:szCs w:val="32"/>
          <w:highlight w:val="none"/>
        </w:rPr>
        <w:t>差</w:t>
      </w:r>
    </w:p>
    <w:p w14:paraId="3D3ED44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偏差包括重大偏差和细微偏差。</w:t>
      </w:r>
    </w:p>
    <w:p w14:paraId="673725B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.2 响应文件存在“评审办法”中所列任一否决</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情形的，均属于存在重大偏差</w:t>
      </w:r>
      <w:r>
        <w:rPr>
          <w:rFonts w:hint="eastAsia" w:ascii="Times New Roman" w:hAnsi="Times New Roman" w:cs="Times New Roman"/>
          <w:color w:val="auto"/>
          <w:highlight w:val="none"/>
        </w:rPr>
        <w:t>，响应文件将被否决</w:t>
      </w:r>
      <w:r>
        <w:rPr>
          <w:rFonts w:ascii="Times New Roman" w:hAnsi="Times New Roman" w:cs="Times New Roman"/>
          <w:color w:val="auto"/>
          <w:highlight w:val="none"/>
        </w:rPr>
        <w:t>。</w:t>
      </w:r>
    </w:p>
    <w:p w14:paraId="0A4E3786">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 询比文件</w:t>
      </w:r>
    </w:p>
    <w:p w14:paraId="6B8D058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2.1 询比文件的组成</w:t>
      </w:r>
    </w:p>
    <w:p w14:paraId="459FA22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本询比文件包括：</w:t>
      </w:r>
    </w:p>
    <w:p w14:paraId="72491CE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（2）供应商须知；</w:t>
      </w:r>
    </w:p>
    <w:p w14:paraId="34D240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（3）评审办法；</w:t>
      </w:r>
    </w:p>
    <w:p w14:paraId="5653FBF4">
      <w:pPr>
        <w:spacing w:line="440" w:lineRule="exact"/>
        <w:ind w:firstLine="420"/>
        <w:rPr>
          <w:rFonts w:hint="eastAsia" w:ascii="Times New Roman" w:hAnsi="Times New Roman" w:eastAsia="宋体" w:cs="Times New Roman"/>
          <w:color w:val="auto"/>
          <w:highlight w:val="none"/>
          <w:lang w:eastAsia="zh-CN"/>
        </w:rPr>
      </w:pPr>
      <w:r>
        <w:rPr>
          <w:rFonts w:ascii="Times New Roman" w:hAnsi="Times New Roman" w:cs="Times New Roman"/>
          <w:color w:val="auto"/>
          <w:highlight w:val="none"/>
        </w:rPr>
        <w:t>（4）合同内容</w:t>
      </w:r>
      <w:r>
        <w:rPr>
          <w:rFonts w:hint="eastAsia" w:ascii="Times New Roman" w:hAnsi="Times New Roman" w:eastAsia="宋体" w:cs="Times New Roman"/>
          <w:color w:val="auto"/>
          <w:highlight w:val="none"/>
          <w:lang w:eastAsia="zh-CN"/>
        </w:rPr>
        <w:t>；</w:t>
      </w:r>
    </w:p>
    <w:p w14:paraId="5673F0D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5</w:t>
      </w:r>
      <w:r>
        <w:rPr>
          <w:rFonts w:ascii="Times New Roman" w:hAnsi="Times New Roman" w:cs="Times New Roman"/>
          <w:color w:val="auto"/>
          <w:highlight w:val="none"/>
        </w:rPr>
        <w:t>）采购需求及清单；</w:t>
      </w:r>
    </w:p>
    <w:p w14:paraId="2ACE91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）响应文件格式</w:t>
      </w:r>
      <w:r>
        <w:rPr>
          <w:rFonts w:hint="eastAsia" w:ascii="Times New Roman" w:hAnsi="Times New Roman" w:cs="Times New Roman"/>
          <w:color w:val="auto"/>
          <w:highlight w:val="none"/>
        </w:rPr>
        <w:t>。</w:t>
      </w:r>
    </w:p>
    <w:p w14:paraId="4D3C148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根据本章对询比文件所作的澄清、修改，构成询比文件的组成部分。</w:t>
      </w:r>
    </w:p>
    <w:p w14:paraId="0EEC05B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2.2 询比文件的澄清</w:t>
      </w:r>
      <w:r>
        <w:rPr>
          <w:rFonts w:hint="eastAsia" w:ascii="Times New Roman" w:hAnsi="Times New Roman" w:eastAsia="黑体" w:cs="Times New Roman"/>
          <w:bCs/>
          <w:color w:val="auto"/>
          <w:sz w:val="24"/>
          <w:szCs w:val="32"/>
          <w:highlight w:val="none"/>
        </w:rPr>
        <w:t>与修改</w:t>
      </w:r>
    </w:p>
    <w:p w14:paraId="7D1E9CF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供应商如有疑问，应在递交</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文件的截止时间</w:t>
      </w:r>
      <w:r>
        <w:rPr>
          <w:rFonts w:hint="eastAsia" w:ascii="Times New Roman" w:hAnsi="Times New Roman" w:cs="Times New Roman"/>
          <w:color w:val="auto"/>
          <w:highlight w:val="none"/>
        </w:rPr>
        <w:t>前3日</w:t>
      </w:r>
      <w:r>
        <w:rPr>
          <w:rFonts w:hint="eastAsia" w:ascii="Times New Roman" w:hAnsi="Times New Roman" w:cs="Times New Roman"/>
          <w:color w:val="auto"/>
          <w:highlight w:val="none"/>
          <w:lang w:val="en-US" w:eastAsia="zh-CN"/>
        </w:rPr>
        <w:t>内</w:t>
      </w:r>
      <w:r>
        <w:rPr>
          <w:rFonts w:hint="eastAsia" w:ascii="Times New Roman" w:hAnsi="Times New Roman" w:cs="Times New Roman"/>
          <w:color w:val="auto"/>
          <w:highlight w:val="none"/>
        </w:rPr>
        <w:t>通过</w:t>
      </w:r>
      <w:r>
        <w:rPr>
          <w:rFonts w:hint="eastAsia" w:ascii="Times New Roman" w:hAnsi="Times New Roman" w:cs="Times New Roman"/>
          <w:color w:val="auto"/>
          <w:highlight w:val="none"/>
          <w:lang w:val="en-US" w:eastAsia="zh-CN"/>
        </w:rPr>
        <w:t>公告中的联系方式联系采购人</w:t>
      </w:r>
      <w:r>
        <w:rPr>
          <w:rFonts w:ascii="Times New Roman" w:hAnsi="Times New Roman" w:cs="Times New Roman"/>
          <w:color w:val="auto"/>
          <w:highlight w:val="none"/>
        </w:rPr>
        <w:t>对询比文件予以澄清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w:t>
      </w:r>
    </w:p>
    <w:p w14:paraId="4F4B5C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 响应文件</w:t>
      </w:r>
    </w:p>
    <w:p w14:paraId="06236155">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3.1响应文件的组成</w:t>
      </w:r>
    </w:p>
    <w:p w14:paraId="3B8667E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响应文件应包括下列内容：</w:t>
      </w:r>
    </w:p>
    <w:p w14:paraId="3A53D988">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商务技术文件应包括下列内容：</w:t>
      </w:r>
    </w:p>
    <w:p w14:paraId="71EC1205">
      <w:pPr>
        <w:spacing w:line="440" w:lineRule="exact"/>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响应函；</w:t>
      </w:r>
    </w:p>
    <w:p w14:paraId="6B5CBC33">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）法定代表人身份证明及授权委托书；</w:t>
      </w:r>
    </w:p>
    <w:p w14:paraId="58031DBA">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）供应商基本情况；</w:t>
      </w:r>
    </w:p>
    <w:p w14:paraId="3CB294D4">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）近年类似业绩情况；</w:t>
      </w:r>
    </w:p>
    <w:p w14:paraId="47C953A1">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）信誉情况；</w:t>
      </w:r>
    </w:p>
    <w:p w14:paraId="4B6C2BFB">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企业实力</w:t>
      </w:r>
      <w:r>
        <w:rPr>
          <w:rFonts w:hint="eastAsia" w:ascii="宋体" w:hAnsi="宋体" w:eastAsia="宋体" w:cs="宋体"/>
          <w:color w:val="auto"/>
          <w:highlight w:val="none"/>
        </w:rPr>
        <w:t>；</w:t>
      </w:r>
    </w:p>
    <w:p w14:paraId="60BB8235">
      <w:pPr>
        <w:spacing w:line="44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生产体系认证；</w:t>
      </w:r>
    </w:p>
    <w:p w14:paraId="623BF354">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）供货方案</w:t>
      </w:r>
      <w:r>
        <w:rPr>
          <w:rFonts w:hint="eastAsia" w:ascii="宋体" w:hAnsi="宋体" w:eastAsia="宋体" w:cs="宋体"/>
          <w:color w:val="auto"/>
          <w:highlight w:val="none"/>
          <w:lang w:eastAsia="zh-CN"/>
        </w:rPr>
        <w:t>；</w:t>
      </w:r>
    </w:p>
    <w:p w14:paraId="26AACF9D">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）售后服务方案</w:t>
      </w:r>
      <w:r>
        <w:rPr>
          <w:rFonts w:hint="eastAsia" w:ascii="宋体" w:hAnsi="宋体" w:eastAsia="宋体" w:cs="宋体"/>
          <w:color w:val="auto"/>
          <w:highlight w:val="none"/>
          <w:lang w:eastAsia="zh-CN"/>
        </w:rPr>
        <w:t>；</w:t>
      </w:r>
    </w:p>
    <w:p w14:paraId="2FE62E28">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承诺书</w:t>
      </w:r>
      <w:r>
        <w:rPr>
          <w:rFonts w:hint="eastAsia" w:ascii="宋体" w:hAnsi="宋体" w:eastAsia="宋体" w:cs="宋体"/>
          <w:color w:val="auto"/>
          <w:highlight w:val="none"/>
          <w:lang w:eastAsia="zh-CN"/>
        </w:rPr>
        <w:t>；</w:t>
      </w:r>
    </w:p>
    <w:p w14:paraId="0593F931">
      <w:pPr>
        <w:spacing w:line="440" w:lineRule="exact"/>
        <w:ind w:firstLine="420" w:firstLineChars="200"/>
        <w:rPr>
          <w:rFonts w:hint="eastAsia" w:ascii="宋体" w:hAnsi="宋体" w:eastAsia="宋体" w:cs="宋体"/>
          <w:color w:val="FF0000"/>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其他材料。</w:t>
      </w:r>
    </w:p>
    <w:p w14:paraId="6E291C06">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报价文件包括以下内容：</w:t>
      </w:r>
    </w:p>
    <w:p w14:paraId="1E28237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报价函</w:t>
      </w:r>
      <w:r>
        <w:rPr>
          <w:rFonts w:hint="eastAsia" w:ascii="宋体" w:hAnsi="宋体" w:eastAsia="宋体" w:cs="宋体"/>
          <w:color w:val="auto"/>
          <w:highlight w:val="none"/>
        </w:rPr>
        <w:t>；</w:t>
      </w:r>
    </w:p>
    <w:p w14:paraId="6D123A2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已标价的工程量清单</w:t>
      </w:r>
      <w:r>
        <w:rPr>
          <w:rFonts w:hint="eastAsia" w:ascii="宋体" w:hAnsi="宋体" w:eastAsia="宋体" w:cs="宋体"/>
          <w:color w:val="auto"/>
          <w:highlight w:val="none"/>
        </w:rPr>
        <w:t>；</w:t>
      </w:r>
    </w:p>
    <w:p w14:paraId="625EE505">
      <w:pPr>
        <w:spacing w:line="44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 xml:space="preserve">3.2 报价要求 </w:t>
      </w:r>
    </w:p>
    <w:p w14:paraId="10975D6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3.2.1 报价应包括国家规定的增值税税金。</w:t>
      </w:r>
    </w:p>
    <w:p w14:paraId="371123B0">
      <w:pPr>
        <w:spacing w:line="440" w:lineRule="exact"/>
        <w:ind w:firstLine="420"/>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rPr>
        <w:t xml:space="preserve">3.2.2 </w:t>
      </w:r>
      <w:r>
        <w:rPr>
          <w:rFonts w:ascii="Times New Roman" w:hAnsi="Times New Roman" w:cs="Times New Roman"/>
          <w:color w:val="auto"/>
          <w:highlight w:val="none"/>
        </w:rPr>
        <w:t>供应商应按第六章“响应文件格式”的要求在报价函中进行报价并填写工程量清单相应表格</w:t>
      </w:r>
      <w:r>
        <w:rPr>
          <w:rFonts w:hint="eastAsia" w:ascii="Times New Roman" w:hAnsi="Times New Roman" w:cs="Times New Roman"/>
          <w:color w:val="auto"/>
          <w:highlight w:val="none"/>
          <w:lang w:val="en-US" w:eastAsia="zh-CN"/>
        </w:rPr>
        <w:t>。</w:t>
      </w:r>
    </w:p>
    <w:p w14:paraId="087A9C7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3</w:t>
      </w:r>
      <w:r>
        <w:rPr>
          <w:rFonts w:ascii="Times New Roman" w:hAnsi="Times New Roman" w:cs="Times New Roman"/>
          <w:color w:val="auto"/>
          <w:highlight w:val="none"/>
        </w:rPr>
        <w:t xml:space="preserve"> 采购人设有最高限价的，供应商的报价不得超过最高限价，</w:t>
      </w:r>
      <w:r>
        <w:rPr>
          <w:rFonts w:hint="eastAsia" w:ascii="Times New Roman" w:hAnsi="Times New Roman" w:cs="Times New Roman"/>
          <w:color w:val="auto"/>
          <w:highlight w:val="none"/>
        </w:rPr>
        <w:t>否则其报价将被否决，</w:t>
      </w:r>
      <w:r>
        <w:rPr>
          <w:rFonts w:ascii="Times New Roman" w:hAnsi="Times New Roman" w:cs="Times New Roman"/>
          <w:color w:val="auto"/>
          <w:highlight w:val="none"/>
        </w:rPr>
        <w:t>最高限价</w:t>
      </w:r>
      <w:r>
        <w:rPr>
          <w:rFonts w:hint="eastAsia" w:ascii="Times New Roman" w:hAnsi="Times New Roman" w:cs="Times New Roman"/>
          <w:color w:val="auto"/>
          <w:highlight w:val="none"/>
        </w:rPr>
        <w:t>见第一章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p>
    <w:p w14:paraId="56ABAAD1">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3.2.4</w:t>
      </w:r>
      <w:r>
        <w:rPr>
          <w:rFonts w:ascii="Times New Roman" w:hAnsi="Times New Roman" w:cs="Times New Roman"/>
          <w:color w:val="auto"/>
          <w:highlight w:val="none"/>
        </w:rPr>
        <w:t>本项目的报价方式</w:t>
      </w:r>
      <w:r>
        <w:rPr>
          <w:rFonts w:hint="eastAsia" w:ascii="Times New Roman" w:hAnsi="Times New Roman" w:cs="Times New Roman"/>
          <w:color w:val="auto"/>
          <w:highlight w:val="none"/>
        </w:rPr>
        <w:t>为</w:t>
      </w:r>
      <w:r>
        <w:rPr>
          <w:rFonts w:hint="eastAsia" w:ascii="Times New Roman" w:hAnsi="Times New Roman" w:cs="Times New Roman"/>
          <w:color w:val="auto"/>
          <w:highlight w:val="none"/>
          <w:u w:val="single"/>
        </w:rPr>
        <w:t>见供应商须知前附表</w:t>
      </w:r>
      <w:r>
        <w:rPr>
          <w:rFonts w:ascii="Times New Roman" w:hAnsi="Times New Roman" w:cs="Times New Roman"/>
          <w:color w:val="auto"/>
          <w:highlight w:val="none"/>
        </w:rPr>
        <w:t>。</w:t>
      </w:r>
    </w:p>
    <w:p w14:paraId="6623A5B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5</w:t>
      </w:r>
      <w:r>
        <w:rPr>
          <w:rFonts w:ascii="Times New Roman" w:hAnsi="Times New Roman" w:cs="Times New Roman"/>
          <w:color w:val="auto"/>
          <w:highlight w:val="none"/>
        </w:rPr>
        <w:t xml:space="preserve"> 报价的其他要求</w:t>
      </w:r>
      <w:r>
        <w:rPr>
          <w:rFonts w:hint="eastAsia" w:ascii="Times New Roman" w:hAnsi="Times New Roman" w:cs="Times New Roman"/>
          <w:color w:val="auto"/>
          <w:highlight w:val="none"/>
        </w:rPr>
        <w:t>：</w:t>
      </w:r>
      <w:r>
        <w:rPr>
          <w:rFonts w:hint="eastAsia" w:ascii="Times New Roman" w:hAnsi="Times New Roman" w:cs="Times New Roman"/>
          <w:color w:val="auto"/>
          <w:szCs w:val="21"/>
          <w:highlight w:val="none"/>
          <w:u w:val="single"/>
        </w:rPr>
        <w:t>见供应商须知前附表</w:t>
      </w:r>
      <w:r>
        <w:rPr>
          <w:rFonts w:ascii="Times New Roman" w:hAnsi="Times New Roman" w:cs="Times New Roman"/>
          <w:color w:val="auto"/>
          <w:highlight w:val="none"/>
        </w:rPr>
        <w:t>。</w:t>
      </w:r>
    </w:p>
    <w:p w14:paraId="4CB7B67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3.3响应有效期</w:t>
      </w:r>
    </w:p>
    <w:p w14:paraId="52862C9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3.3.1 响应有效期为</w:t>
      </w:r>
      <w:r>
        <w:rPr>
          <w:rFonts w:ascii="Times New Roman" w:hAnsi="Times New Roman" w:eastAsia="宋体" w:cs="Times New Roman"/>
          <w:color w:val="auto"/>
          <w:szCs w:val="21"/>
          <w:highlight w:val="none"/>
        </w:rPr>
        <w:t>自供应商递交响应文件截止之日起计算</w:t>
      </w:r>
      <w:r>
        <w:rPr>
          <w:rFonts w:hint="eastAsia" w:ascii="Times New Roman" w:hAnsi="Times New Roman" w:eastAsia="宋体" w:cs="Times New Roman"/>
          <w:color w:val="auto"/>
          <w:szCs w:val="21"/>
          <w:highlight w:val="none"/>
        </w:rPr>
        <w:t>9</w:t>
      </w:r>
      <w:r>
        <w:rPr>
          <w:rFonts w:ascii="Times New Roman" w:hAnsi="Times New Roman" w:eastAsia="宋体" w:cs="Times New Roman"/>
          <w:color w:val="auto"/>
          <w:szCs w:val="21"/>
          <w:highlight w:val="none"/>
        </w:rPr>
        <w:t>0</w:t>
      </w:r>
      <w:r>
        <w:rPr>
          <w:rFonts w:ascii="Times New Roman" w:hAnsi="Times New Roman" w:cs="Times New Roman"/>
          <w:color w:val="auto"/>
          <w:highlight w:val="none"/>
        </w:rPr>
        <w:t>日。</w:t>
      </w:r>
    </w:p>
    <w:p w14:paraId="51F4431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3.4响应保证金</w:t>
      </w:r>
    </w:p>
    <w:p w14:paraId="078C90F4">
      <w:pPr>
        <w:spacing w:line="440" w:lineRule="exact"/>
        <w:ind w:firstLine="420"/>
        <w:rPr>
          <w:rFonts w:ascii="Times New Roman" w:hAnsi="Times New Roman"/>
          <w:color w:val="auto"/>
          <w:highlight w:val="none"/>
        </w:rPr>
      </w:pPr>
      <w:r>
        <w:rPr>
          <w:rFonts w:ascii="Times New Roman" w:hAnsi="Times New Roman" w:cs="Times New Roman"/>
          <w:color w:val="auto"/>
          <w:highlight w:val="none"/>
        </w:rPr>
        <w:t>3.4.1 供应商在递交响应文件的同时，应按</w:t>
      </w:r>
      <w:r>
        <w:rPr>
          <w:rFonts w:hint="eastAsia" w:ascii="Times New Roman" w:hAnsi="Times New Roman" w:cs="Times New Roman"/>
          <w:color w:val="auto"/>
          <w:highlight w:val="none"/>
        </w:rPr>
        <w:t>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的要求</w:t>
      </w:r>
      <w:r>
        <w:rPr>
          <w:rFonts w:ascii="Times New Roman" w:hAnsi="Times New Roman" w:cs="Times New Roman"/>
          <w:color w:val="auto"/>
          <w:highlight w:val="none"/>
        </w:rPr>
        <w:t>递交响应保证金，并作为其响应文件的组成部分。</w:t>
      </w:r>
    </w:p>
    <w:p w14:paraId="79CBA47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3.4.2 供应商不按本章第3.4.1项要求提交响应保证金的，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将否决其</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w:t>
      </w:r>
    </w:p>
    <w:p w14:paraId="572C7A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3.4.3 采购人在与成交人签订合同后</w:t>
      </w:r>
      <w:r>
        <w:rPr>
          <w:rFonts w:hint="eastAsia" w:ascii="Times New Roman" w:hAnsi="Times New Roman" w:cs="Times New Roman"/>
          <w:color w:val="auto"/>
          <w:highlight w:val="none"/>
          <w:lang w:val="en-US" w:eastAsia="zh-CN"/>
        </w:rPr>
        <w:t>10</w:t>
      </w:r>
      <w:r>
        <w:rPr>
          <w:rFonts w:ascii="Times New Roman" w:hAnsi="Times New Roman" w:cs="Times New Roman"/>
          <w:color w:val="auto"/>
          <w:highlight w:val="none"/>
        </w:rPr>
        <w:t>日内</w:t>
      </w:r>
      <w:r>
        <w:rPr>
          <w:rFonts w:hint="eastAsia" w:ascii="Times New Roman" w:hAnsi="Times New Roman" w:cs="Times New Roman"/>
          <w:color w:val="auto"/>
          <w:highlight w:val="none"/>
          <w:lang w:val="en-US" w:eastAsia="zh-CN"/>
        </w:rPr>
        <w:t>向未成交人办理</w:t>
      </w:r>
      <w:r>
        <w:rPr>
          <w:rFonts w:ascii="Times New Roman" w:hAnsi="Times New Roman" w:cs="Times New Roman"/>
          <w:color w:val="auto"/>
          <w:highlight w:val="none"/>
        </w:rPr>
        <w:t>退还响应保证金手续。</w:t>
      </w:r>
    </w:p>
    <w:p w14:paraId="5FCC461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3.4.4 有下列情形之一的，响应保证金将不予退还：</w:t>
      </w:r>
    </w:p>
    <w:p w14:paraId="695F4B0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（1）供应商在规定的响应有效期内撤销其响应文件；</w:t>
      </w:r>
    </w:p>
    <w:p w14:paraId="0C6EA52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szCs w:val="21"/>
          <w:highlight w:val="none"/>
        </w:rPr>
        <w:t>供应商须知前附表规定的</w:t>
      </w:r>
      <w:r>
        <w:rPr>
          <w:rFonts w:ascii="Times New Roman" w:hAnsi="Times New Roman" w:cs="Times New Roman"/>
          <w:color w:val="auto"/>
          <w:szCs w:val="21"/>
          <w:highlight w:val="none"/>
        </w:rPr>
        <w:t>其他情形</w:t>
      </w:r>
      <w:r>
        <w:rPr>
          <w:rFonts w:ascii="Times New Roman" w:hAnsi="Times New Roman" w:cs="Times New Roman"/>
          <w:color w:val="auto"/>
          <w:highlight w:val="none"/>
        </w:rPr>
        <w:t>。</w:t>
      </w:r>
    </w:p>
    <w:p w14:paraId="3DF896D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3.5资格审查资料</w:t>
      </w:r>
    </w:p>
    <w:p w14:paraId="1857BB4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供应商应按“响应文件格式”</w:t>
      </w:r>
      <w:r>
        <w:rPr>
          <w:rFonts w:hint="eastAsia" w:ascii="Times New Roman" w:hAnsi="Times New Roman" w:cs="Times New Roman"/>
          <w:color w:val="auto"/>
          <w:highlight w:val="none"/>
        </w:rPr>
        <w:t>的</w:t>
      </w:r>
      <w:r>
        <w:rPr>
          <w:rFonts w:ascii="Times New Roman" w:hAnsi="Times New Roman" w:cs="Times New Roman"/>
          <w:color w:val="auto"/>
          <w:highlight w:val="none"/>
        </w:rPr>
        <w:t>规定提供资格审查资料，以证明其满足本章第1.</w:t>
      </w:r>
      <w:r>
        <w:rPr>
          <w:rFonts w:hint="eastAsia" w:ascii="Times New Roman" w:hAnsi="Times New Roman" w:cs="Times New Roman"/>
          <w:color w:val="auto"/>
          <w:highlight w:val="none"/>
        </w:rPr>
        <w:t>2</w:t>
      </w:r>
      <w:r>
        <w:rPr>
          <w:rFonts w:ascii="Times New Roman" w:hAnsi="Times New Roman" w:cs="Times New Roman"/>
          <w:color w:val="auto"/>
          <w:highlight w:val="none"/>
        </w:rPr>
        <w:t>款规定的资质、</w:t>
      </w:r>
      <w:r>
        <w:rPr>
          <w:rFonts w:hint="eastAsia" w:ascii="Times New Roman" w:hAnsi="Times New Roman" w:cs="Times New Roman"/>
          <w:color w:val="auto"/>
          <w:highlight w:val="none"/>
        </w:rPr>
        <w:t>能力、</w:t>
      </w:r>
      <w:r>
        <w:rPr>
          <w:rFonts w:ascii="Times New Roman" w:hAnsi="Times New Roman" w:cs="Times New Roman"/>
          <w:color w:val="auto"/>
          <w:highlight w:val="none"/>
        </w:rPr>
        <w:t>信誉等要求。</w:t>
      </w:r>
    </w:p>
    <w:p w14:paraId="65ECD3E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响应文件的编制</w:t>
      </w:r>
    </w:p>
    <w:p w14:paraId="3027999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.2 响应文件应当对询比文件有关工期、响应有效期、质量要求、技术标准和要求、</w:t>
      </w:r>
      <w:r>
        <w:rPr>
          <w:rFonts w:hint="eastAsia" w:ascii="Times New Roman" w:hAnsi="Times New Roman" w:cs="Times New Roman"/>
          <w:color w:val="auto"/>
          <w:highlight w:val="none"/>
        </w:rPr>
        <w:t>采购范围</w:t>
      </w:r>
      <w:r>
        <w:rPr>
          <w:rFonts w:ascii="Times New Roman" w:hAnsi="Times New Roman" w:cs="Times New Roman"/>
          <w:color w:val="auto"/>
          <w:highlight w:val="none"/>
        </w:rPr>
        <w:t>等实质性内容作出响应。</w:t>
      </w:r>
    </w:p>
    <w:p w14:paraId="1318E4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.3响应文件的制作应满足以下规定：</w:t>
      </w:r>
    </w:p>
    <w:p w14:paraId="50443ED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文件应用不褪色的材料书写或打印，并按第六章“</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格式”的要求进行</w:t>
      </w:r>
      <w:r>
        <w:rPr>
          <w:rFonts w:hint="eastAsia" w:ascii="Times New Roman" w:hAnsi="Times New Roman" w:cs="Times New Roman"/>
          <w:color w:val="auto"/>
          <w:highlight w:val="none"/>
        </w:rPr>
        <w:t>签名</w:t>
      </w:r>
      <w:r>
        <w:rPr>
          <w:rFonts w:ascii="Times New Roman" w:hAnsi="Times New Roman" w:cs="Times New Roman"/>
          <w:color w:val="auto"/>
          <w:highlight w:val="none"/>
        </w:rPr>
        <w:t>和（或）盖章。</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文件应尽量避免涂改、行间插字或删除。如果出现上述情况，改动之处应由</w:t>
      </w:r>
      <w:r>
        <w:rPr>
          <w:rFonts w:hint="eastAsia" w:ascii="Times New Roman" w:hAnsi="Times New Roman" w:cs="Times New Roman"/>
          <w:color w:val="auto"/>
          <w:highlight w:val="none"/>
        </w:rPr>
        <w:t>供应商</w:t>
      </w:r>
      <w:r>
        <w:rPr>
          <w:rFonts w:ascii="Times New Roman" w:hAnsi="Times New Roman" w:cs="Times New Roman"/>
          <w:color w:val="auto"/>
          <w:highlight w:val="none"/>
        </w:rPr>
        <w:t>的法定代表人或其授权的代理人</w:t>
      </w:r>
      <w:r>
        <w:rPr>
          <w:rFonts w:hint="eastAsia" w:ascii="Times New Roman" w:hAnsi="Times New Roman" w:cs="Times New Roman"/>
          <w:color w:val="auto"/>
          <w:highlight w:val="none"/>
        </w:rPr>
        <w:t>签名</w:t>
      </w:r>
      <w:r>
        <w:rPr>
          <w:rFonts w:ascii="Times New Roman" w:hAnsi="Times New Roman" w:cs="Times New Roman"/>
          <w:color w:val="auto"/>
          <w:highlight w:val="none"/>
        </w:rPr>
        <w:t>或盖单位章。</w:t>
      </w:r>
    </w:p>
    <w:p w14:paraId="54B361CC">
      <w:pPr>
        <w:spacing w:line="440" w:lineRule="exact"/>
        <w:ind w:firstLine="420"/>
        <w:rPr>
          <w:rFonts w:hint="default" w:ascii="Times New Roman" w:hAnsi="Times New Roman" w:cs="Times New Roman" w:eastAsiaTheme="minorEastAsia"/>
          <w:color w:val="auto"/>
          <w:highlight w:val="none"/>
          <w:lang w:val="en-US" w:eastAsia="zh-CN"/>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 响应文件的递交</w:t>
      </w:r>
    </w:p>
    <w:p w14:paraId="3FE11A9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4.1响应文件的密封和标记</w:t>
      </w:r>
    </w:p>
    <w:p w14:paraId="3FE0F030">
      <w:pPr>
        <w:spacing w:line="440" w:lineRule="exact"/>
        <w:ind w:firstLine="420"/>
        <w:rPr>
          <w:rFonts w:hint="eastAsia" w:ascii="Times New Roman" w:hAnsi="Times New Roman" w:cs="Times New Roman"/>
          <w:color w:val="auto"/>
          <w:highlight w:val="none"/>
          <w:lang w:val="en-US" w:eastAsia="zh-CN"/>
        </w:rPr>
      </w:pPr>
      <w:r>
        <w:rPr>
          <w:rFonts w:ascii="Times New Roman" w:hAnsi="Times New Roman" w:cs="Times New Roman"/>
          <w:color w:val="auto"/>
          <w:highlight w:val="none"/>
        </w:rPr>
        <w:t>4.1.1响应文件</w:t>
      </w:r>
      <w:r>
        <w:rPr>
          <w:rFonts w:hint="eastAsia" w:ascii="Times New Roman" w:hAnsi="Times New Roman" w:cs="Times New Roman"/>
          <w:color w:val="auto"/>
          <w:highlight w:val="none"/>
        </w:rPr>
        <w:t>正、副本</w:t>
      </w:r>
      <w:r>
        <w:rPr>
          <w:rFonts w:ascii="Times New Roman" w:hAnsi="Times New Roman" w:cs="Times New Roman"/>
          <w:color w:val="auto"/>
          <w:highlight w:val="none"/>
        </w:rPr>
        <w:t>应密封包装</w:t>
      </w:r>
      <w:r>
        <w:rPr>
          <w:rFonts w:hint="eastAsia" w:ascii="Times New Roman" w:hAnsi="Times New Roman" w:cs="Times New Roman"/>
          <w:color w:val="auto"/>
          <w:highlight w:val="none"/>
        </w:rPr>
        <w:t>在一个封套内，</w:t>
      </w:r>
      <w:r>
        <w:rPr>
          <w:rFonts w:hint="eastAsia" w:ascii="Times New Roman" w:hAnsi="Times New Roman" w:cs="Times New Roman"/>
          <w:color w:val="auto"/>
          <w:highlight w:val="none"/>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响应文件第一信封（商务技术文件）</w:t>
      </w:r>
      <w:r>
        <w:rPr>
          <w:rFonts w:hint="eastAsia" w:ascii="Times New Roman" w:hAnsi="Times New Roman" w:cs="Times New Roman"/>
          <w:color w:val="auto"/>
          <w:highlight w:val="none"/>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年</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月</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日</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时</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在第一信封开启前不得开启</w:t>
      </w:r>
    </w:p>
    <w:p w14:paraId="27F170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4.1.2</w:t>
      </w:r>
      <w:r>
        <w:rPr>
          <w:rFonts w:ascii="Times New Roman" w:hAnsi="Times New Roman"/>
          <w:color w:val="auto"/>
          <w:highlight w:val="none"/>
        </w:rPr>
        <w:t>未按本章第4.1.1项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将予以拒收。</w:t>
      </w:r>
    </w:p>
    <w:p w14:paraId="51EE217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4.2 响应文件的递交</w:t>
      </w:r>
    </w:p>
    <w:p w14:paraId="49B236A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4.2.1供应商应当</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的规定递交响应文件</w:t>
      </w:r>
      <w:r>
        <w:rPr>
          <w:rFonts w:ascii="Times New Roman" w:hAnsi="Times New Roman" w:cs="Times New Roman"/>
          <w:color w:val="auto"/>
          <w:highlight w:val="none"/>
        </w:rPr>
        <w:t>。</w:t>
      </w:r>
    </w:p>
    <w:p w14:paraId="67FCB9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4.2.3 除第4.2.2项规定外，</w:t>
      </w:r>
      <w:r>
        <w:rPr>
          <w:rFonts w:ascii="Times New Roman" w:hAnsi="Times New Roman" w:cs="Times New Roman"/>
          <w:color w:val="auto"/>
          <w:highlight w:val="none"/>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 启封</w:t>
      </w:r>
    </w:p>
    <w:p w14:paraId="1102280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5.1 启封时间和地点</w:t>
      </w:r>
    </w:p>
    <w:p w14:paraId="344E1A2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采购人在本章第4.2.1项规定的响应文件递交截止时间（启封时间），</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的规定进行启封</w:t>
      </w:r>
      <w:r>
        <w:rPr>
          <w:rFonts w:ascii="Times New Roman" w:hAnsi="Times New Roman" w:cs="Times New Roman"/>
          <w:color w:val="auto"/>
          <w:highlight w:val="none"/>
        </w:rPr>
        <w:t>。</w:t>
      </w:r>
    </w:p>
    <w:p w14:paraId="3921A52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rPr>
        <w:t>启封</w:t>
      </w:r>
      <w:r>
        <w:rPr>
          <w:rFonts w:ascii="Times New Roman" w:hAnsi="Times New Roman" w:eastAsia="黑体" w:cs="Times New Roman"/>
          <w:bCs/>
          <w:color w:val="auto"/>
          <w:sz w:val="24"/>
          <w:szCs w:val="32"/>
          <w:highlight w:val="none"/>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（1）公布在响应文件递交截止时间</w:t>
      </w:r>
      <w:r>
        <w:rPr>
          <w:rFonts w:hint="eastAsia" w:ascii="Times New Roman" w:hAnsi="Times New Roman" w:cs="Times New Roman"/>
          <w:color w:val="auto"/>
          <w:highlight w:val="none"/>
        </w:rPr>
        <w:t>前</w:t>
      </w:r>
      <w:r>
        <w:rPr>
          <w:rFonts w:ascii="Times New Roman" w:hAnsi="Times New Roman" w:cs="Times New Roman"/>
          <w:color w:val="auto"/>
          <w:highlight w:val="none"/>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color w:val="auto"/>
          <w:highlight w:val="none"/>
        </w:rPr>
        <w:t>（3）</w:t>
      </w:r>
      <w:r>
        <w:rPr>
          <w:rFonts w:hint="eastAsia" w:ascii="Times New Roman" w:hAnsi="Times New Roman" w:cs="Times New Roman"/>
          <w:bCs/>
          <w:color w:val="auto"/>
          <w:highlight w:val="none"/>
          <w:lang w:val="en-US" w:eastAsia="zh-CN"/>
        </w:rPr>
        <w:t>开启商务技术文件</w:t>
      </w:r>
      <w:r>
        <w:rPr>
          <w:rFonts w:ascii="Times New Roman" w:hAnsi="Times New Roman" w:cs="Times New Roman"/>
          <w:bCs/>
          <w:color w:val="auto"/>
          <w:highlight w:val="none"/>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highlight w:val="none"/>
          <w:lang w:val="en-US" w:eastAsia="zh-CN"/>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4</w:t>
      </w:r>
      <w:r>
        <w:rPr>
          <w:rFonts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5</w:t>
      </w:r>
      <w:r>
        <w:rPr>
          <w:rFonts w:ascii="Times New Roman" w:hAnsi="Times New Roman" w:cs="Times New Roman"/>
          <w:bCs/>
          <w:color w:val="auto"/>
          <w:highlight w:val="none"/>
        </w:rPr>
        <w:t>）</w:t>
      </w:r>
      <w:r>
        <w:rPr>
          <w:rFonts w:hint="eastAsia" w:ascii="Times New Roman" w:hAnsi="Times New Roman" w:cs="Times New Roman"/>
          <w:bCs/>
          <w:color w:val="auto"/>
          <w:highlight w:val="none"/>
        </w:rPr>
        <w:t>启封</w:t>
      </w:r>
      <w:r>
        <w:rPr>
          <w:rFonts w:ascii="Times New Roman" w:hAnsi="Times New Roman" w:cs="Times New Roman"/>
          <w:color w:val="auto"/>
          <w:highlight w:val="none"/>
        </w:rPr>
        <w:t>结束</w:t>
      </w:r>
      <w:r>
        <w:rPr>
          <w:rFonts w:ascii="Times New Roman" w:hAnsi="Times New Roman" w:cs="Times New Roman"/>
          <w:bCs/>
          <w:color w:val="auto"/>
          <w:highlight w:val="none"/>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bCs/>
          <w:color w:val="auto"/>
          <w:highlight w:val="none"/>
        </w:rPr>
        <w:t>5.2.2</w:t>
      </w:r>
      <w:r>
        <w:rPr>
          <w:rFonts w:ascii="Times New Roman" w:hAnsi="Times New Roman" w:cs="Times New Roman"/>
          <w:color w:val="auto"/>
          <w:highlight w:val="none"/>
        </w:rPr>
        <w:t>供应商</w:t>
      </w:r>
      <w:r>
        <w:rPr>
          <w:rFonts w:hint="eastAsia" w:ascii="Times New Roman" w:hAnsi="Times New Roman" w:cs="Times New Roman"/>
          <w:color w:val="auto"/>
          <w:highlight w:val="none"/>
        </w:rPr>
        <w:t>在</w:t>
      </w:r>
      <w:r>
        <w:rPr>
          <w:rFonts w:ascii="Times New Roman" w:hAnsi="Times New Roman" w:cs="Times New Roman"/>
          <w:color w:val="auto"/>
          <w:highlight w:val="none"/>
        </w:rPr>
        <w:t>启封过程</w:t>
      </w:r>
      <w:r>
        <w:rPr>
          <w:rFonts w:hint="eastAsia" w:ascii="Times New Roman" w:hAnsi="Times New Roman" w:cs="Times New Roman"/>
          <w:color w:val="auto"/>
          <w:highlight w:val="none"/>
        </w:rPr>
        <w:t>中</w:t>
      </w:r>
      <w:r>
        <w:rPr>
          <w:rFonts w:ascii="Times New Roman" w:hAnsi="Times New Roman" w:cs="Times New Roman"/>
          <w:color w:val="auto"/>
          <w:highlight w:val="none"/>
        </w:rPr>
        <w:t>有</w:t>
      </w:r>
      <w:r>
        <w:rPr>
          <w:rFonts w:hint="eastAsia" w:ascii="Times New Roman" w:hAnsi="Times New Roman" w:cs="Times New Roman"/>
          <w:color w:val="auto"/>
          <w:highlight w:val="none"/>
        </w:rPr>
        <w:t>疑问</w:t>
      </w:r>
      <w:r>
        <w:rPr>
          <w:rFonts w:ascii="Times New Roman" w:hAnsi="Times New Roman" w:cs="Times New Roman"/>
          <w:color w:val="auto"/>
          <w:highlight w:val="none"/>
        </w:rPr>
        <w:t>的，应当在</w:t>
      </w:r>
      <w:r>
        <w:rPr>
          <w:rFonts w:hint="eastAsia" w:ascii="Times New Roman" w:hAnsi="Times New Roman" w:cs="Times New Roman"/>
          <w:color w:val="auto"/>
          <w:highlight w:val="none"/>
        </w:rPr>
        <w:t>现场</w:t>
      </w:r>
      <w:r>
        <w:rPr>
          <w:rFonts w:ascii="Times New Roman" w:hAnsi="Times New Roman" w:cs="Times New Roman"/>
          <w:color w:val="auto"/>
          <w:highlight w:val="none"/>
        </w:rPr>
        <w:t>提出</w:t>
      </w:r>
      <w:r>
        <w:rPr>
          <w:rFonts w:hint="eastAsia" w:ascii="Times New Roman" w:hAnsi="Times New Roman" w:cs="Times New Roman"/>
          <w:color w:val="auto"/>
          <w:highlight w:val="none"/>
        </w:rPr>
        <w:t>，</w:t>
      </w:r>
      <w:r>
        <w:rPr>
          <w:rFonts w:ascii="Times New Roman" w:hAnsi="Times New Roman" w:cs="Times New Roman"/>
          <w:color w:val="auto"/>
          <w:highlight w:val="none"/>
        </w:rPr>
        <w:t>采购人</w:t>
      </w:r>
      <w:r>
        <w:rPr>
          <w:rFonts w:hint="eastAsia" w:ascii="Times New Roman" w:hAnsi="Times New Roman" w:cs="Times New Roman"/>
          <w:color w:val="auto"/>
          <w:highlight w:val="none"/>
        </w:rPr>
        <w:t>将</w:t>
      </w:r>
      <w:r>
        <w:rPr>
          <w:rFonts w:ascii="Times New Roman" w:hAnsi="Times New Roman" w:cs="Times New Roman"/>
          <w:color w:val="auto"/>
          <w:highlight w:val="none"/>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 评审</w:t>
      </w:r>
    </w:p>
    <w:p w14:paraId="102C147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6.1</w:t>
      </w:r>
      <w:r>
        <w:rPr>
          <w:rFonts w:hint="eastAsia" w:ascii="Times New Roman" w:hAnsi="Times New Roman" w:eastAsia="黑体" w:cs="Times New Roman"/>
          <w:bCs/>
          <w:color w:val="auto"/>
          <w:sz w:val="24"/>
          <w:szCs w:val="32"/>
          <w:highlight w:val="none"/>
        </w:rPr>
        <w:t>评审小组</w:t>
      </w:r>
    </w:p>
    <w:p w14:paraId="2AA5DC8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评审由采购人</w:t>
      </w:r>
      <w:r>
        <w:rPr>
          <w:rFonts w:hint="eastAsia" w:ascii="Times New Roman" w:hAnsi="Times New Roman" w:cs="Times New Roman"/>
          <w:color w:val="auto"/>
          <w:highlight w:val="none"/>
        </w:rPr>
        <w:t>自行</w:t>
      </w:r>
      <w:r>
        <w:rPr>
          <w:rFonts w:ascii="Times New Roman" w:hAnsi="Times New Roman" w:cs="Times New Roman"/>
          <w:color w:val="auto"/>
          <w:highlight w:val="none"/>
        </w:rPr>
        <w:t>组建的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highlight w:val="none"/>
        </w:rPr>
        <w:t>。</w:t>
      </w:r>
    </w:p>
    <w:p w14:paraId="15AF268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.1</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.2评审完成后，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2CDE5AF">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 合同授予</w:t>
      </w:r>
    </w:p>
    <w:p w14:paraId="2CE05E9F">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采用公开询比方式采购的项目，公示期不得少于</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日。</w:t>
      </w:r>
    </w:p>
    <w:p w14:paraId="40AD678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none"/>
          <w:lang w:val="en-US" w:eastAsia="zh-CN"/>
        </w:rPr>
      </w:pPr>
      <w:r>
        <w:rPr>
          <w:rFonts w:ascii="Times New Roman" w:hAnsi="Times New Roman" w:cs="Times New Roman"/>
          <w:color w:val="auto"/>
          <w:highlight w:val="none"/>
        </w:rPr>
        <w:t>7.4.1</w:t>
      </w:r>
      <w:r>
        <w:rPr>
          <w:rFonts w:hint="eastAsia" w:ascii="Times New Roman" w:hAnsi="Times New Roman" w:cs="Times New Roman"/>
          <w:color w:val="auto"/>
          <w:highlight w:val="none"/>
          <w:lang w:val="en-US" w:eastAsia="zh-CN"/>
        </w:rPr>
        <w:t>成交公示</w:t>
      </w:r>
      <w:r>
        <w:rPr>
          <w:rFonts w:hint="eastAsia" w:ascii="Times New Roman" w:hAnsi="Times New Roman" w:cs="Times New Roman"/>
          <w:color w:val="auto"/>
          <w:highlight w:val="none"/>
        </w:rPr>
        <w:t>后，</w:t>
      </w:r>
      <w:r>
        <w:rPr>
          <w:rFonts w:hint="eastAsia" w:ascii="Times New Roman" w:hAnsi="Times New Roman" w:cs="Times New Roman"/>
          <w:color w:val="auto"/>
          <w:highlight w:val="none"/>
          <w:lang w:eastAsia="zh-CN"/>
        </w:rPr>
        <w:t>在</w:t>
      </w:r>
      <w:r>
        <w:rPr>
          <w:rFonts w:hint="eastAsia" w:ascii="Times New Roman" w:hAnsi="Times New Roman" w:cs="Times New Roman"/>
          <w:color w:val="auto"/>
          <w:highlight w:val="none"/>
          <w:lang w:val="en-US" w:eastAsia="zh-CN"/>
        </w:rPr>
        <w:t>合同签订前，乙方需向甲方支付合同总价2%的</w:t>
      </w:r>
      <w:r>
        <w:rPr>
          <w:rFonts w:hint="eastAsia" w:ascii="Times New Roman" w:hAnsi="Times New Roman" w:cs="Times New Roman"/>
          <w:color w:val="auto"/>
          <w:highlight w:val="none"/>
        </w:rPr>
        <w:t>履约保证金</w:t>
      </w:r>
      <w:r>
        <w:rPr>
          <w:rFonts w:hint="eastAsia" w:ascii="Times New Roman" w:hAnsi="Times New Roman" w:cs="Times New Roman"/>
          <w:color w:val="auto"/>
          <w:highlight w:val="none"/>
          <w:lang w:val="en-US" w:eastAsia="zh-CN"/>
        </w:rPr>
        <w:t>或提供合同总价5%的银行保函</w:t>
      </w:r>
      <w:r>
        <w:rPr>
          <w:rFonts w:hint="eastAsia" w:ascii="Times New Roman" w:hAnsi="Times New Roman" w:cs="Times New Roman"/>
          <w:color w:val="auto"/>
          <w:highlight w:val="none"/>
        </w:rPr>
        <w:t>。</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7.4.2 成交人不能按本章第7.</w:t>
      </w:r>
      <w:r>
        <w:rPr>
          <w:rFonts w:hint="eastAsia" w:ascii="Times New Roman" w:hAnsi="Times New Roman" w:cs="Times New Roman"/>
          <w:color w:val="auto"/>
          <w:highlight w:val="none"/>
        </w:rPr>
        <w:t>4</w:t>
      </w:r>
      <w:r>
        <w:rPr>
          <w:rFonts w:ascii="Times New Roman" w:hAnsi="Times New Roman" w:cs="Times New Roman"/>
          <w:color w:val="auto"/>
          <w:highlight w:val="none"/>
        </w:rPr>
        <w:t>.1项要求提交履约保证金的，视为放弃成交候选人，其响应保证金不予退还，给采购人造成的损失超过响应保证金数额的，成交人还应当对超过部分予以赔偿。</w:t>
      </w:r>
    </w:p>
    <w:p w14:paraId="659EEF69">
      <w:pPr>
        <w:pStyle w:val="2"/>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2"/>
    <w:bookmarkEnd w:id="43"/>
    <w:bookmarkEnd w:id="44"/>
    <w:p w14:paraId="66FE727A">
      <w:pPr>
        <w:keepNext/>
        <w:keepLines/>
        <w:spacing w:before="120" w:after="120"/>
        <w:outlineLvl w:val="2"/>
        <w:rPr>
          <w:rFonts w:hint="default" w:ascii="Times New Roman" w:hAnsi="Times New Roman" w:eastAsia="Times New Roman"/>
          <w:color w:val="auto"/>
          <w:sz w:val="24"/>
          <w:szCs w:val="32"/>
          <w:highlight w:val="none"/>
        </w:rPr>
      </w:pPr>
      <w:bookmarkStart w:id="45" w:name="_Toc14201253"/>
      <w:bookmarkStart w:id="46" w:name="_Toc26656984"/>
      <w:r>
        <w:rPr>
          <w:rFonts w:hint="default" w:ascii="Times New Roman" w:hAnsi="Times New Roman" w:eastAsia="Times New Roman"/>
          <w:color w:val="auto"/>
          <w:sz w:val="24"/>
          <w:szCs w:val="32"/>
          <w:highlight w:val="none"/>
        </w:rPr>
        <w:t>7.5</w:t>
      </w:r>
      <w:r>
        <w:rPr>
          <w:rFonts w:hint="eastAsia" w:ascii="Times New Roman" w:hAnsi="Times New Roman" w:eastAsia="黑体"/>
          <w:color w:val="auto"/>
          <w:sz w:val="24"/>
          <w:szCs w:val="32"/>
          <w:highlight w:val="none"/>
        </w:rPr>
        <w:t>签订合同</w:t>
      </w:r>
      <w:bookmarkEnd w:id="45"/>
      <w:bookmarkEnd w:id="46"/>
    </w:p>
    <w:p w14:paraId="4F35551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47" w:name="_Toc9067727"/>
      <w:bookmarkStart w:id="48" w:name="_Toc26656988"/>
      <w:bookmarkStart w:id="49" w:name="_Toc14201257"/>
      <w:r>
        <w:rPr>
          <w:rFonts w:hint="default" w:ascii="Times New Roman" w:hAnsi="Times New Roman" w:eastAsia="Times New Roman"/>
          <w:color w:val="auto"/>
          <w:sz w:val="24"/>
          <w:szCs w:val="32"/>
          <w:highlight w:val="none"/>
        </w:rPr>
        <w:t xml:space="preserve">8. </w:t>
      </w:r>
      <w:r>
        <w:rPr>
          <w:rFonts w:hint="eastAsia" w:ascii="Times New Roman" w:hAnsi="Times New Roman" w:eastAsia="黑体"/>
          <w:color w:val="auto"/>
          <w:sz w:val="24"/>
          <w:szCs w:val="32"/>
          <w:highlight w:val="none"/>
        </w:rPr>
        <w:t>纪律和监督</w:t>
      </w:r>
      <w:bookmarkEnd w:id="47"/>
      <w:bookmarkEnd w:id="48"/>
      <w:bookmarkEnd w:id="49"/>
    </w:p>
    <w:p w14:paraId="30C4FC61">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0" w:name="_Toc14201262"/>
      <w:bookmarkStart w:id="51" w:name="_Toc26656993"/>
      <w:r>
        <w:rPr>
          <w:rFonts w:hint="eastAsia" w:ascii="Times New Roman" w:hAnsi="Times New Roman" w:eastAsia="黑体"/>
          <w:color w:val="auto"/>
          <w:sz w:val="24"/>
          <w:szCs w:val="32"/>
          <w:highlight w:val="none"/>
        </w:rPr>
        <w:t>9</w:t>
      </w:r>
      <w:r>
        <w:rPr>
          <w:rFonts w:hint="default" w:ascii="Times New Roman" w:hAnsi="Times New Roman" w:eastAsia="Times New Roman"/>
          <w:color w:val="auto"/>
          <w:sz w:val="24"/>
          <w:szCs w:val="32"/>
          <w:highlight w:val="none"/>
        </w:rPr>
        <w:t xml:space="preserve"> </w:t>
      </w:r>
      <w:r>
        <w:rPr>
          <w:rFonts w:hint="eastAsia" w:ascii="Times New Roman" w:hAnsi="Times New Roman" w:eastAsia="宋体"/>
          <w:color w:val="auto"/>
          <w:sz w:val="24"/>
          <w:szCs w:val="32"/>
          <w:highlight w:val="none"/>
          <w:lang w:val="en-US" w:eastAsia="zh-CN"/>
        </w:rPr>
        <w:t>.</w:t>
      </w:r>
      <w:r>
        <w:rPr>
          <w:rFonts w:hint="eastAsia" w:ascii="Times New Roman" w:hAnsi="Times New Roman" w:eastAsia="黑体"/>
          <w:color w:val="auto"/>
          <w:sz w:val="24"/>
          <w:szCs w:val="32"/>
          <w:highlight w:val="none"/>
        </w:rPr>
        <w:t>投诉</w:t>
      </w:r>
      <w:bookmarkEnd w:id="50"/>
      <w:bookmarkEnd w:id="51"/>
    </w:p>
    <w:p w14:paraId="0D14997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.1 </w:t>
      </w:r>
      <w:r>
        <w:rPr>
          <w:rFonts w:hint="eastAsia" w:ascii="Times New Roman" w:hAnsi="Times New Roman"/>
          <w:color w:val="auto"/>
          <w:sz w:val="21"/>
          <w:szCs w:val="24"/>
          <w:highlight w:val="none"/>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.2 </w:t>
      </w:r>
      <w:r>
        <w:rPr>
          <w:rFonts w:hint="eastAsia" w:ascii="Times New Roman" w:hAnsi="Times New Roman"/>
          <w:color w:val="auto"/>
          <w:sz w:val="21"/>
          <w:szCs w:val="24"/>
          <w:highlight w:val="none"/>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2" w:name="_Toc9067731"/>
      <w:bookmarkStart w:id="53" w:name="_Toc26656994"/>
      <w:bookmarkStart w:id="54" w:name="_Toc14201263"/>
      <w:r>
        <w:rPr>
          <w:rFonts w:hint="eastAsia" w:ascii="Times New Roman" w:hAnsi="Times New Roman" w:eastAsia="黑体"/>
          <w:color w:val="auto"/>
          <w:sz w:val="24"/>
          <w:szCs w:val="32"/>
          <w:highlight w:val="none"/>
        </w:rPr>
        <w:t>10</w:t>
      </w:r>
      <w:r>
        <w:rPr>
          <w:rFonts w:hint="default" w:ascii="Times New Roman" w:hAnsi="Times New Roman" w:eastAsia="Times New Roman"/>
          <w:color w:val="auto"/>
          <w:sz w:val="24"/>
          <w:szCs w:val="32"/>
          <w:highlight w:val="none"/>
        </w:rPr>
        <w:t>.</w:t>
      </w:r>
      <w:r>
        <w:rPr>
          <w:rFonts w:hint="eastAsia" w:ascii="Times New Roman" w:hAnsi="Times New Roman" w:eastAsia="黑体"/>
          <w:color w:val="auto"/>
          <w:sz w:val="24"/>
          <w:szCs w:val="32"/>
          <w:highlight w:val="none"/>
        </w:rPr>
        <w:t xml:space="preserve"> 需要补充的其他内容</w:t>
      </w:r>
      <w:bookmarkEnd w:id="52"/>
      <w:bookmarkEnd w:id="53"/>
      <w:bookmarkEnd w:id="54"/>
    </w:p>
    <w:p w14:paraId="5AB5C0D9">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需要补充的其他内容：__/___。</w:t>
      </w:r>
    </w:p>
    <w:p w14:paraId="3ED9671A">
      <w:pPr>
        <w:spacing w:line="440" w:lineRule="exact"/>
        <w:ind w:firstLine="420"/>
        <w:rPr>
          <w:rFonts w:hint="eastAsia" w:ascii="Times New Roman" w:hAnsi="Times New Roman"/>
          <w:color w:val="auto"/>
          <w:sz w:val="21"/>
          <w:szCs w:val="24"/>
          <w:highlight w:val="none"/>
        </w:rPr>
      </w:pPr>
    </w:p>
    <w:p w14:paraId="7FBD1ACA">
      <w:pPr>
        <w:spacing w:line="440" w:lineRule="exact"/>
        <w:ind w:firstLine="420"/>
        <w:rPr>
          <w:rFonts w:hint="eastAsia" w:ascii="Times New Roman" w:hAnsi="Times New Roman"/>
          <w:color w:val="auto"/>
          <w:sz w:val="21"/>
          <w:szCs w:val="24"/>
          <w:highlight w:val="none"/>
        </w:rPr>
      </w:pPr>
    </w:p>
    <w:p w14:paraId="73C8FF4F">
      <w:pPr>
        <w:spacing w:line="440" w:lineRule="exact"/>
        <w:ind w:firstLine="420"/>
        <w:rPr>
          <w:rFonts w:hint="eastAsia" w:ascii="Times New Roman" w:hAnsi="Times New Roman"/>
          <w:color w:val="auto"/>
          <w:sz w:val="21"/>
          <w:szCs w:val="24"/>
          <w:highlight w:val="none"/>
        </w:rPr>
      </w:pPr>
    </w:p>
    <w:p w14:paraId="19E26293">
      <w:pPr>
        <w:spacing w:line="440" w:lineRule="exact"/>
        <w:ind w:firstLine="420"/>
        <w:rPr>
          <w:rFonts w:hint="eastAsia" w:ascii="Times New Roman" w:hAnsi="Times New Roman"/>
          <w:color w:val="auto"/>
          <w:sz w:val="21"/>
          <w:szCs w:val="24"/>
          <w:highlight w:val="none"/>
        </w:rPr>
      </w:pPr>
    </w:p>
    <w:p w14:paraId="04721814">
      <w:pPr>
        <w:spacing w:line="440" w:lineRule="exact"/>
        <w:ind w:firstLine="420"/>
        <w:rPr>
          <w:rFonts w:hint="eastAsia" w:ascii="Times New Roman" w:hAnsi="Times New Roman"/>
          <w:color w:val="auto"/>
          <w:sz w:val="21"/>
          <w:szCs w:val="24"/>
          <w:highlight w:val="none"/>
        </w:rPr>
      </w:pPr>
    </w:p>
    <w:p w14:paraId="19444787">
      <w:pPr>
        <w:spacing w:line="440" w:lineRule="exact"/>
        <w:ind w:firstLine="420"/>
        <w:rPr>
          <w:rFonts w:hint="eastAsia" w:ascii="Times New Roman" w:hAnsi="Times New Roman"/>
          <w:color w:val="auto"/>
          <w:sz w:val="21"/>
          <w:szCs w:val="24"/>
          <w:highlight w:val="none"/>
        </w:rPr>
      </w:pPr>
    </w:p>
    <w:p w14:paraId="243F834A">
      <w:pPr>
        <w:spacing w:line="440" w:lineRule="exact"/>
        <w:ind w:firstLine="420"/>
        <w:rPr>
          <w:rFonts w:hint="eastAsia" w:ascii="Times New Roman" w:hAnsi="Times New Roman"/>
          <w:color w:val="auto"/>
          <w:sz w:val="21"/>
          <w:szCs w:val="24"/>
          <w:highlight w:val="none"/>
        </w:rPr>
      </w:pPr>
    </w:p>
    <w:p w14:paraId="6EE6A9DE">
      <w:pPr>
        <w:pStyle w:val="5"/>
        <w:spacing w:before="312" w:after="312"/>
        <w:rPr>
          <w:rFonts w:ascii="Times New Roman" w:hAnsi="Times New Roman" w:eastAsia="宋体" w:cs="Times New Roman"/>
          <w:color w:val="auto"/>
          <w:highlight w:val="none"/>
        </w:rPr>
      </w:pPr>
      <w:bookmarkStart w:id="55" w:name="_Toc11325"/>
      <w:r>
        <w:rPr>
          <w:rFonts w:ascii="Times New Roman" w:hAnsi="Times New Roman" w:eastAsia="宋体" w:cs="Times New Roman"/>
          <w:color w:val="auto"/>
          <w:highlight w:val="none"/>
        </w:rPr>
        <w:t>评审办法</w:t>
      </w:r>
      <w:bookmarkEnd w:id="55"/>
    </w:p>
    <w:p w14:paraId="31FD4C54">
      <w:pPr>
        <w:rPr>
          <w:rFonts w:ascii="Times New Roman" w:hAnsi="Times New Roman" w:eastAsia="宋体" w:cs="Times New Roman"/>
          <w:color w:val="auto"/>
          <w:highlight w:val="none"/>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8"/>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6" w:name="_Toc3834"/>
      <w:bookmarkStart w:id="57" w:name="_Toc152042304"/>
      <w:bookmarkStart w:id="58" w:name="_Toc14847"/>
      <w:bookmarkStart w:id="59" w:name="_Toc447808662"/>
      <w:bookmarkStart w:id="60" w:name="_Toc144974496"/>
      <w:bookmarkStart w:id="61" w:name="_Toc457482536"/>
      <w:bookmarkStart w:id="62" w:name="_Toc152045528"/>
      <w:r>
        <w:rPr>
          <w:rFonts w:hint="eastAsia" w:ascii="宋体" w:hAnsi="宋体" w:eastAsia="宋体"/>
          <w:b/>
          <w:bCs/>
          <w:color w:val="auto"/>
          <w:szCs w:val="28"/>
          <w:highlight w:val="none"/>
        </w:rPr>
        <w:t>前附表</w:t>
      </w:r>
      <w:bookmarkEnd w:id="56"/>
      <w:bookmarkEnd w:id="57"/>
      <w:bookmarkEnd w:id="58"/>
      <w:bookmarkEnd w:id="59"/>
      <w:bookmarkEnd w:id="60"/>
      <w:bookmarkEnd w:id="61"/>
      <w:bookmarkEnd w:id="62"/>
      <w:r>
        <w:rPr>
          <w:rFonts w:hint="eastAsia" w:ascii="宋体" w:hAnsi="宋体" w:eastAsia="宋体"/>
          <w:b/>
          <w:bCs/>
          <w:color w:val="auto"/>
          <w:szCs w:val="28"/>
          <w:highlight w:val="none"/>
        </w:rPr>
        <w:t>A</w:t>
      </w:r>
    </w:p>
    <w:tbl>
      <w:tblPr>
        <w:tblStyle w:val="21"/>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highlight w:val="none"/>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评审委员会对通过初步评审的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人的商务及技术文件进行评分，按得分由高到低排序确定前N名。对排名前N名的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人的报价文件进行评审，按照评标价由低到高的顺序推荐3名</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候选人。评标委员会按评标价由低到高顺序推荐</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候选人，评标价相等时，评标委员会依次按照以下优先顺序推荐</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 xml:space="preserve">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（1）商务及技术文件得分较高的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（2）</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文件提供的业绩数量多的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文件提供的业绩累计合同金额大的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tc>
      </w:tr>
    </w:tbl>
    <w:tbl>
      <w:tblPr>
        <w:tblStyle w:val="21"/>
        <w:tblpPr w:leftFromText="180" w:rightFromText="180" w:vertAnchor="text" w:horzAnchor="page" w:tblpX="1653" w:tblpY="175"/>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1466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7C373F5B">
            <w:pPr>
              <w:pStyle w:val="2"/>
              <w:keepNext w:val="0"/>
              <w:keepLines w:val="0"/>
              <w:suppressLineNumbers w:val="0"/>
              <w:adjustRightInd w:val="0"/>
              <w:snapToGrid w:val="0"/>
              <w:spacing w:before="0" w:beforeAutospacing="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D3CBC7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2"/>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621D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63CC513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w:t>
                  </w:r>
                  <w:r>
                    <w:rPr>
                      <w:rFonts w:hint="eastAsia" w:asciiTheme="minorEastAsia" w:hAnsiTheme="minorEastAsia" w:cstheme="minorEastAsia"/>
                      <w:color w:val="auto"/>
                      <w:sz w:val="21"/>
                      <w:szCs w:val="21"/>
                      <w:highlight w:val="none"/>
                      <w:vertAlign w:val="baseline"/>
                      <w:lang w:val="en-US" w:eastAsia="zh-CN"/>
                    </w:rPr>
                    <w:t>响应</w:t>
                  </w:r>
                  <w:r>
                    <w:rPr>
                      <w:rFonts w:hint="eastAsia" w:asciiTheme="minorEastAsia" w:hAnsiTheme="minorEastAsia" w:eastAsiaTheme="minorEastAsia" w:cstheme="minorEastAsia"/>
                      <w:color w:val="auto"/>
                      <w:sz w:val="21"/>
                      <w:szCs w:val="21"/>
                      <w:highlight w:val="none"/>
                      <w:vertAlign w:val="baseline"/>
                      <w:lang w:val="en-US" w:eastAsia="zh-CN"/>
                    </w:rPr>
                    <w:t>人数量（T）</w:t>
                  </w:r>
                </w:p>
              </w:tc>
              <w:tc>
                <w:tcPr>
                  <w:tcW w:w="2535" w:type="dxa"/>
                  <w:vAlign w:val="center"/>
                </w:tcPr>
                <w:p w14:paraId="5BB2E1D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0C95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5EDF007">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246EA56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1E67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2257601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3C51D47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7DF9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61B5C7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6BE8729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0478228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4B4CF4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说明：如出现 A 家</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人商务技术文件得分相同的情况，其名次并列为第 B 名，则排名在 A 家</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人之后的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人的名次从第 B+A 名开始依次计列。 </w:t>
            </w:r>
          </w:p>
        </w:tc>
      </w:tr>
    </w:tbl>
    <w:p w14:paraId="72743B17">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1"/>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人按照询比文件的规定提供了</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（4）本项目不接受联合体</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（5）同一</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人未提交两个以上不同的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w:t>
            </w:r>
            <w:r>
              <w:rPr>
                <w:rFonts w:hint="eastAsia" w:asciiTheme="minorEastAsia" w:hAnsiTheme="minorEastAsia" w:cstheme="minorEastAsia"/>
                <w:b w:val="0"/>
                <w:bCs w:val="0"/>
                <w:color w:val="auto"/>
                <w:kern w:val="0"/>
                <w:sz w:val="21"/>
                <w:szCs w:val="21"/>
                <w:highlight w:val="none"/>
                <w:lang w:val="en-US" w:eastAsia="zh-CN" w:bidi="ar"/>
              </w:rPr>
              <w:t>响应</w:t>
            </w:r>
            <w:r>
              <w:rPr>
                <w:rFonts w:hint="eastAsia" w:asciiTheme="minorEastAsia" w:hAnsiTheme="minorEastAsia" w:eastAsiaTheme="minorEastAsia" w:cstheme="minorEastAsia"/>
                <w:b w:val="0"/>
                <w:bCs w:val="0"/>
                <w:color w:val="auto"/>
                <w:kern w:val="0"/>
                <w:sz w:val="21"/>
                <w:szCs w:val="21"/>
                <w:highlight w:val="none"/>
                <w:lang w:val="en-US" w:eastAsia="zh-CN" w:bidi="ar"/>
              </w:rPr>
              <w:t>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（7）</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（8）</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文件未附有</w:t>
            </w:r>
            <w:r>
              <w:rPr>
                <w:rFonts w:hint="eastAsia" w:asciiTheme="minorEastAsia" w:hAnsiTheme="minorEastAsia" w:cstheme="minorEastAsia"/>
                <w:color w:val="auto"/>
                <w:kern w:val="0"/>
                <w:sz w:val="21"/>
                <w:szCs w:val="21"/>
                <w:highlight w:val="none"/>
                <w:lang w:val="en-US" w:eastAsia="zh-CN" w:bidi="ar"/>
              </w:rPr>
              <w:t>采购</w:t>
            </w:r>
            <w:r>
              <w:rPr>
                <w:rFonts w:hint="eastAsia" w:asciiTheme="minorEastAsia" w:hAnsiTheme="minorEastAsia" w:eastAsiaTheme="minorEastAsia" w:cstheme="minorEastAsia"/>
                <w:color w:val="auto"/>
                <w:kern w:val="0"/>
                <w:sz w:val="21"/>
                <w:szCs w:val="21"/>
                <w:highlight w:val="none"/>
                <w:lang w:val="en-US" w:eastAsia="zh-CN" w:bidi="ar"/>
              </w:rPr>
              <w:t xml:space="preserve">人不能接受的条件。 </w:t>
            </w:r>
          </w:p>
          <w:p w14:paraId="0CA24646">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b/>
                <w:bCs/>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（9）放置盖章版的响应文件扫描件（PDF版本）。</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a.按询比文件规定填报了采购人名称、项目名称、补遗书编号（如有）、</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c.工程量清单中的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报价未超过询比文件设定的最高</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（4）</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（5）同一</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人未提交两个以上不同的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（6）未附有</w:t>
            </w:r>
            <w:r>
              <w:rPr>
                <w:rFonts w:hint="eastAsia" w:asciiTheme="minorEastAsia" w:hAnsiTheme="minorEastAsia" w:cstheme="minorEastAsia"/>
                <w:color w:val="auto"/>
                <w:kern w:val="0"/>
                <w:sz w:val="21"/>
                <w:szCs w:val="21"/>
                <w:highlight w:val="none"/>
                <w:lang w:val="en-US" w:eastAsia="zh-CN" w:bidi="ar"/>
              </w:rPr>
              <w:t>采购</w:t>
            </w:r>
            <w:r>
              <w:rPr>
                <w:rFonts w:hint="eastAsia" w:asciiTheme="minorEastAsia" w:hAnsiTheme="minorEastAsia" w:eastAsiaTheme="minorEastAsia" w:cstheme="minorEastAsia"/>
                <w:color w:val="auto"/>
                <w:kern w:val="0"/>
                <w:sz w:val="21"/>
                <w:szCs w:val="21"/>
                <w:highlight w:val="none"/>
                <w:lang w:val="en-US" w:eastAsia="zh-CN" w:bidi="ar"/>
              </w:rPr>
              <w:t>人不能接受的条件。</w:t>
            </w:r>
          </w:p>
          <w:p w14:paraId="5402D87A">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（7）放置盖章版的报价文件扫描件（PDF版本）和报价清单电子版(EXCEL版)。</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响应文件不符合以上条件之一的，对该响应文件作否决其</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处理。</w:t>
            </w:r>
          </w:p>
        </w:tc>
      </w:tr>
    </w:tbl>
    <w:p w14:paraId="2936A21B">
      <w:pPr>
        <w:pStyle w:val="38"/>
        <w:numPr>
          <w:ilvl w:val="0"/>
          <w:numId w:val="0"/>
        </w:numPr>
        <w:spacing w:before="0"/>
        <w:outlineLvl w:val="9"/>
        <w:rPr>
          <w:rFonts w:hint="eastAsia" w:ascii="宋体" w:hAnsi="宋体" w:eastAsia="宋体" w:cs="宋体"/>
          <w:b/>
          <w:bCs/>
          <w:color w:val="auto"/>
          <w:szCs w:val="28"/>
          <w:highlight w:val="none"/>
        </w:rPr>
      </w:pPr>
    </w:p>
    <w:p w14:paraId="0ADDC629">
      <w:pPr>
        <w:pStyle w:val="38"/>
        <w:numPr>
          <w:ilvl w:val="0"/>
          <w:numId w:val="0"/>
        </w:numPr>
        <w:spacing w:before="0"/>
        <w:outlineLvl w:val="9"/>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前附表B</w:t>
      </w:r>
    </w:p>
    <w:tbl>
      <w:tblPr>
        <w:tblStyle w:val="21"/>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29C319BA">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highlight w:val="none"/>
              </w:rPr>
            </w:pPr>
            <w:r>
              <w:rPr>
                <w:rFonts w:hint="eastAsia" w:ascii="宋体" w:hAnsi="宋体" w:cs="宋体"/>
                <w:color w:val="000000"/>
                <w:kern w:val="0"/>
                <w:sz w:val="22"/>
                <w:szCs w:val="22"/>
                <w:highlight w:val="none"/>
                <w:lang w:bidi="ar"/>
              </w:rPr>
              <w:t>第一个信封</w:t>
            </w:r>
          </w:p>
          <w:p w14:paraId="486E4A63">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highlight w:val="none"/>
              </w:rPr>
            </w:pPr>
            <w:r>
              <w:rPr>
                <w:rFonts w:hint="eastAsia" w:ascii="宋体" w:hAnsi="宋体" w:cs="宋体"/>
                <w:color w:val="000000"/>
                <w:kern w:val="0"/>
                <w:sz w:val="22"/>
                <w:szCs w:val="22"/>
                <w:highlight w:val="none"/>
                <w:lang w:bidi="ar"/>
              </w:rPr>
              <w:t>评分分值构</w:t>
            </w:r>
          </w:p>
          <w:p w14:paraId="29BC035D">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000000"/>
                <w:kern w:val="0"/>
                <w:sz w:val="22"/>
                <w:szCs w:val="22"/>
                <w:highlight w:val="none"/>
                <w:lang w:bidi="ar"/>
              </w:rPr>
              <w:t>成</w:t>
            </w:r>
            <w:r>
              <w:rPr>
                <w:rFonts w:hint="eastAsia" w:ascii="宋体" w:hAnsi="宋体" w:cs="宋体"/>
                <w:sz w:val="21"/>
                <w:szCs w:val="21"/>
                <w:highlight w:val="none"/>
              </w:rPr>
              <w:t>（总分100分）</w:t>
            </w:r>
          </w:p>
        </w:tc>
        <w:tc>
          <w:tcPr>
            <w:tcW w:w="6287" w:type="dxa"/>
            <w:vAlign w:val="center"/>
          </w:tcPr>
          <w:p w14:paraId="70DC34AD">
            <w:pPr>
              <w:keepNext w:val="0"/>
              <w:keepLines w:val="0"/>
              <w:suppressLineNumbers w:val="0"/>
              <w:adjustRightInd w:val="0"/>
              <w:spacing w:before="0" w:beforeLines="0" w:beforeAutospacing="0" w:after="0" w:afterLines="0" w:afterAutospacing="0"/>
              <w:ind w:left="0" w:right="0"/>
              <w:rPr>
                <w:rFonts w:hint="eastAsia" w:ascii="宋体" w:hAnsi="宋体" w:cs="宋体"/>
                <w:b/>
                <w:color w:val="auto"/>
                <w:sz w:val="21"/>
                <w:szCs w:val="21"/>
                <w:highlight w:val="none"/>
              </w:rPr>
            </w:pPr>
            <w:r>
              <w:rPr>
                <w:rFonts w:hint="eastAsia" w:ascii="宋体" w:hAnsi="宋体" w:cs="宋体"/>
                <w:b/>
                <w:color w:val="auto"/>
                <w:sz w:val="21"/>
                <w:szCs w:val="21"/>
                <w:highlight w:val="none"/>
              </w:rPr>
              <w:t>商务及技术文件评分分值构成：</w:t>
            </w:r>
            <w:r>
              <w:rPr>
                <w:rFonts w:hint="eastAsia" w:ascii="宋体" w:hAnsi="宋体" w:cs="宋体"/>
                <w:b/>
                <w:color w:val="auto"/>
                <w:sz w:val="21"/>
                <w:szCs w:val="21"/>
                <w:highlight w:val="none"/>
                <w:u w:val="single"/>
              </w:rPr>
              <w:t xml:space="preserve"> 100 </w:t>
            </w:r>
            <w:r>
              <w:rPr>
                <w:rFonts w:hint="eastAsia" w:ascii="宋体" w:hAnsi="宋体" w:cs="宋体"/>
                <w:b/>
                <w:color w:val="auto"/>
                <w:sz w:val="21"/>
                <w:szCs w:val="21"/>
                <w:highlight w:val="none"/>
              </w:rPr>
              <w:t>分</w:t>
            </w:r>
          </w:p>
          <w:p w14:paraId="3F619279">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企业业绩：</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60</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651151A1">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企业实力：</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18</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1F1FD8B2">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生产体系认证：</w:t>
            </w:r>
            <w:r>
              <w:rPr>
                <w:rFonts w:hint="eastAsia" w:ascii="宋体" w:hAnsi="宋体" w:cs="宋体"/>
                <w:color w:val="auto"/>
                <w:sz w:val="21"/>
                <w:szCs w:val="24"/>
                <w:highlight w:val="none"/>
                <w:u w:val="single"/>
              </w:rPr>
              <w:t xml:space="preserve">  6  </w:t>
            </w:r>
            <w:r>
              <w:rPr>
                <w:rFonts w:hint="eastAsia" w:ascii="宋体" w:hAnsi="宋体" w:cs="宋体"/>
                <w:color w:val="auto"/>
                <w:sz w:val="21"/>
                <w:szCs w:val="24"/>
                <w:highlight w:val="none"/>
              </w:rPr>
              <w:t>分</w:t>
            </w:r>
          </w:p>
          <w:p w14:paraId="2144FC41">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供货方案：</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 xml:space="preserve">8 </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265BFC5D">
            <w:pPr>
              <w:pStyle w:val="2"/>
              <w:keepNext w:val="0"/>
              <w:keepLines w:val="0"/>
              <w:suppressLineNumbers w:val="0"/>
              <w:spacing w:before="0" w:beforeAutospacing="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color w:val="auto"/>
                <w:highlight w:val="none"/>
                <w:lang w:eastAsia="zh-CN"/>
              </w:rPr>
              <w:t>售后服务方案</w:t>
            </w:r>
            <w:r>
              <w:rPr>
                <w:rFonts w:hint="eastAsia"/>
                <w:color w:val="auto"/>
                <w:highlight w:val="none"/>
              </w:rPr>
              <w:t>：</w:t>
            </w:r>
            <w:r>
              <w:rPr>
                <w:rFonts w:hint="eastAsia"/>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8</w:t>
            </w:r>
            <w:r>
              <w:rPr>
                <w:rFonts w:hint="eastAsia"/>
                <w:color w:val="auto"/>
                <w:highlight w:val="none"/>
                <w:u w:val="single"/>
              </w:rPr>
              <w:t xml:space="preserve">  </w:t>
            </w:r>
            <w:r>
              <w:rPr>
                <w:rFonts w:hint="eastAsia"/>
                <w:color w:val="auto"/>
                <w:highlight w:val="none"/>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（1）本次采购活动将采用技术评分最低价法进行评审，通过商务及技术文件评审得分入选的，根据各家报价由低到高的顺序，依次推荐N名成交候选人。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55F6C60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①如响应人的评标价低于评标价平均值的90%时，采购人可以在评标现场要求该响应人作出情况说明并提供相应降低工程造价的相关证明材料，参照附表 1 异常低价承诺书；同时提供关于合同履行能力及工程质量安全控制能力的承诺（此部分内容的响应人回复时间限时为60分钟，逾期不回复视同响应人放弃澄清、说明或补正内容的权利，采购人可按对响应人不利的解释进行判定。）响应人不能合理说明或者不能提供相应证明材料的，采购人应认定该响应人以低于成本报价竞标，并否决其响应。</w:t>
            </w:r>
          </w:p>
          <w:p w14:paraId="7A8DE61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②异常低价或不平衡报价，采购人有权作废标处理。</w:t>
            </w:r>
          </w:p>
          <w:p w14:paraId="6E1BC84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注： </w:t>
            </w:r>
          </w:p>
          <w:p w14:paraId="298715B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1)针对异常低价承诺书请响应人合理考虑时间，可提前准备好降 </w:t>
            </w:r>
          </w:p>
          <w:p w14:paraId="78BDF1D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低工程造价的相关证明材料，以避免错过电子询标时间，造成的不良后果由响应人自行承担。 </w:t>
            </w:r>
          </w:p>
          <w:p w14:paraId="024E1C6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2)以下情形不得作为询标或报价文件中提供异常低价响应说明 </w:t>
            </w:r>
          </w:p>
          <w:p w14:paraId="6DBC41A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响应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风险评估评审：采购人对通过评审的异常低价成交候选人合同履行能力及工程质量安全等风险进行全面评估，并作为评标结果的附件提交给采购人。响应人在响应文件中不能作出有效澄清、说明或采购人认定（按少数服从多数的原则）其存在履约及质量安全风险的，采购人应否决其响应。</w:t>
            </w:r>
          </w:p>
        </w:tc>
      </w:tr>
    </w:tbl>
    <w:p w14:paraId="6731446D">
      <w:pPr>
        <w:rPr>
          <w:rFonts w:hint="eastAsia" w:ascii="黑体" w:eastAsia="黑体"/>
          <w:color w:val="auto"/>
          <w:sz w:val="21"/>
          <w:szCs w:val="21"/>
          <w:highlight w:val="none"/>
          <w:lang w:val="en-US" w:eastAsia="zh-CN"/>
        </w:rPr>
      </w:pPr>
    </w:p>
    <w:tbl>
      <w:tblPr>
        <w:tblStyle w:val="21"/>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7"/>
        <w:gridCol w:w="933"/>
        <w:gridCol w:w="1662"/>
        <w:gridCol w:w="5393"/>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jc w:val="center"/>
        </w:trPr>
        <w:tc>
          <w:tcPr>
            <w:tcW w:w="495" w:type="pct"/>
            <w:vAlign w:val="center"/>
          </w:tcPr>
          <w:p w14:paraId="159E5634">
            <w:pPr>
              <w:pStyle w:val="2"/>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5521CC7E">
            <w:pPr>
              <w:pStyle w:val="2"/>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70A2FD8E">
            <w:pPr>
              <w:pStyle w:val="2"/>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41" w:type="pct"/>
            <w:vAlign w:val="center"/>
          </w:tcPr>
          <w:p w14:paraId="3868DF9F">
            <w:pPr>
              <w:pStyle w:val="2"/>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95" w:type="pct"/>
            <w:vMerge w:val="restart"/>
            <w:vAlign w:val="center"/>
          </w:tcPr>
          <w:p w14:paraId="572DA4A5">
            <w:pPr>
              <w:pStyle w:val="2"/>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2.2</w:t>
            </w:r>
          </w:p>
          <w:p w14:paraId="5BC79124">
            <w:pPr>
              <w:pStyle w:val="2"/>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restart"/>
            <w:vAlign w:val="center"/>
          </w:tcPr>
          <w:p w14:paraId="2B8AF269">
            <w:pPr>
              <w:pStyle w:val="2"/>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1662" w:type="dxa"/>
            <w:vAlign w:val="center"/>
          </w:tcPr>
          <w:p w14:paraId="09858888">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企业业绩</w:t>
            </w:r>
          </w:p>
          <w:p w14:paraId="5679DDFB">
            <w:pPr>
              <w:pStyle w:val="2"/>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eastAsia="zh-CN"/>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60</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5393" w:type="dxa"/>
            <w:vAlign w:val="center"/>
          </w:tcPr>
          <w:p w14:paraId="1B3E1FE9">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202</w:t>
            </w:r>
            <w:r>
              <w:rPr>
                <w:rFonts w:hint="eastAsia" w:ascii="宋体" w:hAnsi="宋体" w:cs="宋体"/>
                <w:color w:val="auto"/>
                <w:sz w:val="21"/>
                <w:szCs w:val="24"/>
                <w:highlight w:val="none"/>
                <w:lang w:val="en-US" w:eastAsia="zh-CN"/>
              </w:rPr>
              <w:t>2</w:t>
            </w:r>
            <w:r>
              <w:rPr>
                <w:rFonts w:hint="eastAsia" w:ascii="宋体" w:hAnsi="宋体" w:cs="宋体"/>
                <w:color w:val="auto"/>
                <w:sz w:val="21"/>
                <w:szCs w:val="24"/>
                <w:highlight w:val="none"/>
              </w:rPr>
              <w:t xml:space="preserve"> 年 1月1 日以来（以合同签订时间为准），除供应商资审条件要求的业绩得</w:t>
            </w:r>
            <w:r>
              <w:rPr>
                <w:rFonts w:hint="eastAsia" w:ascii="宋体" w:hAnsi="宋体" w:cs="宋体"/>
                <w:color w:val="auto"/>
                <w:sz w:val="21"/>
                <w:szCs w:val="24"/>
                <w:highlight w:val="none"/>
                <w:lang w:val="en-US" w:eastAsia="zh-CN"/>
              </w:rPr>
              <w:t>45</w:t>
            </w:r>
            <w:r>
              <w:rPr>
                <w:rFonts w:hint="eastAsia" w:ascii="宋体" w:hAnsi="宋体" w:cs="宋体"/>
                <w:color w:val="auto"/>
                <w:sz w:val="21"/>
                <w:szCs w:val="24"/>
                <w:highlight w:val="none"/>
              </w:rPr>
              <w:t>分，近三年来具有</w:t>
            </w:r>
            <w:r>
              <w:rPr>
                <w:rFonts w:hint="eastAsia" w:ascii="宋体" w:hAnsi="宋体" w:cs="宋体"/>
                <w:color w:val="auto"/>
                <w:sz w:val="21"/>
                <w:szCs w:val="24"/>
                <w:highlight w:val="none"/>
                <w:lang w:val="en-US" w:eastAsia="zh-CN"/>
              </w:rPr>
              <w:t>20</w:t>
            </w:r>
            <w:r>
              <w:rPr>
                <w:rFonts w:hint="eastAsia" w:ascii="宋体" w:hAnsi="宋体" w:cs="宋体"/>
                <w:color w:val="auto"/>
                <w:sz w:val="21"/>
                <w:szCs w:val="24"/>
                <w:highlight w:val="none"/>
              </w:rPr>
              <w:t>万元</w:t>
            </w:r>
            <w:r>
              <w:rPr>
                <w:rFonts w:hint="eastAsia" w:ascii="宋体" w:hAnsi="宋体" w:cs="宋体"/>
                <w:color w:val="auto"/>
                <w:sz w:val="21"/>
                <w:szCs w:val="24"/>
                <w:highlight w:val="none"/>
                <w:lang w:val="en-US" w:eastAsia="zh-CN"/>
              </w:rPr>
              <w:t>及以上</w:t>
            </w:r>
            <w:r>
              <w:rPr>
                <w:rFonts w:hint="eastAsia" w:ascii="宋体" w:hAnsi="宋体" w:cs="宋体"/>
                <w:color w:val="auto"/>
                <w:sz w:val="21"/>
                <w:szCs w:val="24"/>
                <w:highlight w:val="none"/>
              </w:rPr>
              <w:t>的</w:t>
            </w:r>
            <w:r>
              <w:rPr>
                <w:rFonts w:hint="eastAsia" w:ascii="宋体" w:hAnsi="宋体" w:cs="宋体"/>
                <w:color w:val="auto"/>
                <w:sz w:val="21"/>
                <w:szCs w:val="24"/>
                <w:highlight w:val="none"/>
                <w:lang w:val="en-US" w:eastAsia="zh-CN"/>
              </w:rPr>
              <w:t>水泥砖</w:t>
            </w:r>
            <w:r>
              <w:rPr>
                <w:rFonts w:hint="eastAsia" w:ascii="宋体" w:hAnsi="宋体" w:cs="宋体"/>
                <w:color w:val="auto"/>
                <w:sz w:val="21"/>
                <w:szCs w:val="24"/>
                <w:highlight w:val="none"/>
              </w:rPr>
              <w:t>合同业绩，每多提供一个业绩得5分，满分</w:t>
            </w:r>
            <w:r>
              <w:rPr>
                <w:rFonts w:hint="eastAsia" w:ascii="宋体" w:hAnsi="宋体" w:cs="宋体"/>
                <w:color w:val="auto"/>
                <w:sz w:val="21"/>
                <w:szCs w:val="24"/>
                <w:highlight w:val="none"/>
                <w:lang w:val="en-US" w:eastAsia="zh-CN"/>
              </w:rPr>
              <w:t>60</w:t>
            </w:r>
            <w:r>
              <w:rPr>
                <w:rFonts w:hint="eastAsia" w:ascii="宋体" w:hAnsi="宋体" w:cs="宋体"/>
                <w:color w:val="auto"/>
                <w:sz w:val="21"/>
                <w:szCs w:val="24"/>
                <w:highlight w:val="none"/>
              </w:rPr>
              <w:t>分。</w:t>
            </w:r>
          </w:p>
          <w:p w14:paraId="23EDF64A">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lang w:val="en-US" w:eastAsia="zh-CN"/>
              </w:rPr>
            </w:pPr>
            <w:r>
              <w:rPr>
                <w:rFonts w:hint="eastAsia" w:ascii="宋体" w:hAnsi="宋体" w:cs="宋体"/>
                <w:color w:val="auto"/>
                <w:sz w:val="21"/>
                <w:szCs w:val="24"/>
                <w:highlight w:val="none"/>
              </w:rPr>
              <w:t>（1）</w:t>
            </w:r>
            <w:r>
              <w:rPr>
                <w:rFonts w:hint="eastAsia" w:ascii="宋体" w:hAnsi="宋体" w:cs="宋体"/>
                <w:color w:val="auto"/>
                <w:sz w:val="21"/>
                <w:szCs w:val="24"/>
                <w:highlight w:val="none"/>
                <w:lang w:val="en-US" w:eastAsia="zh-CN"/>
              </w:rPr>
              <w:t>响应人</w:t>
            </w:r>
            <w:r>
              <w:rPr>
                <w:rFonts w:hint="eastAsia" w:ascii="宋体" w:hAnsi="宋体" w:cs="宋体"/>
                <w:color w:val="auto"/>
                <w:sz w:val="21"/>
                <w:szCs w:val="24"/>
                <w:highlight w:val="none"/>
              </w:rPr>
              <w:t>业绩合同应提供包含项目名称、合同总金额、合同签订时间、合同签字盖章页等关键内容的关键页的扫描件；</w:t>
            </w:r>
            <w:r>
              <w:rPr>
                <w:rFonts w:hint="eastAsia" w:ascii="宋体" w:hAnsi="宋体" w:cs="宋体"/>
                <w:color w:val="auto"/>
                <w:sz w:val="21"/>
                <w:szCs w:val="24"/>
                <w:highlight w:val="none"/>
                <w:lang w:val="en-US" w:eastAsia="zh-CN"/>
              </w:rPr>
              <w:t>每个业绩至少提供不低于合同金额50%的增值税发票（或提供不低于资格审查要求业绩金额的增值税发票），未提供或提供发票金额不足的，该业绩无效。</w:t>
            </w:r>
          </w:p>
          <w:p w14:paraId="63D8E427">
            <w:pPr>
              <w:pStyle w:val="2"/>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4"/>
                <w:highlight w:val="none"/>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95" w:type="pct"/>
            <w:vMerge w:val="continue"/>
            <w:vAlign w:val="center"/>
          </w:tcPr>
          <w:p w14:paraId="15F3468D">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6271DD01">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vAlign w:val="center"/>
          </w:tcPr>
          <w:p w14:paraId="14395662">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企业实力</w:t>
            </w:r>
          </w:p>
          <w:p w14:paraId="6B3CF50B">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18</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5393" w:type="dxa"/>
            <w:vAlign w:val="center"/>
          </w:tcPr>
          <w:p w14:paraId="2EFB02D1">
            <w:pPr>
              <w:pStyle w:val="18"/>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1.办公场所情况</w:t>
            </w:r>
            <w:r>
              <w:rPr>
                <w:rFonts w:hint="eastAsia" w:ascii="宋体" w:hAnsi="宋体" w:eastAsia="宋体" w:cs="宋体"/>
                <w:color w:val="auto"/>
                <w:kern w:val="0"/>
                <w:sz w:val="21"/>
                <w:szCs w:val="21"/>
                <w:highlight w:val="none"/>
                <w:u w:val="none"/>
                <w:lang w:val="en-US" w:eastAsia="zh-CN" w:bidi="ar"/>
              </w:rPr>
              <w:t>（须提供办公场所照片、房屋购买租赁合同协议书等，自有或租赁办公场所须明确证明材料），</w:t>
            </w:r>
            <w:r>
              <w:rPr>
                <w:rFonts w:hint="eastAsia" w:ascii="宋体" w:hAnsi="宋体" w:eastAsia="宋体" w:cs="宋体"/>
                <w:color w:val="auto"/>
                <w:kern w:val="0"/>
                <w:sz w:val="21"/>
                <w:szCs w:val="21"/>
                <w:highlight w:val="none"/>
                <w:lang w:bidi="ar"/>
              </w:rPr>
              <w:t>优秀的得</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分；一般的得</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77C8A281">
            <w:pPr>
              <w:keepNext w:val="0"/>
              <w:keepLines w:val="0"/>
              <w:suppressLineNumbers w:val="0"/>
              <w:spacing w:before="0" w:beforeAutospacing="0" w:after="0" w:afterAutospacing="0"/>
              <w:ind w:left="0" w:right="0" w:firstLine="211" w:firstLineChars="100"/>
              <w:rPr>
                <w:rFonts w:hint="default"/>
                <w:color w:val="auto"/>
                <w:highlight w:val="none"/>
                <w:lang w:val="en-US" w:eastAsia="zh-CN"/>
              </w:rPr>
            </w:pPr>
            <w:r>
              <w:rPr>
                <w:rFonts w:hint="eastAsia" w:ascii="宋体" w:hAnsi="宋体" w:eastAsia="宋体" w:cs="宋体"/>
                <w:b/>
                <w:bCs/>
                <w:color w:val="auto"/>
                <w:kern w:val="0"/>
                <w:sz w:val="21"/>
                <w:szCs w:val="21"/>
                <w:highlight w:val="none"/>
                <w:u w:val="none"/>
                <w:lang w:val="en-US" w:eastAsia="zh-CN" w:bidi="ar"/>
              </w:rPr>
              <w:t>2.企业获得奖项及荣誉证书等</w:t>
            </w:r>
            <w:r>
              <w:rPr>
                <w:rFonts w:hint="eastAsia" w:ascii="宋体" w:hAnsi="宋体" w:eastAsia="宋体" w:cs="宋体"/>
                <w:color w:val="auto"/>
                <w:kern w:val="0"/>
                <w:sz w:val="21"/>
                <w:szCs w:val="21"/>
                <w:highlight w:val="none"/>
                <w:u w:val="none"/>
                <w:lang w:val="en-US" w:eastAsia="zh-CN" w:bidi="ar"/>
              </w:rPr>
              <w:t>（须提供证书证明材料)，</w:t>
            </w:r>
            <w:r>
              <w:rPr>
                <w:rFonts w:hint="eastAsia" w:ascii="宋体" w:hAnsi="宋体" w:eastAsia="宋体" w:cs="宋体"/>
                <w:color w:val="auto"/>
                <w:kern w:val="0"/>
                <w:sz w:val="21"/>
                <w:szCs w:val="21"/>
                <w:highlight w:val="none"/>
                <w:lang w:bidi="ar"/>
              </w:rPr>
              <w:t>优秀的得</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分；一般的得</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574D5C92">
            <w:pPr>
              <w:pStyle w:val="18"/>
              <w:keepNext w:val="0"/>
              <w:keepLines w:val="0"/>
              <w:suppressLineNumbers w:val="0"/>
              <w:spacing w:before="0" w:beforeLines="0" w:beforeAutospacing="0" w:after="0" w:afterLines="0" w:afterAutospacing="0"/>
              <w:ind w:left="0" w:right="0" w:firstLine="211" w:firstLineChars="100"/>
              <w:jc w:val="both"/>
              <w:rPr>
                <w:rFonts w:hint="eastAsia"/>
                <w:color w:val="auto"/>
                <w:highlight w:val="yellow"/>
                <w:lang w:eastAsia="zh-CN"/>
              </w:rPr>
            </w:pPr>
            <w:r>
              <w:rPr>
                <w:rFonts w:hint="eastAsia" w:ascii="宋体" w:hAnsi="宋体" w:eastAsia="宋体" w:cs="宋体"/>
                <w:b/>
                <w:color w:val="auto"/>
                <w:kern w:val="0"/>
                <w:sz w:val="21"/>
                <w:szCs w:val="21"/>
                <w:highlight w:val="none"/>
                <w:lang w:val="en-US" w:eastAsia="zh-CN" w:bidi="ar"/>
              </w:rPr>
              <w:t>3</w:t>
            </w:r>
            <w:r>
              <w:rPr>
                <w:rFonts w:hint="eastAsia" w:ascii="宋体" w:hAnsi="宋体" w:eastAsia="宋体" w:cs="宋体"/>
                <w:b/>
                <w:color w:val="auto"/>
                <w:kern w:val="0"/>
                <w:sz w:val="21"/>
                <w:szCs w:val="21"/>
                <w:highlight w:val="none"/>
                <w:lang w:bidi="ar"/>
              </w:rPr>
              <w:t>.人员情况</w:t>
            </w:r>
            <w:r>
              <w:rPr>
                <w:rFonts w:hint="eastAsia" w:ascii="宋体" w:hAnsi="宋体" w:eastAsia="宋体" w:cs="宋体"/>
                <w:color w:val="auto"/>
                <w:kern w:val="0"/>
                <w:sz w:val="21"/>
                <w:szCs w:val="21"/>
                <w:highlight w:val="none"/>
                <w:lang w:bidi="ar"/>
              </w:rPr>
              <w:t>（生产人员、安装人员、售后人员情况，可提供公司社保名录等证明材料），评委根据上述证明材料综合评审，优秀的得</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分；一般的得</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498EC0B1">
            <w:pPr>
              <w:pStyle w:val="18"/>
              <w:keepNext w:val="0"/>
              <w:keepLines w:val="0"/>
              <w:suppressLineNumbers w:val="0"/>
              <w:spacing w:before="0" w:beforeLines="0" w:beforeAutospacing="0" w:after="0" w:afterLines="0" w:afterAutospacing="0"/>
              <w:ind w:left="0" w:leftChars="0" w:right="0" w:rightChars="0" w:firstLine="210"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kern w:val="0"/>
                <w:sz w:val="21"/>
                <w:szCs w:val="21"/>
                <w:highlight w:val="none"/>
                <w:lang w:bidi="ar"/>
              </w:rPr>
              <w:t>本项累计</w:t>
            </w:r>
            <w:r>
              <w:rPr>
                <w:rFonts w:hint="eastAsia" w:ascii="宋体" w:hAnsi="宋体" w:eastAsia="宋体" w:cs="宋体"/>
                <w:color w:val="auto"/>
                <w:kern w:val="0"/>
                <w:sz w:val="21"/>
                <w:szCs w:val="21"/>
                <w:highlight w:val="none"/>
                <w:lang w:val="en-US" w:eastAsia="zh-CN" w:bidi="ar"/>
              </w:rPr>
              <w:t>18</w:t>
            </w:r>
            <w:r>
              <w:rPr>
                <w:rFonts w:hint="eastAsia" w:ascii="宋体" w:hAnsi="宋体" w:eastAsia="宋体" w:cs="宋体"/>
                <w:color w:val="auto"/>
                <w:kern w:val="0"/>
                <w:sz w:val="21"/>
                <w:szCs w:val="21"/>
                <w:highlight w:val="none"/>
                <w:lang w:bidi="ar"/>
              </w:rPr>
              <w:t>分。</w:t>
            </w:r>
            <w:r>
              <w:rPr>
                <w:rFonts w:hint="eastAsia" w:ascii="宋体" w:hAnsi="宋体" w:eastAsia="宋体" w:cs="宋体"/>
                <w:b/>
                <w:color w:val="auto"/>
                <w:kern w:val="0"/>
                <w:sz w:val="21"/>
                <w:szCs w:val="21"/>
                <w:highlight w:val="none"/>
                <w:lang w:bidi="ar"/>
              </w:rPr>
              <w:t>（如采购人发现响应人提供的资料弄虚作假，采购人有权取消</w:t>
            </w:r>
            <w:r>
              <w:rPr>
                <w:rFonts w:hint="eastAsia" w:ascii="宋体" w:hAnsi="宋体" w:eastAsia="宋体" w:cs="宋体"/>
                <w:b/>
                <w:color w:val="auto"/>
                <w:kern w:val="0"/>
                <w:sz w:val="21"/>
                <w:szCs w:val="21"/>
                <w:highlight w:val="none"/>
                <w:lang w:val="en-US" w:eastAsia="zh-CN" w:bidi="ar"/>
              </w:rPr>
              <w:t>成交</w:t>
            </w:r>
            <w:r>
              <w:rPr>
                <w:rFonts w:hint="eastAsia" w:ascii="宋体" w:hAnsi="宋体" w:eastAsia="宋体" w:cs="宋体"/>
                <w:b/>
                <w:color w:val="auto"/>
                <w:kern w:val="0"/>
                <w:sz w:val="21"/>
                <w:szCs w:val="21"/>
                <w:highlight w:val="none"/>
                <w:lang w:bidi="ar"/>
              </w:rPr>
              <w:t>资格，已签合同的可随时解除合同）</w:t>
            </w:r>
          </w:p>
        </w:tc>
      </w:tr>
      <w:tr w14:paraId="4854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5" w:type="pct"/>
            <w:vMerge w:val="continue"/>
            <w:vAlign w:val="center"/>
          </w:tcPr>
          <w:p w14:paraId="770DBF94">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7680D05C">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vAlign w:val="center"/>
          </w:tcPr>
          <w:p w14:paraId="0E45A83C">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生产体系认证</w:t>
            </w:r>
          </w:p>
          <w:p w14:paraId="17A5ECE6">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sz w:val="21"/>
                <w:szCs w:val="21"/>
                <w:highlight w:val="none"/>
              </w:rPr>
              <w:t>（满分</w:t>
            </w:r>
            <w:r>
              <w:rPr>
                <w:rFonts w:hint="eastAsia" w:ascii="宋体" w:hAnsi="宋体" w:cs="宋体"/>
                <w:sz w:val="21"/>
                <w:szCs w:val="21"/>
                <w:highlight w:val="none"/>
                <w:u w:val="single"/>
              </w:rPr>
              <w:t xml:space="preserve"> 6 </w:t>
            </w:r>
            <w:r>
              <w:rPr>
                <w:rFonts w:hint="eastAsia" w:ascii="宋体" w:hAnsi="宋体" w:cs="宋体"/>
                <w:sz w:val="21"/>
                <w:szCs w:val="21"/>
                <w:highlight w:val="none"/>
              </w:rPr>
              <w:t>分）</w:t>
            </w:r>
          </w:p>
        </w:tc>
        <w:tc>
          <w:tcPr>
            <w:tcW w:w="3041" w:type="pct"/>
            <w:vAlign w:val="center"/>
          </w:tcPr>
          <w:p w14:paraId="505720CC">
            <w:pPr>
              <w:pStyle w:val="10"/>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highlight w:val="yellow"/>
                <w:lang w:val="en-US" w:eastAsia="zh-CN"/>
              </w:rPr>
              <w:t>产品生产厂家</w:t>
            </w:r>
            <w:r>
              <w:rPr>
                <w:rFonts w:hint="eastAsia" w:ascii="宋体" w:hAnsi="宋体" w:cs="宋体"/>
                <w:color w:val="auto"/>
                <w:kern w:val="0"/>
                <w:sz w:val="21"/>
                <w:szCs w:val="21"/>
                <w:highlight w:val="none"/>
                <w:lang w:bidi="ar"/>
              </w:rPr>
              <w:t>具有有效期内的质量管理体系认证证书、环境管理体系认证证书、职业健康安全管理体系认证证书的，每提供1个得2分，总分6分。提供证书扫描件，未提供或提供材料不符合要求的不得分。</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5" w:type="pct"/>
            <w:vMerge w:val="continue"/>
            <w:vAlign w:val="center"/>
          </w:tcPr>
          <w:p w14:paraId="249875D6">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36F98C23">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shd w:val="clear" w:color="auto" w:fill="auto"/>
            <w:vAlign w:val="center"/>
          </w:tcPr>
          <w:p w14:paraId="4DC48EF6">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highlight w:val="none"/>
              </w:rPr>
            </w:pPr>
            <w:r>
              <w:rPr>
                <w:rFonts w:hint="eastAsia" w:ascii="宋体" w:hAnsi="宋体" w:cs="宋体"/>
                <w:sz w:val="21"/>
                <w:szCs w:val="21"/>
                <w:highlight w:val="none"/>
              </w:rPr>
              <w:t>供货方案</w:t>
            </w:r>
          </w:p>
          <w:p w14:paraId="476ECA11">
            <w:pPr>
              <w:pStyle w:val="2"/>
              <w:keepNext w:val="0"/>
              <w:keepLines w:val="0"/>
              <w:suppressLineNumbers w:val="0"/>
              <w:adjustRightInd w:val="0"/>
              <w:snapToGrid w:val="0"/>
              <w:spacing w:before="0" w:beforeLines="0" w:beforeAutospacing="0" w:afterLines="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sz w:val="21"/>
                <w:szCs w:val="21"/>
                <w:highlight w:val="none"/>
              </w:rPr>
              <w:t>（满分</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lang w:val="en-US" w:eastAsia="zh-CN"/>
              </w:rPr>
              <w:t>8</w:t>
            </w:r>
            <w:r>
              <w:rPr>
                <w:rFonts w:hint="eastAsia" w:ascii="宋体" w:hAnsi="宋体" w:cs="宋体"/>
                <w:sz w:val="21"/>
                <w:szCs w:val="21"/>
                <w:highlight w:val="none"/>
                <w:u w:val="single"/>
              </w:rPr>
              <w:t xml:space="preserve"> </w:t>
            </w:r>
            <w:r>
              <w:rPr>
                <w:rFonts w:hint="eastAsia" w:ascii="宋体" w:hAnsi="宋体" w:cs="宋体"/>
                <w:sz w:val="21"/>
                <w:szCs w:val="21"/>
                <w:highlight w:val="none"/>
              </w:rPr>
              <w:t>分）</w:t>
            </w:r>
          </w:p>
        </w:tc>
        <w:tc>
          <w:tcPr>
            <w:tcW w:w="3041" w:type="pct"/>
            <w:shd w:val="clear" w:color="auto" w:fill="auto"/>
            <w:vAlign w:val="center"/>
          </w:tcPr>
          <w:p w14:paraId="0C475E43">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Lines="0" w:afterAutospacing="0"/>
              <w:ind w:left="0" w:leftChars="0" w:right="0" w:rightChars="0" w:firstLine="420" w:firstLineChars="200"/>
              <w:jc w:val="left"/>
              <w:textAlignment w:val="auto"/>
              <w:rPr>
                <w:rFonts w:hint="eastAsia"/>
                <w:color w:val="auto"/>
                <w:highlight w:val="none"/>
                <w:lang w:val="en-US" w:eastAsia="zh-CN"/>
              </w:rPr>
            </w:pPr>
            <w:r>
              <w:rPr>
                <w:rFonts w:hint="eastAsia" w:ascii="宋体" w:hAnsi="宋体" w:cs="宋体"/>
                <w:sz w:val="21"/>
                <w:szCs w:val="21"/>
                <w:highlight w:val="none"/>
                <w:lang w:val="en-US" w:eastAsia="zh-CN" w:bidi="ar"/>
              </w:rPr>
              <w:t>供货方案合理,对项目关键技术主要施工艺有深入的表述,对重点、难点问题有合理化建议解决方案完整、经济、安全、切实可行,措施得力，评委综合评分，优秀的得8-6分；一般的得5-3分，较差得基础分2分，未提供不得分。</w:t>
            </w:r>
            <w:r>
              <w:rPr>
                <w:rFonts w:hint="eastAsia" w:ascii="宋体" w:hAnsi="宋体" w:cs="宋体"/>
                <w:sz w:val="21"/>
                <w:szCs w:val="21"/>
                <w:highlight w:val="none"/>
                <w:lang w:bidi="ar"/>
              </w:rPr>
              <w:t xml:space="preserve">  </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5" w:type="pct"/>
            <w:vMerge w:val="continue"/>
            <w:vAlign w:val="center"/>
          </w:tcPr>
          <w:p w14:paraId="1728D70F">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2CE56D02">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shd w:val="clear" w:color="auto" w:fill="auto"/>
            <w:vAlign w:val="center"/>
          </w:tcPr>
          <w:p w14:paraId="366D214D">
            <w:pPr>
              <w:pStyle w:val="20"/>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sz w:val="21"/>
                <w:szCs w:val="21"/>
                <w:highlight w:val="none"/>
                <w:lang w:eastAsia="zh-CN"/>
              </w:rPr>
            </w:pPr>
            <w:r>
              <w:rPr>
                <w:rFonts w:hint="eastAsia" w:ascii="宋体" w:hAnsi="宋体" w:cs="宋体"/>
                <w:sz w:val="21"/>
                <w:szCs w:val="21"/>
                <w:highlight w:val="none"/>
                <w:lang w:eastAsia="zh-CN"/>
              </w:rPr>
              <w:t>售后服务方案</w:t>
            </w:r>
          </w:p>
          <w:p w14:paraId="6E9C61E1">
            <w:pPr>
              <w:pStyle w:val="20"/>
              <w:keepNext w:val="0"/>
              <w:keepLines w:val="0"/>
              <w:suppressLineNumbers w:val="0"/>
              <w:spacing w:before="0" w:beforeLines="0" w:beforeAutospacing="0" w:afterLines="0" w:afterAutospacing="0"/>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满分</w:t>
            </w:r>
            <w:r>
              <w:rPr>
                <w:rFonts w:hint="eastAsia" w:ascii="宋体" w:hAnsi="宋体" w:cs="宋体"/>
                <w:sz w:val="21"/>
                <w:szCs w:val="21"/>
                <w:highlight w:val="none"/>
                <w:u w:val="single"/>
                <w:lang w:val="en-US" w:eastAsia="zh-CN"/>
              </w:rPr>
              <w:t xml:space="preserve"> 8 </w:t>
            </w:r>
            <w:r>
              <w:rPr>
                <w:rFonts w:hint="eastAsia" w:ascii="宋体" w:hAnsi="宋体" w:cs="宋体"/>
                <w:sz w:val="21"/>
                <w:szCs w:val="21"/>
                <w:highlight w:val="none"/>
                <w:lang w:val="en-US" w:eastAsia="zh-CN"/>
              </w:rPr>
              <w:t>分</w:t>
            </w:r>
            <w:r>
              <w:rPr>
                <w:rFonts w:hint="eastAsia" w:ascii="宋体" w:hAnsi="宋体" w:cs="宋体"/>
                <w:sz w:val="21"/>
                <w:szCs w:val="21"/>
                <w:highlight w:val="none"/>
                <w:lang w:eastAsia="zh-CN"/>
              </w:rPr>
              <w:t>）</w:t>
            </w:r>
          </w:p>
        </w:tc>
        <w:tc>
          <w:tcPr>
            <w:tcW w:w="3041" w:type="pct"/>
            <w:shd w:val="clear" w:color="auto" w:fill="auto"/>
            <w:vAlign w:val="center"/>
          </w:tcPr>
          <w:p w14:paraId="3686DE7B">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sz w:val="21"/>
                <w:szCs w:val="24"/>
                <w:highlight w:val="none"/>
                <w:lang w:val="en-US" w:eastAsia="zh-CN"/>
              </w:rPr>
              <w:t>根据响应人售后服务方案及增值服务进行综合评审。评委综合评分，</w:t>
            </w:r>
            <w:r>
              <w:rPr>
                <w:rFonts w:hint="eastAsia" w:ascii="宋体" w:hAnsi="宋体" w:cs="宋体"/>
                <w:sz w:val="21"/>
                <w:szCs w:val="21"/>
                <w:highlight w:val="none"/>
                <w:lang w:val="en-US" w:eastAsia="zh-CN" w:bidi="ar"/>
              </w:rPr>
              <w:t>优秀的得8-6分；一般的得5-3分，较差得基础分2分，未提供不得分。</w:t>
            </w:r>
          </w:p>
        </w:tc>
      </w:tr>
    </w:tbl>
    <w:p w14:paraId="6E53FB34">
      <w:pPr>
        <w:pStyle w:val="38"/>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auto"/>
          <w:szCs w:val="28"/>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C627878">
      <w:pPr>
        <w:jc w:val="left"/>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1. </w:t>
      </w:r>
      <w:r>
        <w:rPr>
          <w:rFonts w:hint="eastAsia" w:ascii="Times New Roman" w:hAnsi="Times New Roman" w:eastAsia="黑体"/>
          <w:color w:val="auto"/>
          <w:sz w:val="24"/>
          <w:szCs w:val="32"/>
          <w:highlight w:val="none"/>
        </w:rPr>
        <w:t>评审方法</w:t>
      </w:r>
    </w:p>
    <w:p w14:paraId="4274C6E3">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lang w:val="en-US" w:eastAsia="zh-CN"/>
        </w:rPr>
        <w:t>1.1</w:t>
      </w:r>
      <w:r>
        <w:rPr>
          <w:rFonts w:hint="eastAsia" w:ascii="Times New Roman" w:hAnsi="Times New Roman"/>
          <w:color w:val="auto"/>
          <w:sz w:val="21"/>
          <w:szCs w:val="24"/>
          <w:highlight w:val="none"/>
        </w:rPr>
        <w:t>本次评审采用技术评分最低价法。评审委员会对通过初步评审的</w:t>
      </w:r>
      <w:r>
        <w:rPr>
          <w:rFonts w:hint="eastAsia" w:ascii="Times New Roman" w:hAnsi="Times New Roman"/>
          <w:color w:val="auto"/>
          <w:sz w:val="21"/>
          <w:szCs w:val="24"/>
          <w:highlight w:val="none"/>
          <w:lang w:val="en-US" w:eastAsia="zh-CN"/>
        </w:rPr>
        <w:t>响应</w:t>
      </w:r>
      <w:r>
        <w:rPr>
          <w:rFonts w:hint="eastAsia" w:ascii="Times New Roman" w:hAnsi="Times New Roman"/>
          <w:color w:val="auto"/>
          <w:sz w:val="21"/>
          <w:szCs w:val="24"/>
          <w:highlight w:val="none"/>
        </w:rPr>
        <w:t>人的商务及技术文件进行评分，按得分由高到低排序确定前N名。对排名前N名的</w:t>
      </w:r>
      <w:r>
        <w:rPr>
          <w:rFonts w:hint="eastAsia" w:ascii="Times New Roman" w:hAnsi="Times New Roman"/>
          <w:color w:val="auto"/>
          <w:sz w:val="21"/>
          <w:szCs w:val="24"/>
          <w:highlight w:val="none"/>
          <w:lang w:val="en-US" w:eastAsia="zh-CN"/>
        </w:rPr>
        <w:t>响应</w:t>
      </w:r>
      <w:r>
        <w:rPr>
          <w:rFonts w:hint="eastAsia" w:ascii="Times New Roman" w:hAnsi="Times New Roman"/>
          <w:color w:val="auto"/>
          <w:sz w:val="21"/>
          <w:szCs w:val="24"/>
          <w:highlight w:val="none"/>
        </w:rPr>
        <w:t>人的报价文件进行评审，按照评标价由低到高的顺序推荐3名</w:t>
      </w:r>
      <w:r>
        <w:rPr>
          <w:rFonts w:hint="eastAsia" w:ascii="Times New Roman" w:hAnsi="Times New Roman"/>
          <w:color w:val="auto"/>
          <w:sz w:val="21"/>
          <w:szCs w:val="24"/>
          <w:highlight w:val="none"/>
          <w:lang w:val="en-US" w:eastAsia="zh-CN"/>
        </w:rPr>
        <w:t>成交</w:t>
      </w:r>
      <w:r>
        <w:rPr>
          <w:rFonts w:hint="eastAsia" w:ascii="Times New Roman" w:hAnsi="Times New Roman"/>
          <w:color w:val="auto"/>
          <w:sz w:val="21"/>
          <w:szCs w:val="24"/>
          <w:highlight w:val="none"/>
        </w:rPr>
        <w:t>候选人。</w:t>
      </w:r>
    </w:p>
    <w:p w14:paraId="21C01D69">
      <w:pPr>
        <w:spacing w:line="440" w:lineRule="exact"/>
        <w:ind w:firstLine="420"/>
        <w:rPr>
          <w:rFonts w:hint="eastAsia" w:ascii="Times New Roman" w:hAnsi="Times New Roman" w:eastAsiaTheme="minorEastAsia"/>
          <w:color w:val="auto"/>
          <w:sz w:val="21"/>
          <w:szCs w:val="24"/>
          <w:highlight w:val="yellow"/>
          <w:lang w:eastAsia="zh-CN"/>
        </w:rPr>
      </w:pPr>
      <w:r>
        <w:rPr>
          <w:rFonts w:hint="eastAsia" w:ascii="Times New Roman" w:hAnsi="Times New Roman" w:eastAsiaTheme="minorEastAsia"/>
          <w:color w:val="auto"/>
          <w:sz w:val="21"/>
          <w:szCs w:val="24"/>
          <w:highlight w:val="yellow"/>
          <w:lang w:eastAsia="zh-CN"/>
        </w:rPr>
        <w:t>1.2若参与本项目询比且通过形式评审、响应性评审与资格评审的供应商只有3家，则3家无需进行商务技术文件评审，直接开启第二信封报价文件，按照评标价由低到高的顺序推荐3名</w:t>
      </w:r>
      <w:r>
        <w:rPr>
          <w:rFonts w:hint="eastAsia" w:ascii="Times New Roman" w:hAnsi="Times New Roman"/>
          <w:color w:val="auto"/>
          <w:sz w:val="21"/>
          <w:szCs w:val="24"/>
          <w:highlight w:val="yellow"/>
          <w:lang w:val="en-US" w:eastAsia="zh-CN"/>
        </w:rPr>
        <w:t>成交</w:t>
      </w:r>
      <w:r>
        <w:rPr>
          <w:rFonts w:hint="eastAsia" w:ascii="Times New Roman" w:hAnsi="Times New Roman" w:eastAsiaTheme="minorEastAsia"/>
          <w:color w:val="auto"/>
          <w:sz w:val="21"/>
          <w:szCs w:val="24"/>
          <w:highlight w:val="yellow"/>
          <w:lang w:eastAsia="zh-CN"/>
        </w:rPr>
        <w:t>候选人。</w:t>
      </w:r>
    </w:p>
    <w:p w14:paraId="251CEB30">
      <w:pPr>
        <w:spacing w:line="440" w:lineRule="exact"/>
        <w:ind w:firstLine="420"/>
        <w:rPr>
          <w:rFonts w:hint="eastAsia" w:ascii="Times New Roman" w:hAnsi="Times New Roman" w:eastAsiaTheme="minorEastAsia"/>
          <w:b/>
          <w:bCs/>
          <w:color w:val="auto"/>
          <w:sz w:val="21"/>
          <w:szCs w:val="24"/>
          <w:highlight w:val="yellow"/>
          <w:lang w:val="en-US" w:eastAsia="zh-CN"/>
        </w:rPr>
      </w:pPr>
      <w:r>
        <w:rPr>
          <w:rFonts w:hint="eastAsia" w:ascii="Times New Roman" w:hAnsi="Times New Roman"/>
          <w:b/>
          <w:bCs/>
          <w:color w:val="auto"/>
          <w:sz w:val="21"/>
          <w:szCs w:val="24"/>
          <w:highlight w:val="yellow"/>
          <w:lang w:val="en-US" w:eastAsia="zh-CN"/>
        </w:rPr>
        <w:t>1.3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294BE65D">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 </w:t>
      </w:r>
      <w:r>
        <w:rPr>
          <w:rFonts w:hint="eastAsia" w:ascii="Times New Roman" w:hAnsi="Times New Roman" w:eastAsia="黑体"/>
          <w:color w:val="auto"/>
          <w:sz w:val="24"/>
          <w:szCs w:val="32"/>
          <w:highlight w:val="none"/>
        </w:rPr>
        <w:t>评审标准</w:t>
      </w:r>
    </w:p>
    <w:p w14:paraId="4417430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2.1 </w:t>
      </w:r>
      <w:r>
        <w:rPr>
          <w:rFonts w:hint="eastAsia" w:ascii="Times New Roman" w:hAnsi="Times New Roman" w:eastAsia="黑体"/>
          <w:color w:val="auto"/>
          <w:sz w:val="24"/>
          <w:szCs w:val="32"/>
          <w:highlight w:val="none"/>
        </w:rPr>
        <w:t>初步评审标准</w:t>
      </w:r>
    </w:p>
    <w:p w14:paraId="1C952C4E">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2.1.1 </w:t>
      </w:r>
      <w:r>
        <w:rPr>
          <w:rFonts w:hint="eastAsia" w:ascii="Times New Roman" w:hAnsi="Times New Roman"/>
          <w:color w:val="auto"/>
          <w:sz w:val="21"/>
          <w:szCs w:val="24"/>
          <w:highlight w:val="none"/>
        </w:rPr>
        <w:t>形式评审标准：见评审办法前附表。</w:t>
      </w:r>
    </w:p>
    <w:p w14:paraId="26E4FF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2.1.2 </w:t>
      </w:r>
      <w:r>
        <w:rPr>
          <w:rFonts w:hint="eastAsia" w:ascii="Times New Roman" w:hAnsi="Times New Roman"/>
          <w:color w:val="auto"/>
          <w:sz w:val="21"/>
          <w:szCs w:val="24"/>
          <w:highlight w:val="none"/>
        </w:rPr>
        <w:t>资格评审标准：见评审办法前附表。</w:t>
      </w:r>
    </w:p>
    <w:p w14:paraId="4B8844F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2.1.3 </w:t>
      </w:r>
      <w:r>
        <w:rPr>
          <w:rFonts w:hint="eastAsia" w:ascii="Times New Roman" w:hAnsi="Times New Roman"/>
          <w:color w:val="auto"/>
          <w:sz w:val="21"/>
          <w:szCs w:val="24"/>
          <w:highlight w:val="none"/>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2.2 </w:t>
      </w:r>
      <w:r>
        <w:rPr>
          <w:rFonts w:hint="eastAsia" w:ascii="Times New Roman" w:hAnsi="Times New Roman" w:eastAsia="黑体"/>
          <w:color w:val="auto"/>
          <w:sz w:val="24"/>
          <w:szCs w:val="32"/>
          <w:highlight w:val="none"/>
        </w:rPr>
        <w:t>分值构成与评审标准</w:t>
      </w:r>
    </w:p>
    <w:p w14:paraId="2FFCF1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2.2.1</w:t>
      </w:r>
      <w:r>
        <w:rPr>
          <w:rFonts w:hint="eastAsia" w:ascii="Times New Roman" w:hAnsi="Times New Roman"/>
          <w:color w:val="auto"/>
          <w:sz w:val="21"/>
          <w:szCs w:val="24"/>
          <w:highlight w:val="none"/>
        </w:rPr>
        <w:t>分值构成：</w:t>
      </w:r>
    </w:p>
    <w:p w14:paraId="7945925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（1）业绩：见评审办法前附表；</w:t>
      </w:r>
    </w:p>
    <w:p w14:paraId="152FFD3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（2）供货方案：见评审办法前附表；</w:t>
      </w:r>
    </w:p>
    <w:p w14:paraId="7B34FA40">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（3）评审价：见评审办法前附表。</w:t>
      </w:r>
    </w:p>
    <w:p w14:paraId="3AE5AA9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2.2.2 </w:t>
      </w:r>
      <w:r>
        <w:rPr>
          <w:rFonts w:hint="eastAsia" w:ascii="Times New Roman" w:hAnsi="Times New Roman"/>
          <w:color w:val="auto"/>
          <w:sz w:val="21"/>
          <w:szCs w:val="24"/>
          <w:highlight w:val="none"/>
        </w:rPr>
        <w:t>评分标准：</w:t>
      </w:r>
    </w:p>
    <w:p w14:paraId="1D5428E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（1）业绩评分标准：见评审办法前附表；</w:t>
      </w:r>
    </w:p>
    <w:p w14:paraId="10CC277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 </w:t>
      </w:r>
      <w:r>
        <w:rPr>
          <w:rFonts w:hint="eastAsia" w:ascii="Times New Roman" w:hAnsi="Times New Roman" w:eastAsia="黑体"/>
          <w:color w:val="auto"/>
          <w:sz w:val="24"/>
          <w:szCs w:val="32"/>
          <w:highlight w:val="none"/>
        </w:rPr>
        <w:t>评审程序</w:t>
      </w:r>
    </w:p>
    <w:p w14:paraId="2F8BD502">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3.1 </w:t>
      </w:r>
      <w:r>
        <w:rPr>
          <w:rFonts w:hint="eastAsia" w:ascii="Times New Roman" w:hAnsi="Times New Roman" w:eastAsia="黑体"/>
          <w:color w:val="auto"/>
          <w:sz w:val="24"/>
          <w:szCs w:val="32"/>
          <w:highlight w:val="none"/>
        </w:rPr>
        <w:t>初步评审</w:t>
      </w:r>
    </w:p>
    <w:p w14:paraId="7847808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3.1.1</w:t>
      </w:r>
      <w:r>
        <w:rPr>
          <w:rFonts w:hint="eastAsia" w:ascii="Times New Roman" w:hAnsi="Times New Roman"/>
          <w:color w:val="auto"/>
          <w:sz w:val="21"/>
          <w:szCs w:val="24"/>
          <w:highlight w:val="none"/>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4 修正后的最终报价若超过最高限价（如有），评审小组应否决其报价。</w:t>
      </w:r>
    </w:p>
    <w:p w14:paraId="32CC1B59">
      <w:pPr>
        <w:spacing w:line="440" w:lineRule="exact"/>
        <w:ind w:firstLine="420"/>
        <w:rPr>
          <w:rFonts w:hint="default"/>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5</w:t>
      </w:r>
      <w:r>
        <w:rPr>
          <w:rFonts w:hint="default" w:ascii="Times New Roman" w:hAnsi="Times New Roman" w:eastAsia="Times New Roman"/>
          <w:color w:val="auto"/>
          <w:sz w:val="21"/>
          <w:szCs w:val="24"/>
          <w:highlight w:val="none"/>
        </w:rPr>
        <w:t xml:space="preserve"> </w:t>
      </w:r>
      <w:r>
        <w:rPr>
          <w:rFonts w:hint="eastAsia" w:ascii="Times New Roman" w:hAnsi="Times New Roman"/>
          <w:color w:val="auto"/>
          <w:sz w:val="21"/>
          <w:szCs w:val="21"/>
          <w:highlight w:val="none"/>
        </w:rPr>
        <w:t>修正后的</w:t>
      </w:r>
      <w:r>
        <w:rPr>
          <w:rFonts w:hint="eastAsia" w:ascii="Times New Roman" w:hAnsi="Times New Roman"/>
          <w:color w:val="auto"/>
          <w:sz w:val="21"/>
          <w:szCs w:val="24"/>
          <w:highlight w:val="none"/>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4"/>
          <w:szCs w:val="32"/>
          <w:highlight w:val="none"/>
        </w:rPr>
        <w:t xml:space="preserve">3.2 </w:t>
      </w:r>
      <w:r>
        <w:rPr>
          <w:rFonts w:hint="eastAsia" w:ascii="Times New Roman" w:hAnsi="Times New Roman" w:eastAsia="黑体"/>
          <w:color w:val="auto"/>
          <w:sz w:val="24"/>
          <w:szCs w:val="32"/>
          <w:highlight w:val="none"/>
        </w:rPr>
        <w:t>详细评审</w:t>
      </w:r>
    </w:p>
    <w:p w14:paraId="02549B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3.2.1 </w:t>
      </w:r>
      <w:r>
        <w:rPr>
          <w:rFonts w:hint="eastAsia" w:ascii="Times New Roman" w:hAnsi="Times New Roman"/>
          <w:color w:val="auto"/>
          <w:sz w:val="21"/>
          <w:szCs w:val="24"/>
          <w:highlight w:val="none"/>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3.2.2 </w:t>
      </w:r>
      <w:r>
        <w:rPr>
          <w:rFonts w:hint="eastAsia" w:ascii="Times New Roman" w:hAnsi="Times New Roman"/>
          <w:color w:val="auto"/>
          <w:sz w:val="21"/>
          <w:szCs w:val="24"/>
          <w:highlight w:val="none"/>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3.3 </w:t>
      </w:r>
      <w:r>
        <w:rPr>
          <w:rFonts w:hint="eastAsia" w:ascii="Times New Roman" w:hAnsi="Times New Roman" w:eastAsia="黑体"/>
          <w:color w:val="auto"/>
          <w:sz w:val="24"/>
          <w:szCs w:val="32"/>
          <w:highlight w:val="none"/>
        </w:rPr>
        <w:t>否决响应文件的其他情形</w:t>
      </w:r>
    </w:p>
    <w:p w14:paraId="68153C5D">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3.4 </w:t>
      </w:r>
      <w:r>
        <w:rPr>
          <w:rFonts w:hint="eastAsia" w:ascii="Times New Roman" w:hAnsi="Times New Roman" w:eastAsia="黑体"/>
          <w:color w:val="auto"/>
          <w:sz w:val="24"/>
          <w:szCs w:val="32"/>
          <w:highlight w:val="none"/>
        </w:rPr>
        <w:t>响应文件的澄清</w:t>
      </w:r>
    </w:p>
    <w:p w14:paraId="283ECFE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3.4.1 </w:t>
      </w:r>
      <w:r>
        <w:rPr>
          <w:rFonts w:hint="eastAsia" w:ascii="Times New Roman" w:hAnsi="Times New Roman"/>
          <w:color w:val="auto"/>
          <w:sz w:val="21"/>
          <w:szCs w:val="24"/>
          <w:highlight w:val="none"/>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highlight w:val="none"/>
        </w:rPr>
      </w:pPr>
      <w:r>
        <w:rPr>
          <w:rFonts w:hint="default" w:ascii="Times New Roman" w:hAnsi="Times New Roman" w:eastAsia="Times New Roman"/>
          <w:color w:val="auto"/>
          <w:sz w:val="21"/>
          <w:szCs w:val="24"/>
          <w:highlight w:val="none"/>
        </w:rPr>
        <w:t xml:space="preserve">3.4.2 </w:t>
      </w:r>
      <w:r>
        <w:rPr>
          <w:rFonts w:hint="eastAsia" w:ascii="Times New Roman" w:hAnsi="Times New Roman"/>
          <w:color w:val="auto"/>
          <w:sz w:val="21"/>
          <w:szCs w:val="24"/>
          <w:highlight w:val="none"/>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3.</w:t>
      </w:r>
      <w:r>
        <w:rPr>
          <w:rFonts w:hint="eastAsia" w:ascii="Times New Roman" w:hAnsi="Times New Roman" w:eastAsia="黑体"/>
          <w:color w:val="auto"/>
          <w:sz w:val="24"/>
          <w:szCs w:val="32"/>
          <w:highlight w:val="none"/>
        </w:rPr>
        <w:t>5</w:t>
      </w:r>
      <w:r>
        <w:rPr>
          <w:rFonts w:hint="default" w:ascii="Times New Roman" w:hAnsi="Times New Roman" w:eastAsia="Times New Roman"/>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1C481DD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3A8539E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3CC1F14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51F01AA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7833215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3713D256">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、评审办法（技术评分最低价法）</w:t>
      </w:r>
    </w:p>
    <w:p w14:paraId="5FF698C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3BB10D46">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、详细评审情况（供应商的技术评分情况）</w:t>
      </w:r>
    </w:p>
    <w:p w14:paraId="241F35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2236F15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0A7E2BA8">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w:t>（五）</w:t>
      </w:r>
      <w:r>
        <w:rPr>
          <w:rFonts w:hint="eastAsia" w:ascii="Times New Roman" w:hAnsi="Times New Roman"/>
          <w:color w:val="auto"/>
          <w:sz w:val="21"/>
          <w:szCs w:val="24"/>
          <w:highlight w:val="none"/>
          <w:lang w:val="en-US" w:eastAsia="zh-CN"/>
        </w:rPr>
        <w:t>评审结果</w:t>
      </w:r>
    </w:p>
    <w:p w14:paraId="4B7EB3A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（六）推荐成交候选人</w:t>
      </w:r>
    </w:p>
    <w:p w14:paraId="7AC20A5C">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七</w:t>
      </w:r>
      <w:r>
        <w:rPr>
          <w:rFonts w:hint="eastAsia" w:ascii="Times New Roman" w:hAnsi="Times New Roman"/>
          <w:color w:val="auto"/>
          <w:sz w:val="21"/>
          <w:szCs w:val="24"/>
          <w:highlight w:val="none"/>
        </w:rPr>
        <w:t>）评审附表</w:t>
      </w:r>
    </w:p>
    <w:p w14:paraId="387E1AED">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mc:AlternateContent>
          <mc:Choice Requires="wps">
            <w:drawing>
              <wp:anchor distT="0" distB="0" distL="114300" distR="114300" simplePos="0" relativeHeight="251661312"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0"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462.4pt;height:37.5pt;width:496.85pt;z-index:251661312;mso-width-relative:page;mso-height-relative:page;" fillcolor="#FFFFFF [3201]"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KlkdhVVAgAAnwQAAA4AAABkcnMvZTJvRG9jLnhtbK1UzW4T&#10;MRC+I/EOlu90k5C2JOqmCqmCkCpaqSDOjtebteQ/bCe75QHgDXriwp3n6nPw2Zu0oXDogRyc8cz4&#10;m5lvZvbsvNOKbIUP0pqSDo8GlAjDbSXNuqSfPi5fvaEkRGYqpqwRJb0VgZ7PXr44a91UjGxjVSU8&#10;AYgJ09aVtInRTYsi8EZoFo6sEwbG2nrNIq5+XVSetUDXqhgNBidFa33lvOUiBGgveiPdIfrnANq6&#10;llxcWL7RwsQe1QvFIkoKjXSBznK2dS14vKrrICJRJUWlMZ8IAnmVzmJ2xqZrz1wj+S4F9pwUntSk&#10;mTQI+gB1wSIjGy//gtKSextsHY+41UVfSGYEVQwHT7i5aZgTuRZQHdwD6eH/wfIP22tPZIVJACWG&#10;aXT8/u77/Y9f9z+/EehAUOvCFH43Dp6xe2s7OO/1AcpUd1d7nf5REYEdWLcP9IouEg7lyevBZDI5&#10;poTDNj49GR1n+OLxtfMhvhNWkySU1KN9mVW2vQwRmcB175KCBatktZRK5YtfrxbKky1Dq5f5l5LE&#10;kz/clCFtSgWx0ytj0/veT5mkEXlqdvFS6X2JSYrdqtvxsbLVLejwtp+o4PhSIudLFuI18xghMIAl&#10;i1c4amUR0u4kShrrv/5Ln/zRWVgpaTGSJQ1fNswLStR7g55PhuMxYGO+jI9PR7j4Q8vq0GI2emFB&#10;xRDr7HgWk39Ue7H2Vn/GLs5TVJiY4Yhd0rgXF7FfFOwyF/N5dsLUOhYvzY3jCbqncL6Jtpa5QYmm&#10;nhtQny6Y29yE3Y6lxTi8Z6/H7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rgPaXWAAAACwEA&#10;AA8AAAAAAAAAAQAgAAAAIgAAAGRycy9kb3ducmV2LnhtbFBLAQIUABQAAAAIAIdO4kCpZHYVVQIA&#10;AJ8EAAAOAAAAAAAAAAEAIAAAACUBAABkcnMvZTJvRG9jLnhtbFBLBQYAAAAABgAGAFkBAADsBQAA&#10;AAA=&#10;">
                <v:fill on="t" focussize="0,0"/>
                <v:stroke on="f" weight="0.5pt"/>
                <v:imagedata o:title=""/>
                <o:lock v:ext="edit" aspectratio="f"/>
                <v:textbo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v:textbox>
              </v:shape>
            </w:pict>
          </mc:Fallback>
        </mc:AlternateContent>
      </w:r>
      <w:r>
        <w:rPr>
          <w:rFonts w:hint="eastAsia" w:ascii="Times New Roman" w:hAnsi="Times New Roman"/>
          <w:color w:val="auto"/>
          <w:sz w:val="21"/>
          <w:szCs w:val="24"/>
          <w:highlight w:val="none"/>
          <w:lang w:val="en-US" w:eastAsia="zh-CN"/>
        </w:rPr>
        <w:t>1、响应登记表</w:t>
      </w:r>
    </w:p>
    <w:p w14:paraId="63F664B4">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2、评审人员抽取记录表</w:t>
      </w:r>
    </w:p>
    <w:p w14:paraId="392DB6E0">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3、唱标记录表</w:t>
      </w:r>
    </w:p>
    <w:p w14:paraId="312A5215">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4、评审专家签到表</w:t>
      </w:r>
    </w:p>
    <w:p w14:paraId="01A026F2">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5、形式、资格、响应性评审标准表</w:t>
      </w:r>
    </w:p>
    <w:p w14:paraId="20E7F13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6、商务及技术详细评审得分表</w:t>
      </w:r>
    </w:p>
    <w:p w14:paraId="66A0520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7、个人的评审表</w:t>
      </w:r>
    </w:p>
    <w:p w14:paraId="64633347">
      <w:pPr>
        <w:spacing w:line="440" w:lineRule="exact"/>
        <w:ind w:firstLine="420"/>
        <w:rPr>
          <w:rFonts w:hint="eastAsia" w:ascii="Times New Roman" w:hAnsi="Times New Roman"/>
          <w:color w:val="auto"/>
          <w:sz w:val="21"/>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color w:val="auto"/>
          <w:sz w:val="21"/>
          <w:szCs w:val="24"/>
          <w:highlight w:val="none"/>
          <w:lang w:val="en-US" w:eastAsia="zh-CN"/>
        </w:rPr>
        <w:t>8、评审结果汇总表</w:t>
      </w:r>
    </w:p>
    <w:p w14:paraId="7F9EE705">
      <w:pPr>
        <w:pStyle w:val="5"/>
        <w:numPr>
          <w:ilvl w:val="0"/>
          <w:numId w:val="0"/>
        </w:numPr>
        <w:spacing w:before="312" w:after="312"/>
        <w:ind w:leftChars="0"/>
        <w:jc w:val="center"/>
        <w:rPr>
          <w:rFonts w:ascii="Times New Roman" w:hAnsi="Times New Roman" w:eastAsia="宋体" w:cs="Times New Roman"/>
          <w:color w:val="auto"/>
          <w:highlight w:val="none"/>
        </w:rPr>
      </w:pPr>
      <w:bookmarkStart w:id="63" w:name="_Toc21136"/>
      <w:r>
        <w:rPr>
          <w:rFonts w:hint="eastAsia" w:ascii="Times New Roman" w:hAnsi="Times New Roman" w:eastAsia="宋体" w:cs="Times New Roman"/>
          <w:color w:val="auto"/>
          <w:highlight w:val="none"/>
          <w:lang w:val="en-US" w:eastAsia="zh-CN"/>
        </w:rPr>
        <w:t xml:space="preserve">第四章 </w:t>
      </w:r>
      <w:r>
        <w:rPr>
          <w:rFonts w:ascii="Times New Roman" w:hAnsi="Times New Roman" w:eastAsia="宋体" w:cs="Times New Roman"/>
          <w:color w:val="auto"/>
          <w:highlight w:val="none"/>
        </w:rPr>
        <w:t>合同内容</w:t>
      </w:r>
      <w:bookmarkEnd w:id="63"/>
    </w:p>
    <w:p w14:paraId="1558D023">
      <w:pPr>
        <w:rPr>
          <w:color w:val="auto"/>
          <w:highlight w:val="none"/>
        </w:rPr>
      </w:pPr>
    </w:p>
    <w:p w14:paraId="37368B5D">
      <w:pPr>
        <w:pStyle w:val="34"/>
        <w:rPr>
          <w:rFonts w:hint="eastAsia" w:ascii="Times New Roman" w:hAnsi="Times New Roman" w:eastAsia="宋体" w:cs="Times New Roman"/>
          <w:color w:val="auto"/>
          <w:highlight w:val="none"/>
        </w:rPr>
      </w:pPr>
    </w:p>
    <w:p w14:paraId="0E6FDAD6">
      <w:pPr>
        <w:pStyle w:val="34"/>
        <w:rPr>
          <w:rFonts w:hint="eastAsia" w:ascii="Times New Roman" w:hAnsi="Times New Roman" w:eastAsia="宋体" w:cs="Times New Roman"/>
          <w:color w:val="auto"/>
          <w:highlight w:val="none"/>
        </w:rPr>
      </w:pPr>
    </w:p>
    <w:p w14:paraId="58CDC6FF">
      <w:pPr>
        <w:pStyle w:val="34"/>
        <w:rPr>
          <w:rFonts w:hint="eastAsia" w:ascii="Times New Roman" w:hAnsi="Times New Roman" w:eastAsia="宋体" w:cs="Times New Roman"/>
          <w:color w:val="auto"/>
          <w:highlight w:val="none"/>
        </w:rPr>
      </w:pPr>
    </w:p>
    <w:p w14:paraId="4C8D3807">
      <w:pPr>
        <w:rPr>
          <w:rFonts w:hint="eastAsia" w:ascii="方正小标宋简体" w:hAnsi="方正小标宋简体" w:eastAsia="方正小标宋简体" w:cs="方正小标宋简体"/>
          <w:bCs/>
          <w:color w:val="auto"/>
          <w:sz w:val="44"/>
          <w:szCs w:val="44"/>
          <w:highlight w:val="none"/>
          <w:lang w:eastAsia="zh-CN"/>
        </w:rPr>
        <w:sectPr>
          <w:headerReference r:id="rId11" w:type="default"/>
          <w:footerReference r:id="rId12" w:type="default"/>
          <w:pgSz w:w="11906" w:h="16838"/>
          <w:pgMar w:top="1440" w:right="1797" w:bottom="1440" w:left="1797" w:header="851" w:footer="992" w:gutter="0"/>
          <w:pgNumType w:fmt="decimal"/>
          <w:cols w:space="425" w:num="1"/>
          <w:docGrid w:type="lines" w:linePitch="312" w:charSpace="0"/>
        </w:sectPr>
      </w:pPr>
      <w:r>
        <w:rPr>
          <w:rFonts w:hint="eastAsia" w:ascii="方正小标宋简体" w:hAnsi="方正小标宋简体" w:eastAsia="方正小标宋简体" w:cs="方正小标宋简体"/>
          <w:bCs/>
          <w:color w:val="auto"/>
          <w:sz w:val="44"/>
          <w:szCs w:val="44"/>
          <w:highlight w:val="none"/>
          <w:lang w:eastAsia="zh-CN"/>
        </w:rPr>
        <w:br w:type="page"/>
      </w:r>
    </w:p>
    <w:p w14:paraId="15625C68">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0"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lang w:val="en-US" w:eastAsia="zh-CN"/>
        </w:rPr>
        <w:t>采购</w:t>
      </w:r>
      <w:r>
        <w:rPr>
          <w:rFonts w:hint="eastAsia" w:ascii="方正小标宋简体" w:hAnsi="方正小标宋简体" w:eastAsia="方正小标宋简体" w:cs="方正小标宋简体"/>
          <w:bCs/>
          <w:color w:val="auto"/>
          <w:sz w:val="44"/>
          <w:szCs w:val="44"/>
          <w:highlight w:val="none"/>
          <w:lang w:eastAsia="zh-CN"/>
        </w:rPr>
        <w:t>合同</w:t>
      </w:r>
    </w:p>
    <w:permEnd w:id="0"/>
    <w:p w14:paraId="20D8AE44">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2FB50F7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1"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rPr>
        <w:t>（以</w:t>
      </w:r>
      <w:permEnd w:id="1"/>
      <w:r>
        <w:rPr>
          <w:rFonts w:hint="eastAsia" w:ascii="仿宋_GB2312" w:hAnsi="仿宋_GB2312" w:eastAsia="仿宋_GB2312" w:cs="仿宋_GB2312"/>
          <w:color w:val="auto"/>
          <w:sz w:val="28"/>
          <w:szCs w:val="28"/>
          <w:highlight w:val="none"/>
        </w:rPr>
        <w:t>下简称甲方）</w:t>
      </w:r>
    </w:p>
    <w:p w14:paraId="452991A8">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permStart w:id="2" w:edGrp="everyone"/>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 xml:space="preserve">（以下简称乙方） </w:t>
      </w:r>
      <w:permEnd w:id="2"/>
      <w:r>
        <w:rPr>
          <w:rFonts w:hint="eastAsia" w:ascii="仿宋_GB2312" w:hAnsi="仿宋_GB2312" w:eastAsia="仿宋_GB2312" w:cs="仿宋_GB2312"/>
          <w:color w:val="auto"/>
          <w:sz w:val="28"/>
          <w:szCs w:val="28"/>
          <w:highlight w:val="none"/>
        </w:rPr>
        <w:t xml:space="preserve"> </w:t>
      </w:r>
    </w:p>
    <w:p w14:paraId="72114221">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w:t>
      </w:r>
      <w:permStart w:id="3" w:edGrp="everyone"/>
      <w:r>
        <w:rPr>
          <w:rFonts w:hint="eastAsia" w:ascii="仿宋_GB2312" w:hAnsi="仿宋_GB2312" w:eastAsia="仿宋_GB2312" w:cs="仿宋_GB2312"/>
          <w:color w:val="auto"/>
          <w:sz w:val="28"/>
          <w:szCs w:val="28"/>
          <w:highlight w:val="none"/>
          <w:lang w:val="en-US" w:eastAsia="zh-CN"/>
        </w:rPr>
        <w:t>现就甲方向乙方购买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18FD6CB5">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5942F8A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t>1.本合同暂定总价为（含增值税）</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t>元（大写：人民币</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t>元）。其中，不含增值税价款为</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t>元（大写：人民币</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t>元），增值税税率为</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t>%，增值税</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t>元（大写：人民币</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t>元）。若因国家税务政策变化导致税率调整，不含增值税价格不变，具体税金以变更后的税率计算。</w:t>
      </w:r>
    </w:p>
    <w:permEnd w:id="3"/>
    <w:p w14:paraId="405BB578">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产品为固定综合单价，已经包含税费、材料费（含辅材）、运输费、材料装卸车费、人员成本、各项实验检验费、验收费以及与货物有关的特殊要求等可能产生的所有成本和费用。在合同执行期内，产品单价不因市场波动、政策调整、人工涨跌等原因做任何形式的调整。本合同所列产品数量为暂估数量，最终以签收数量（乙方无条件补货与退货，并承担相应的运输、装卸货等费用）和固定综合单价进行结算。</w:t>
      </w:r>
    </w:p>
    <w:p w14:paraId="6C6AEBB5">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184E683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w:t>
      </w:r>
    </w:p>
    <w:p w14:paraId="69018ABE">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运输费用和装卸费用均包含在合同价款内，由乙方承担。货物在验收合格并交付给甲方前的毁损、灭失，损失由乙方全额承担。</w:t>
      </w:r>
    </w:p>
    <w:p w14:paraId="2682D4B3">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3.交货时间：乙方须在接到甲方通知后，按甲方通知时间完成供货。通知方式包括但不限于电话、短信、邮件、传真、微信，</w:t>
      </w:r>
      <w:permStart w:id="4" w:edGrp="everyone"/>
      <w:r>
        <w:rPr>
          <w:rFonts w:hint="eastAsia" w:ascii="仿宋_GB2312" w:hAnsi="仿宋_GB2312" w:eastAsia="仿宋_GB2312" w:cs="仿宋_GB2312"/>
          <w:color w:val="auto"/>
          <w:kern w:val="2"/>
          <w:sz w:val="28"/>
          <w:szCs w:val="28"/>
          <w:highlight w:val="none"/>
          <w:lang w:val="en-US" w:eastAsia="zh-CN" w:bidi="ar-SA"/>
        </w:rPr>
        <w:t>乙方确</w:t>
      </w:r>
    </w:p>
    <w:p w14:paraId="73312609">
      <w:pPr>
        <w:keepNext w:val="0"/>
        <w:keepLines w:val="0"/>
        <w:pageBreakBefore w:val="0"/>
        <w:kinsoku/>
        <w:overflowPunct/>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认其有效联系人姓名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w:t>
      </w:r>
      <w:permEnd w:id="4"/>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3B532124">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4.在运输过程中发生车辆人员毁损、伤亡等安全事故或发生对周围环境、水流、道路、树木、作物等损害事故时，由乙方承担各种赔偿费用，并由乙方与承运人、承保人办理理赔事宜。</w:t>
      </w:r>
    </w:p>
    <w:p w14:paraId="54CFABA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5.乙方应在物资装车/船前24小时之内短信、微信等形式将合同号、物资名称、数量、运输工具名称、车/船号及启运日期通知甲方现场联系人。</w:t>
      </w:r>
    </w:p>
    <w:p w14:paraId="616B634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验收</w:t>
      </w:r>
    </w:p>
    <w:p w14:paraId="638303C7">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后，需将货物卸至甲方指定地点，并经甲方签收确认。甲方指定</w:t>
      </w:r>
      <w:permStart w:id="5"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permEnd w:id="5"/>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50F473B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01A23D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3FFFE56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4.如品</w:t>
      </w:r>
      <w:r>
        <w:rPr>
          <w:rFonts w:hint="eastAsia" w:ascii="仿宋_GB2312" w:hAnsi="仿宋_GB2312" w:eastAsia="仿宋_GB2312" w:cs="仿宋_GB2312"/>
          <w:b w:val="0"/>
          <w:bCs w:val="0"/>
          <w:color w:val="auto"/>
          <w:sz w:val="28"/>
          <w:szCs w:val="28"/>
          <w:highlight w:val="none"/>
        </w:rPr>
        <w:t>种、型号、规格、数量不符合规定和合同约定的，甲方在验收完毕后的</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日内向乙方提出异议和处理意见。对货物质量的异议不受时间限制，随时发现可以随时提出异议。乙方在收到甲方异议后，应在</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日内负责处理；如果乙方逾期不予处理或收到异议通知后置之不理的，视为同意甲方提出的异议和处理意见，甲方有权将收到的货物自行处理，因此发生的费用和损失由乙方承担。</w:t>
      </w:r>
    </w:p>
    <w:p w14:paraId="1E6CAEC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乙方所供的产品，必须符合该项目的检测要求并提供相关的检测资料，检测费用由乙方承担。</w:t>
      </w:r>
    </w:p>
    <w:p w14:paraId="7DA7049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6.</w:t>
      </w:r>
      <w:r>
        <w:rPr>
          <w:rFonts w:hint="eastAsia" w:ascii="仿宋_GB2312" w:hAnsi="仿宋_GB2312" w:eastAsia="仿宋_GB2312" w:cs="仿宋_GB2312"/>
          <w:b w:val="0"/>
          <w:bCs w:val="0"/>
          <w:color w:val="auto"/>
          <w:sz w:val="28"/>
          <w:szCs w:val="28"/>
          <w:highlight w:val="none"/>
        </w:rPr>
        <w:t>甲方有权对初步验收合格后的产品采取抽检、取样等方式交检验机构检验，任何被检验的货物如不能满足质量技术和规格要求，甲方有权要求对该批货品按照</w:t>
      </w:r>
      <w:r>
        <w:rPr>
          <w:rFonts w:hint="eastAsia" w:ascii="仿宋_GB2312" w:hAnsi="仿宋_GB2312" w:eastAsia="仿宋_GB2312" w:cs="仿宋_GB2312"/>
          <w:b w:val="0"/>
          <w:bCs w:val="0"/>
          <w:color w:val="auto"/>
          <w:sz w:val="28"/>
          <w:szCs w:val="28"/>
          <w:highlight w:val="none"/>
          <w:lang w:val="en-US" w:eastAsia="zh-CN"/>
        </w:rPr>
        <w:t>乙方违约</w:t>
      </w:r>
      <w:r>
        <w:rPr>
          <w:rFonts w:hint="eastAsia" w:ascii="仿宋_GB2312" w:hAnsi="仿宋_GB2312" w:eastAsia="仿宋_GB2312" w:cs="仿宋_GB2312"/>
          <w:b w:val="0"/>
          <w:bCs w:val="0"/>
          <w:color w:val="auto"/>
          <w:sz w:val="28"/>
          <w:szCs w:val="28"/>
          <w:highlight w:val="none"/>
        </w:rPr>
        <w:t>进行处理，因此产生的费用和给甲方造成的损失均由乙方承担。</w:t>
      </w:r>
    </w:p>
    <w:p w14:paraId="3D4801B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7.</w:t>
      </w:r>
      <w:r>
        <w:rPr>
          <w:rFonts w:hint="eastAsia" w:ascii="仿宋_GB2312" w:hAnsi="仿宋_GB2312" w:eastAsia="仿宋_GB2312" w:cs="仿宋_GB2312"/>
          <w:b w:val="0"/>
          <w:bCs w:val="0"/>
          <w:color w:val="auto"/>
          <w:sz w:val="28"/>
          <w:szCs w:val="28"/>
          <w:highlight w:val="none"/>
        </w:rPr>
        <w:t>验收如发生争议，可交由项目所在地具</w:t>
      </w:r>
      <w:r>
        <w:rPr>
          <w:rFonts w:hint="eastAsia" w:ascii="仿宋_GB2312" w:hAnsi="仿宋_GB2312" w:eastAsia="仿宋_GB2312" w:cs="仿宋_GB2312"/>
          <w:b w:val="0"/>
          <w:bCs w:val="0"/>
          <w:color w:val="auto"/>
          <w:sz w:val="28"/>
          <w:szCs w:val="28"/>
          <w:highlight w:val="none"/>
          <w:lang w:val="en-US" w:eastAsia="zh-CN"/>
        </w:rPr>
        <w:t>有</w:t>
      </w:r>
      <w:r>
        <w:rPr>
          <w:rFonts w:hint="eastAsia" w:ascii="仿宋_GB2312" w:hAnsi="仿宋_GB2312" w:eastAsia="仿宋_GB2312" w:cs="仿宋_GB2312"/>
          <w:b w:val="0"/>
          <w:bCs w:val="0"/>
          <w:color w:val="auto"/>
          <w:sz w:val="28"/>
          <w:szCs w:val="28"/>
          <w:highlight w:val="none"/>
        </w:rPr>
        <w:t>国家认证的相应检测资质的检验机构对产品进行复检。检测费用约定：乙方</w:t>
      </w:r>
      <w:r>
        <w:rPr>
          <w:rFonts w:hint="eastAsia" w:ascii="仿宋_GB2312" w:hAnsi="仿宋_GB2312" w:eastAsia="仿宋_GB2312" w:cs="仿宋_GB2312"/>
          <w:b w:val="0"/>
          <w:bCs w:val="0"/>
          <w:color w:val="auto"/>
          <w:sz w:val="28"/>
          <w:szCs w:val="28"/>
          <w:highlight w:val="none"/>
          <w:lang w:val="en-US" w:eastAsia="zh-CN"/>
        </w:rPr>
        <w:t>承诺</w:t>
      </w:r>
      <w:r>
        <w:rPr>
          <w:rFonts w:hint="eastAsia" w:ascii="仿宋_GB2312" w:hAnsi="仿宋_GB2312" w:eastAsia="仿宋_GB2312" w:cs="仿宋_GB2312"/>
          <w:b w:val="0"/>
          <w:bCs w:val="0"/>
          <w:color w:val="auto"/>
          <w:sz w:val="28"/>
          <w:szCs w:val="28"/>
          <w:highlight w:val="none"/>
        </w:rPr>
        <w:t>委外检测费用由乙方</w:t>
      </w:r>
      <w:r>
        <w:rPr>
          <w:rFonts w:hint="eastAsia" w:ascii="仿宋_GB2312" w:hAnsi="仿宋_GB2312" w:eastAsia="仿宋_GB2312" w:cs="仿宋_GB2312"/>
          <w:b w:val="0"/>
          <w:bCs w:val="0"/>
          <w:color w:val="auto"/>
          <w:sz w:val="28"/>
          <w:szCs w:val="28"/>
          <w:highlight w:val="none"/>
          <w:lang w:val="en-US" w:eastAsia="zh-CN"/>
        </w:rPr>
        <w:t>先行</w:t>
      </w:r>
      <w:r>
        <w:rPr>
          <w:rFonts w:hint="eastAsia" w:ascii="仿宋_GB2312" w:hAnsi="仿宋_GB2312" w:eastAsia="仿宋_GB2312" w:cs="仿宋_GB2312"/>
          <w:b w:val="0"/>
          <w:bCs w:val="0"/>
          <w:color w:val="auto"/>
          <w:sz w:val="28"/>
          <w:szCs w:val="28"/>
          <w:highlight w:val="none"/>
        </w:rPr>
        <w:t>承担，检测结果</w:t>
      </w:r>
      <w:r>
        <w:rPr>
          <w:rFonts w:hint="eastAsia" w:ascii="仿宋_GB2312" w:hAnsi="仿宋_GB2312" w:eastAsia="仿宋_GB2312" w:cs="仿宋_GB2312"/>
          <w:b w:val="0"/>
          <w:bCs w:val="0"/>
          <w:color w:val="auto"/>
          <w:sz w:val="28"/>
          <w:szCs w:val="28"/>
          <w:highlight w:val="none"/>
          <w:lang w:val="en-US" w:eastAsia="zh-CN"/>
        </w:rPr>
        <w:t>出来后</w:t>
      </w:r>
      <w:r>
        <w:rPr>
          <w:rFonts w:hint="eastAsia" w:ascii="仿宋_GB2312" w:hAnsi="仿宋_GB2312" w:eastAsia="仿宋_GB2312" w:cs="仿宋_GB2312"/>
          <w:b w:val="0"/>
          <w:bCs w:val="0"/>
          <w:color w:val="auto"/>
          <w:sz w:val="28"/>
          <w:szCs w:val="28"/>
          <w:highlight w:val="none"/>
        </w:rPr>
        <w:t>，检测费用由</w:t>
      </w:r>
      <w:r>
        <w:rPr>
          <w:rFonts w:hint="eastAsia" w:ascii="仿宋_GB2312" w:hAnsi="仿宋_GB2312" w:eastAsia="仿宋_GB2312" w:cs="仿宋_GB2312"/>
          <w:b w:val="0"/>
          <w:bCs w:val="0"/>
          <w:color w:val="auto"/>
          <w:sz w:val="28"/>
          <w:szCs w:val="28"/>
          <w:highlight w:val="none"/>
          <w:lang w:val="en-US" w:eastAsia="zh-CN"/>
        </w:rPr>
        <w:t>责任方</w:t>
      </w:r>
      <w:r>
        <w:rPr>
          <w:rFonts w:hint="eastAsia" w:ascii="仿宋_GB2312" w:hAnsi="仿宋_GB2312" w:eastAsia="仿宋_GB2312" w:cs="仿宋_GB2312"/>
          <w:b w:val="0"/>
          <w:bCs w:val="0"/>
          <w:color w:val="auto"/>
          <w:sz w:val="28"/>
          <w:szCs w:val="28"/>
          <w:highlight w:val="none"/>
        </w:rPr>
        <w:t>承担。</w:t>
      </w:r>
    </w:p>
    <w:p w14:paraId="5B4322D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8.</w:t>
      </w:r>
      <w:r>
        <w:rPr>
          <w:rFonts w:hint="eastAsia" w:ascii="仿宋_GB2312" w:hAnsi="仿宋_GB2312" w:eastAsia="仿宋_GB2312" w:cs="仿宋_GB2312"/>
          <w:b w:val="0"/>
          <w:bCs w:val="0"/>
          <w:color w:val="auto"/>
          <w:sz w:val="28"/>
          <w:szCs w:val="28"/>
          <w:highlight w:val="none"/>
        </w:rPr>
        <w:t xml:space="preserve">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货物的验收，并不视为免除乙方对产品质量和技术应负的责任。 </w:t>
      </w:r>
    </w:p>
    <w:p w14:paraId="3E7152A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w:t>
      </w:r>
    </w:p>
    <w:p w14:paraId="5FE692BC">
      <w:pPr>
        <w:keepNext w:val="0"/>
        <w:keepLines w:val="0"/>
        <w:pageBreakBefore w:val="0"/>
        <w:kinsoku/>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1.乙方加工的240×115×53（MU10水泥砖）</w:t>
      </w:r>
      <w:r>
        <w:rPr>
          <w:rFonts w:hint="eastAsia" w:ascii="仿宋_GB2312" w:hAnsi="仿宋_GB2312" w:eastAsia="仿宋_GB2312" w:cs="仿宋_GB2312"/>
          <w:color w:val="auto"/>
          <w:kern w:val="2"/>
          <w:sz w:val="28"/>
          <w:szCs w:val="28"/>
          <w:highlight w:val="none"/>
          <w:lang w:val="zh-CN" w:eastAsia="zh-CN" w:bidi="ar-SA"/>
        </w:rPr>
        <w:t>及使用的原材料应符合JC/T 422-2007《非烧结垃圾尾矿砖》及GB/T 4111-2013《混凝土砌块和砖试验方法》标准及其所引用的相关技术标准要求，并保证所提供的材料具备符合要求的安全认证和质量合格认证。高于国家标准的特殊要求，甲乙双方另行协商决定。</w:t>
      </w:r>
    </w:p>
    <w:p w14:paraId="7848DFE3">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2.标准尺寸为 240mm（长）×115mm（宽）×53mm（高），允许偏差：长度 ±2.5mm，宽度 ±2.0mm，高度 ±1.5mm。砖体抗压强度平均值 ≥10.0MPa，单块最小值 ≥8.0MPa，养护龄期不低于28天（需提供同期养护试块报告）。</w:t>
      </w:r>
    </w:p>
    <w:p w14:paraId="0315F136">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3.</w:t>
      </w:r>
      <w:r>
        <w:rPr>
          <w:rFonts w:hint="eastAsia" w:ascii="仿宋_GB2312" w:hAnsi="仿宋_GB2312" w:eastAsia="仿宋_GB2312" w:cs="仿宋_GB2312"/>
          <w:color w:val="auto"/>
          <w:kern w:val="2"/>
          <w:sz w:val="28"/>
          <w:szCs w:val="28"/>
          <w:highlight w:val="none"/>
          <w:lang w:val="zh-CN" w:eastAsia="zh-CN" w:bidi="ar-SA"/>
        </w:rPr>
        <w:t>本合同的缺陷责任期为</w:t>
      </w:r>
      <w:r>
        <w:rPr>
          <w:rFonts w:hint="eastAsia" w:ascii="仿宋_GB2312" w:hAnsi="仿宋_GB2312" w:eastAsia="仿宋_GB2312" w:cs="仿宋_GB2312"/>
          <w:color w:val="auto"/>
          <w:kern w:val="2"/>
          <w:sz w:val="28"/>
          <w:szCs w:val="28"/>
          <w:highlight w:val="none"/>
          <w:lang w:val="en-US" w:eastAsia="zh-CN" w:bidi="ar-SA"/>
        </w:rPr>
        <w:t>竣工</w:t>
      </w:r>
      <w:r>
        <w:rPr>
          <w:rFonts w:hint="eastAsia" w:ascii="仿宋_GB2312" w:hAnsi="仿宋_GB2312" w:eastAsia="仿宋_GB2312" w:cs="仿宋_GB2312"/>
          <w:color w:val="auto"/>
          <w:kern w:val="2"/>
          <w:sz w:val="28"/>
          <w:szCs w:val="28"/>
          <w:highlight w:val="none"/>
          <w:lang w:val="zh-CN" w:eastAsia="zh-CN" w:bidi="ar-SA"/>
        </w:rPr>
        <w:t>验收通过后 2 年，质量保证期（以下简称质保期）</w:t>
      </w:r>
      <w:r>
        <w:rPr>
          <w:rFonts w:hint="eastAsia" w:ascii="仿宋_GB2312" w:hAnsi="仿宋_GB2312" w:eastAsia="仿宋_GB2312" w:cs="仿宋_GB2312"/>
          <w:color w:val="auto"/>
          <w:kern w:val="2"/>
          <w:sz w:val="28"/>
          <w:szCs w:val="28"/>
          <w:highlight w:val="none"/>
          <w:lang w:val="en-US" w:eastAsia="zh-CN" w:bidi="ar-SA"/>
        </w:rPr>
        <w:t>按国家现行规范约定执行</w:t>
      </w:r>
      <w:r>
        <w:rPr>
          <w:rFonts w:hint="eastAsia" w:ascii="仿宋_GB2312" w:hAnsi="仿宋_GB2312" w:eastAsia="仿宋_GB2312" w:cs="仿宋_GB2312"/>
          <w:color w:val="auto"/>
          <w:kern w:val="2"/>
          <w:sz w:val="28"/>
          <w:szCs w:val="28"/>
          <w:highlight w:val="none"/>
          <w:lang w:val="zh-CN" w:eastAsia="zh-CN" w:bidi="ar-SA"/>
        </w:rPr>
        <w:t>，若乙方在响应文件中承诺质保期更长的。质保期从其承诺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2B8948DE">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4.</w:t>
      </w:r>
      <w:r>
        <w:rPr>
          <w:rFonts w:hint="eastAsia" w:ascii="仿宋_GB2312" w:hAnsi="仿宋_GB2312" w:eastAsia="仿宋_GB2312" w:cs="仿宋_GB2312"/>
          <w:color w:val="auto"/>
          <w:kern w:val="2"/>
          <w:sz w:val="28"/>
          <w:szCs w:val="28"/>
          <w:highlight w:val="none"/>
          <w:lang w:val="zh-CN" w:eastAsia="zh-CN" w:bidi="ar-SA"/>
        </w:rPr>
        <w:t>乙方必须提供合同标的中所有产品的合格证、产品说明书、检测报告、第三方检测报告（如有）、随机附件、工具（如有），货到现场后交给现场的收货人员。</w:t>
      </w:r>
    </w:p>
    <w:p w14:paraId="1561DE0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第五条  结算方式及期限</w:t>
      </w:r>
    </w:p>
    <w:p w14:paraId="777CFE05">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1.货到工地经甲方指定签收人验收合格并签收，按月支付经验收合格的货物价款的70%；</w:t>
      </w:r>
    </w:p>
    <w:p w14:paraId="2B63B47F">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2.材料全部供货到现场经甲方指定验收人验收合格并办理完成结算手续后，甲方向乙方支付至结算价的97%。</w:t>
      </w:r>
    </w:p>
    <w:p w14:paraId="3DA0D71F">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3.剩余3%作为质保金，在缺陷责任期后无质量问题一次性无息支付。</w:t>
      </w:r>
    </w:p>
    <w:p w14:paraId="7B12B51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供货后15日内将所送货物的送货单(需为经甲方指定签收人签字确认的有效送货单)汇总后向甲方提交书面对账清单，并由甲方根据实际情况进行确认；最终结算乙方需派专业造价人员编制终期结算单，经甲方确认后方可作为价款结算和付款依据，除此之外任何证明、收条、欠条、信函等文件，都不得作为结算、支付依据。若因乙方迟延提交对账清单，因此造成的损失由乙方自行承担。</w:t>
      </w:r>
    </w:p>
    <w:p w14:paraId="49545C9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5.乙方应当向甲方提供符合甲方财务要求的国家税务局13%增值税专用发票，发票需要做到“三流一致”，也即“货物、劳务及应税服务流”、“资金流”、“发票流”必须都是同一受票方。</w:t>
      </w:r>
    </w:p>
    <w:p w14:paraId="6F6F0B9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6.双方特别约定：遵循“先开票、后付款”的原则，甲方付款前，乙方应按双方确认的应付金额向甲方提供增值税专用发票，并于发票开具后</w:t>
      </w:r>
      <w:permStart w:id="6" w:edGrp="everyone"/>
      <w:r>
        <w:rPr>
          <w:rFonts w:hint="eastAsia" w:ascii="仿宋_GB2312" w:hAnsi="仿宋_GB2312" w:eastAsia="仿宋_GB2312" w:cs="仿宋_GB2312"/>
          <w:color w:val="auto"/>
          <w:sz w:val="28"/>
          <w:szCs w:val="28"/>
          <w:highlight w:val="none"/>
          <w:u w:val="single"/>
          <w:lang w:val="en-US" w:eastAsia="zh-CN"/>
        </w:rPr>
        <w:t xml:space="preserve">  7  </w:t>
      </w:r>
      <w:permEnd w:id="6"/>
      <w:r>
        <w:rPr>
          <w:rFonts w:hint="eastAsia" w:ascii="仿宋_GB2312" w:hAnsi="仿宋_GB2312" w:eastAsia="仿宋_GB2312" w:cs="仿宋_GB2312"/>
          <w:color w:val="auto"/>
          <w:sz w:val="28"/>
          <w:szCs w:val="28"/>
          <w:highlight w:val="none"/>
          <w:lang w:val="en-US" w:eastAsia="zh-CN"/>
        </w:rPr>
        <w:t>日内提交给甲方。甲方收到乙方发票后，按合同约定向乙方付款，否则甲方有权迟延付款。</w:t>
      </w:r>
    </w:p>
    <w:p w14:paraId="6722DAB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7.如甲方出现资金困难，乙方同意给予</w:t>
      </w:r>
      <w:permStart w:id="7" w:edGrp="everyone"/>
      <w:r>
        <w:rPr>
          <w:rFonts w:hint="eastAsia" w:ascii="仿宋_GB2312" w:hAnsi="仿宋_GB2312" w:eastAsia="仿宋_GB2312" w:cs="仿宋_GB2312"/>
          <w:color w:val="auto"/>
          <w:sz w:val="28"/>
          <w:szCs w:val="28"/>
          <w:highlight w:val="none"/>
          <w:u w:val="single"/>
          <w:lang w:val="en-US" w:eastAsia="zh-CN"/>
        </w:rPr>
        <w:t xml:space="preserve">  1  </w:t>
      </w:r>
      <w:permEnd w:id="7"/>
      <w:r>
        <w:rPr>
          <w:rFonts w:hint="eastAsia" w:ascii="仿宋_GB2312" w:hAnsi="仿宋_GB2312" w:eastAsia="仿宋_GB2312" w:cs="仿宋_GB2312"/>
          <w:color w:val="auto"/>
          <w:sz w:val="28"/>
          <w:szCs w:val="28"/>
          <w:highlight w:val="none"/>
          <w:lang w:val="en-US" w:eastAsia="zh-CN"/>
        </w:rPr>
        <w:t>个月的付款宽限期，</w:t>
      </w:r>
      <w:bookmarkStart w:id="64" w:name="_Hlk23929813"/>
      <w:r>
        <w:rPr>
          <w:rFonts w:hint="eastAsia" w:ascii="仿宋_GB2312" w:hAnsi="仿宋_GB2312" w:eastAsia="仿宋_GB2312" w:cs="仿宋_GB2312"/>
          <w:color w:val="auto"/>
          <w:sz w:val="28"/>
          <w:szCs w:val="28"/>
          <w:highlight w:val="none"/>
          <w:lang w:val="en-US" w:eastAsia="zh-CN"/>
        </w:rPr>
        <w:t>在此宽限期间内不视为甲方违约且不计息，</w:t>
      </w:r>
      <w:bookmarkEnd w:id="64"/>
      <w:r>
        <w:rPr>
          <w:rFonts w:hint="eastAsia" w:ascii="仿宋_GB2312" w:hAnsi="仿宋_GB2312" w:eastAsia="仿宋_GB2312" w:cs="仿宋_GB2312"/>
          <w:color w:val="auto"/>
          <w:sz w:val="28"/>
          <w:szCs w:val="28"/>
          <w:highlight w:val="none"/>
          <w:lang w:val="en-US" w:eastAsia="zh-CN"/>
        </w:rPr>
        <w:t>乙方不得以此为由中断本项目的货物供应和安装。</w:t>
      </w:r>
    </w:p>
    <w:p w14:paraId="179972F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7045AE2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所交货物种类、型号、规格、花色、包装等不符合同规定的，如甲方同意使用，应按质论价；甲方不同意使用的，乙方应立即无条件的将不合格材料清理出施工现场，所产生的一切费用和由此造成的一切损失由乙方承担。</w:t>
      </w:r>
    </w:p>
    <w:p w14:paraId="56834E6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2.乙方不能随车提供质保书等其他单证的，甲方有权拒绝收货，乙方应承担退货等责任和费用，并向甲方支付未提供单证的货款金额的10%的违约金，并承担由此给甲方造成的全部损失。</w:t>
      </w:r>
    </w:p>
    <w:p w14:paraId="66CC4C2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应按约定时间交付符合本合同约定的货物，若逾期履行，每逾期一日，乙方应按照逾期交货金额的20%向甲方支付逾期交货违约金；如逾期超过7日，则甲方有权解除合同或将乙方未完成的合同内容直接委托第三方继续履行，由第三方履行增加的费用，甲方将直接从乙方材料款中扣除。甲方解除合同的，乙方除应将已收款项返还甲方外，还应按合同总价款的10%向甲方支付违约金。</w:t>
      </w:r>
    </w:p>
    <w:p w14:paraId="6E5AEE3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所供产品质量、型号等须符合国家质量标准和本合同的要求，否则，甲方可以要求乙方重新补发符合质量标准的货物，乙方还应承担不能按约交货的违约责任。甲方要求解除合同的，乙方除应将已收款项返还甲方外，还应按合同总价款的10%向甲方支付违约金，违约金不足以赔偿损失的，乙方还应做相应赔偿。如果最终用户或第三方根据国内产品责任条款就货物问题向甲方进行索赔，乙方有义务赔偿甲方所面临的全部索赔及费用（包括但不限于各项费用、损失赔偿以及甲方为应诉而支出的律师费、诉讼费等）。</w:t>
      </w:r>
    </w:p>
    <w:p w14:paraId="513674E1">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5.乙方不得擅自停止供货，否则甲方有权重新选择其它供应商，同时乙方承担本合同第一条中含增值税总价30%的违约金，并赔偿给甲方造成的一切损失。</w:t>
      </w:r>
    </w:p>
    <w:p w14:paraId="0EB15E01">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6.乙方应按合同约定及时向甲方提供增值税专用发票，逾期提供的，每逾期一天，乙方应向甲方支付违约金</w:t>
      </w:r>
      <w:permStart w:id="8" w:edGrp="everyone"/>
      <w:r>
        <w:rPr>
          <w:rFonts w:hint="eastAsia" w:ascii="仿宋_GB2312" w:hAnsi="仿宋_GB2312" w:eastAsia="仿宋_GB2312" w:cs="仿宋_GB2312"/>
          <w:color w:val="auto"/>
          <w:sz w:val="28"/>
          <w:szCs w:val="28"/>
          <w:highlight w:val="none"/>
          <w:u w:val="single"/>
          <w:lang w:val="en-US" w:eastAsia="zh-CN"/>
        </w:rPr>
        <w:t xml:space="preserve">  1000  </w:t>
      </w:r>
      <w:permEnd w:id="8"/>
      <w:r>
        <w:rPr>
          <w:rFonts w:hint="eastAsia" w:ascii="仿宋_GB2312" w:hAnsi="仿宋_GB2312" w:eastAsia="仿宋_GB2312" w:cs="仿宋_GB2312"/>
          <w:color w:val="auto"/>
          <w:sz w:val="28"/>
          <w:szCs w:val="28"/>
          <w:highlight w:val="none"/>
          <w:lang w:val="en-US" w:eastAsia="zh-CN"/>
        </w:rPr>
        <w:t>元。因乙方开具的增值税专用发票造成甲方无法及时认证、抵扣税款等情形的，乙方需向甲方承担赔偿责任包括但不限于税款、滞纳金、罚款及相关损失等。</w:t>
      </w:r>
    </w:p>
    <w:p w14:paraId="07CE65B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7.为了保障物资供应，甲方有权向任意第三方采购本合同约定的货物，乙方对此明知且认可，乙方不得以此要求甲方承担任何违约责任。</w:t>
      </w:r>
    </w:p>
    <w:p w14:paraId="247C3B2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8.乙方违反本合同义务，致使甲方通过法律途径向乙方主张权利的，乙方除应承担相应赔偿及费用外，还应承担甲方为此而支出的律师费、诉讼费等。</w:t>
      </w:r>
    </w:p>
    <w:p w14:paraId="6BEAABC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9.对于乙方因违反本合同约定需支付的违约金，甲方有权在应付货款中直接予以扣除。</w:t>
      </w:r>
    </w:p>
    <w:p w14:paraId="4A57C36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10.禁止转包分包</w:t>
      </w:r>
    </w:p>
    <w:p w14:paraId="2A00926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鉴于保护合同双方权益及确保工程质量和进度，双方明确以下转包分包相关事项:</w:t>
      </w:r>
    </w:p>
    <w:p w14:paraId="34289E5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（1）乙方不得将本合同项下的任何部分工程转包或分包给任何第三方。如有特殊情况，必须经甲方书面同意。</w:t>
      </w:r>
    </w:p>
    <w:p w14:paraId="63D27C6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（2）若乙方未经甲方同意擅自转包或分包 ,甲方有权立即终止本合同并要求乙方承担由此造成的一切损失。</w:t>
      </w:r>
    </w:p>
    <w:p w14:paraId="56B519F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（3）乙方与任何第三方签订的与本合同相关的协议或承诺书 ,对甲方不具有法律约束力，除非得到甲方的书面确认。</w:t>
      </w:r>
    </w:p>
    <w:p w14:paraId="54D3FA2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（4）甲方有权对乙方的工程实施情况进行监督 ,乙方应配合并提供必要的便利条件。如发现乙方存在违法转包分包行为，甲方有权采取法律手段维护自身权益。</w:t>
      </w:r>
    </w:p>
    <w:p w14:paraId="41D545F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2987E55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6F5C7F1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2.乙方必须服从甲方指定项目部的全面协调管理工作，乙方在装卸中，严格遵守执行安全操作规范、防火规定、工艺规范等规范规定以及质量标准。</w:t>
      </w:r>
    </w:p>
    <w:p w14:paraId="123F743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3C017B0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不合法的情形，也不存在与第三方专利权、著作权、商标权等相关的任何争议，如果有任何因甲方使用乙方提供的货物而提起的侵权指控，或供应假冒伪劣货物，乙方依法承担全部责任。</w:t>
      </w:r>
    </w:p>
    <w:p w14:paraId="3E34817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5.本合同中所涉及的债权，乙方不得转让，也不得用于任何形式的担保。若乙方擅自转让或用于担保的，则该行为无效，乙方应赔偿甲方因此受到的全部损失。</w:t>
      </w:r>
    </w:p>
    <w:p w14:paraId="6EE4696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4ACFB64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在履行合同期间发生纠纷，先由双方协商解决，协商不成，双方约定向甲方所在地人民法院提起诉讼。</w:t>
      </w:r>
    </w:p>
    <w:p w14:paraId="027D3C4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58802647">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686FC4CD">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2.本合同自甲乙双方签字和盖章之日起生效。</w:t>
      </w:r>
    </w:p>
    <w:p w14:paraId="0D7DF1C3">
      <w:pPr>
        <w:pStyle w:val="2"/>
        <w:keepNext w:val="0"/>
        <w:keepLines w:val="0"/>
        <w:pageBreakBefore w:val="0"/>
        <w:widowControl w:val="0"/>
        <w:kinsoku/>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 xml:space="preserve"> 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7743C475">
      <w:pPr>
        <w:rPr>
          <w:rFonts w:hint="eastAsia"/>
          <w:highlight w:val="none"/>
          <w:lang w:val="en-US" w:eastAsia="zh-CN"/>
        </w:rPr>
      </w:pPr>
    </w:p>
    <w:p w14:paraId="0BD59A6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4D6DF4F2">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22075E0F">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65694BDE">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4F9D5852">
      <w:pPr>
        <w:bidi w:val="0"/>
        <w:rPr>
          <w:rFonts w:hint="eastAsia"/>
          <w:highlight w:val="none"/>
          <w:lang w:val="en-US" w:eastAsia="zh-CN"/>
        </w:rPr>
      </w:pPr>
    </w:p>
    <w:p w14:paraId="76849AEB">
      <w:pPr>
        <w:bidi w:val="0"/>
        <w:rPr>
          <w:rFonts w:hint="eastAsia"/>
          <w:highlight w:val="none"/>
          <w:lang w:val="en-US" w:eastAsia="zh-CN"/>
        </w:rPr>
      </w:pPr>
    </w:p>
    <w:p w14:paraId="011E400E">
      <w:pPr>
        <w:bidi w:val="0"/>
        <w:rPr>
          <w:rFonts w:hint="eastAsia"/>
          <w:highlight w:val="none"/>
          <w:lang w:val="en-US" w:eastAsia="zh-CN"/>
        </w:rPr>
      </w:pPr>
    </w:p>
    <w:p w14:paraId="65D99D16">
      <w:pPr>
        <w:bidi w:val="0"/>
        <w:rPr>
          <w:rFonts w:hint="eastAsia"/>
          <w:highlight w:val="none"/>
          <w:lang w:val="en-US" w:eastAsia="zh-CN"/>
        </w:rPr>
      </w:pPr>
    </w:p>
    <w:p w14:paraId="25AF248A">
      <w:pPr>
        <w:bidi w:val="0"/>
        <w:rPr>
          <w:rFonts w:hint="eastAsia"/>
          <w:highlight w:val="none"/>
          <w:lang w:val="en-US" w:eastAsia="zh-CN"/>
        </w:rPr>
      </w:pPr>
    </w:p>
    <w:p w14:paraId="350EB8C5">
      <w:pPr>
        <w:bidi w:val="0"/>
        <w:rPr>
          <w:rFonts w:hint="eastAsia"/>
          <w:highlight w:val="none"/>
          <w:lang w:val="en-US" w:eastAsia="zh-CN"/>
        </w:rPr>
      </w:pPr>
    </w:p>
    <w:p w14:paraId="5B0348C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9"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365927F4">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36824E4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2A8ABEB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59A0E7A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40A6FA88">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2CF11328">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55D8107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7FB6645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445FC03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电子邮箱：                         电子邮箱：</w:t>
      </w:r>
    </w:p>
    <w:p w14:paraId="6A1181B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 w14:paraId="0C91BF55">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2222C991">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lang w:val="en-US" w:eastAsia="zh-CN"/>
        </w:rPr>
        <w:sectPr>
          <w:headerReference r:id="rId15" w:type="first"/>
          <w:footerReference r:id="rId18" w:type="first"/>
          <w:headerReference r:id="rId13" w:type="default"/>
          <w:footerReference r:id="rId16" w:type="default"/>
          <w:headerReference r:id="rId14" w:type="even"/>
          <w:footerReference r:id="rId17"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ermEnd w:id="9"/>
    <w:p w14:paraId="0F52E6C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31CB1F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56660163">
      <w:pPr>
        <w:pStyle w:val="2"/>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434A91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10" w:edGrp="everyone"/>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10"/>
      <w:r>
        <w:rPr>
          <w:rFonts w:hint="eastAsia" w:ascii="仿宋_GB2312" w:hAnsi="仿宋_GB2312" w:eastAsia="仿宋_GB2312" w:cs="仿宋_GB2312"/>
          <w:color w:val="auto"/>
          <w:sz w:val="28"/>
          <w:szCs w:val="28"/>
          <w:highlight w:val="none"/>
          <w:lang w:val="en-US" w:eastAsia="zh-CN"/>
        </w:rPr>
        <w:t>项目名称）的采购人</w:t>
      </w:r>
      <w:permStart w:id="11"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1"/>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2" w:edGrp="everyone"/>
      <w:r>
        <w:rPr>
          <w:rFonts w:hint="eastAsia" w:ascii="仿宋_GB2312" w:hAnsi="仿宋_GB2312" w:eastAsia="仿宋_GB2312" w:cs="仿宋_GB2312"/>
          <w:color w:val="auto"/>
          <w:sz w:val="28"/>
          <w:szCs w:val="28"/>
          <w:highlight w:val="none"/>
          <w:u w:val="single"/>
          <w:lang w:val="en-US" w:eastAsia="zh-CN"/>
        </w:rPr>
        <w:t xml:space="preserve">               </w:t>
      </w:r>
      <w:permEnd w:id="12"/>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7FE59BB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4C39B8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26219C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3"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3"/>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7862672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4FB0027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4E0C217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5FCFD0F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6CE541D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2D88AE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4D76F22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60089F7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4CAA685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599B46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343AC0B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35F8318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1153C98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7AF23A8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6276780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74EC0DF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4D896FB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6F041F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531620D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7B380B5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689A0F5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38BB8DC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7E29E84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234B9C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4" w:edGrp="everyone"/>
      <w:r>
        <w:rPr>
          <w:rFonts w:hint="eastAsia" w:ascii="仿宋_GB2312" w:hAnsi="仿宋_GB2312" w:eastAsia="仿宋_GB2312" w:cs="仿宋_GB2312"/>
          <w:color w:val="auto"/>
          <w:sz w:val="28"/>
          <w:szCs w:val="28"/>
          <w:highlight w:val="none"/>
          <w:u w:val="single"/>
          <w:lang w:val="en-US" w:eastAsia="zh-CN"/>
        </w:rPr>
        <w:t xml:space="preserve">                             </w:t>
      </w:r>
      <w:permEnd w:id="14"/>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39CE799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3A06F4AB">
      <w:pPr>
        <w:pStyle w:val="2"/>
        <w:rPr>
          <w:rFonts w:hint="eastAsia" w:ascii="仿宋_GB2312" w:hAnsi="仿宋_GB2312" w:eastAsia="仿宋_GB2312" w:cs="仿宋_GB2312"/>
          <w:color w:val="auto"/>
          <w:sz w:val="28"/>
          <w:szCs w:val="28"/>
          <w:highlight w:val="none"/>
          <w:lang w:val="en-US" w:eastAsia="zh-CN"/>
        </w:rPr>
      </w:pPr>
    </w:p>
    <w:p w14:paraId="5FCDF473">
      <w:pPr>
        <w:rPr>
          <w:rFonts w:hint="eastAsia"/>
          <w:highlight w:val="none"/>
        </w:rPr>
      </w:pPr>
    </w:p>
    <w:p w14:paraId="6018CFA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432F1DA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rPr>
        <w:t>或</w:t>
      </w:r>
    </w:p>
    <w:p w14:paraId="1EFDA93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4EC94E66">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6103A044">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p>
    <w:p w14:paraId="08205FB7">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
    <w:p w14:paraId="55AA4911">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ermStart w:id="15" w:edGrp="everyone"/>
      <w:permEnd w:id="15"/>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5D61DE67">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084403F9">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1E0AFEE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permStart w:id="16" w:edGrp="everyone"/>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16"/>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的实施过程中创造安全、高效的施工环境，切实搞好本项目的安全管理工作，本项目</w:t>
      </w:r>
      <w:r>
        <w:rPr>
          <w:rFonts w:hint="eastAsia" w:ascii="仿宋_GB2312" w:hAnsi="仿宋_GB2312" w:eastAsia="仿宋_GB2312" w:cs="仿宋_GB2312"/>
          <w:color w:val="auto"/>
          <w:sz w:val="28"/>
          <w:szCs w:val="28"/>
          <w:highlight w:val="none"/>
          <w:lang w:val="en-US" w:eastAsia="zh-CN"/>
        </w:rPr>
        <w:t xml:space="preserve">采购人 </w:t>
      </w:r>
      <w:permStart w:id="17" w:edGrp="everyone"/>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7"/>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8" w:edGrp="everyone"/>
      <w:r>
        <w:rPr>
          <w:rFonts w:hint="eastAsia" w:ascii="仿宋_GB2312" w:hAnsi="仿宋_GB2312" w:eastAsia="仿宋_GB2312" w:cs="仿宋_GB2312"/>
          <w:color w:val="auto"/>
          <w:sz w:val="28"/>
          <w:szCs w:val="28"/>
          <w:highlight w:val="none"/>
          <w:u w:val="single"/>
          <w:lang w:val="en-US" w:eastAsia="zh-CN"/>
        </w:rPr>
        <w:t xml:space="preserve">              </w:t>
      </w:r>
      <w:permEnd w:id="18"/>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41B8429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w:t>
      </w:r>
      <w:r>
        <w:rPr>
          <w:rFonts w:hint="eastAsia" w:ascii="仿宋_GB2312" w:hAnsi="仿宋_GB2312" w:eastAsia="仿宋_GB2312" w:cs="仿宋_GB2312"/>
          <w:color w:val="auto"/>
          <w:sz w:val="28"/>
          <w:szCs w:val="28"/>
          <w:highlight w:val="none"/>
          <w:lang w:val="en-US" w:eastAsia="zh-CN"/>
        </w:rPr>
        <w:t>国</w:t>
      </w:r>
      <w:r>
        <w:rPr>
          <w:rFonts w:hint="eastAsia" w:ascii="仿宋_GB2312" w:hAnsi="仿宋_GB2312" w:eastAsia="仿宋_GB2312" w:cs="仿宋_GB2312"/>
          <w:color w:val="auto"/>
          <w:sz w:val="28"/>
          <w:szCs w:val="28"/>
          <w:highlight w:val="none"/>
        </w:rPr>
        <w:t>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相关安全法律、行政法规和规章，在平等、自愿、公平和诚实信用的原则下，双方就材料供应、运输安全事项协商一致，双方达成如下协议：</w:t>
      </w:r>
    </w:p>
    <w:p w14:paraId="3944E10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77835F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二、甲方负责提供材料堆放场地，乙方负责供应及运输。</w:t>
      </w:r>
    </w:p>
    <w:p w14:paraId="4FE82EE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7DD1C92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3ED54A33">
      <w:pPr>
        <w:pStyle w:val="2"/>
        <w:rPr>
          <w:rFonts w:hint="eastAsia"/>
          <w:highlight w:val="none"/>
        </w:rPr>
      </w:pPr>
    </w:p>
    <w:p w14:paraId="4ED18A4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w:t>
      </w:r>
    </w:p>
    <w:p w14:paraId="56148E0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六、乙方应确保货物在卸载过程中，装卸工有安全防护措施，发现不安全因素，及时处理。在甲方区域，禁止出现无证操作、无证驾驶现象。</w:t>
      </w:r>
    </w:p>
    <w:p w14:paraId="5FF92A9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32AFB5D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19DCEA8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 xml:space="preserve">、争议的解决 </w:t>
      </w:r>
    </w:p>
    <w:p w14:paraId="4D02837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415C444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267A6A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6A02ACD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0764EC4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1F3E872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4A40F429">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3F22C5A6">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ermStart w:id="19" w:edGrp="everyone"/>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3</w:t>
      </w:r>
      <w:r>
        <w:rPr>
          <w:rFonts w:hint="eastAsia" w:ascii="仿宋_GB2312" w:hAnsi="仿宋_GB2312" w:eastAsia="仿宋_GB2312" w:cs="仿宋_GB2312"/>
          <w:b/>
          <w:color w:val="auto"/>
          <w:sz w:val="28"/>
          <w:szCs w:val="28"/>
          <w:highlight w:val="none"/>
        </w:rPr>
        <w:t>：</w:t>
      </w:r>
    </w:p>
    <w:p w14:paraId="19315F8C">
      <w:pPr>
        <w:pStyle w:val="20"/>
        <w:keepNext w:val="0"/>
        <w:keepLines w:val="0"/>
        <w:pageBreakBefore w:val="0"/>
        <w:kinsoku/>
        <w:wordWrap/>
        <w:overflowPunct/>
        <w:topLinePunct w:val="0"/>
        <w:autoSpaceDE/>
        <w:autoSpaceDN/>
        <w:bidi w:val="0"/>
        <w:adjustRightInd/>
        <w:snapToGrid/>
        <w:spacing w:line="560" w:lineRule="exact"/>
        <w:ind w:left="0" w:firstLine="883" w:firstLineChars="200"/>
        <w:jc w:val="center"/>
        <w:rPr>
          <w:rFonts w:hint="eastAsia" w:eastAsiaTheme="minorEastAsia"/>
          <w:color w:val="auto"/>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报价清单</w:t>
      </w:r>
    </w:p>
    <w:p w14:paraId="19F9F721">
      <w:pPr>
        <w:rPr>
          <w:rFonts w:hint="default"/>
          <w:color w:val="auto"/>
          <w:highlight w:val="none"/>
          <w:lang w:val="en-US" w:eastAsia="zh-CN"/>
        </w:rPr>
      </w:pPr>
    </w:p>
    <w:p w14:paraId="4F49578F">
      <w:pPr>
        <w:rPr>
          <w:rFonts w:hint="default"/>
          <w:color w:val="auto"/>
          <w:highlight w:val="none"/>
          <w:lang w:val="en-US" w:eastAsia="zh-CN"/>
        </w:rPr>
      </w:pPr>
    </w:p>
    <w:p w14:paraId="28A569E7">
      <w:pPr>
        <w:rPr>
          <w:rFonts w:hint="default"/>
          <w:color w:val="auto"/>
          <w:highlight w:val="none"/>
          <w:lang w:val="en-US" w:eastAsia="zh-CN"/>
        </w:rPr>
      </w:pPr>
    </w:p>
    <w:p w14:paraId="39F3AD63">
      <w:pPr>
        <w:rPr>
          <w:rFonts w:hint="default"/>
          <w:color w:val="auto"/>
          <w:highlight w:val="none"/>
          <w:lang w:val="en-US" w:eastAsia="zh-CN"/>
        </w:rPr>
      </w:pPr>
    </w:p>
    <w:p w14:paraId="6DFF2EDD">
      <w:pPr>
        <w:rPr>
          <w:rFonts w:hint="default"/>
          <w:color w:val="auto"/>
          <w:highlight w:val="none"/>
          <w:lang w:val="en-US" w:eastAsia="zh-CN"/>
        </w:rPr>
      </w:pPr>
    </w:p>
    <w:permEnd w:id="19"/>
    <w:p w14:paraId="1697D63E">
      <w:pPr>
        <w:pStyle w:val="2"/>
        <w:rPr>
          <w:rFonts w:hint="default"/>
          <w:highlight w:val="none"/>
          <w:lang w:val="en-US" w:eastAsia="zh-CN"/>
        </w:rPr>
      </w:pPr>
    </w:p>
    <w:p w14:paraId="722BE3F8"/>
    <w:p w14:paraId="32014ECB">
      <w:pPr>
        <w:adjustRightInd w:val="0"/>
        <w:snapToGrid w:val="0"/>
        <w:spacing w:line="360" w:lineRule="auto"/>
        <w:ind w:firstLine="560" w:firstLineChars="200"/>
        <w:rPr>
          <w:rFonts w:hint="eastAsia" w:ascii="宋体" w:hAnsi="宋体"/>
          <w:color w:val="auto"/>
          <w:sz w:val="28"/>
          <w:szCs w:val="28"/>
          <w:u w:val="none"/>
          <w:lang w:eastAsia="zh-CN"/>
        </w:rPr>
      </w:pPr>
    </w:p>
    <w:p w14:paraId="1D256B70">
      <w:pPr>
        <w:spacing w:line="560" w:lineRule="exact"/>
        <w:ind w:firstLine="420" w:firstLineChars="200"/>
        <w:rPr>
          <w:color w:val="auto"/>
        </w:rPr>
      </w:pPr>
    </w:p>
    <w:p w14:paraId="68B29704">
      <w:pPr>
        <w:pStyle w:val="19"/>
        <w:ind w:firstLine="210"/>
        <w:rPr>
          <w:color w:val="auto"/>
        </w:rPr>
      </w:pPr>
    </w:p>
    <w:p w14:paraId="26585D94">
      <w:pPr>
        <w:rPr>
          <w:rFonts w:hint="eastAsia" w:eastAsiaTheme="minorEastAsia"/>
          <w:color w:val="auto"/>
          <w:lang w:val="en-US" w:eastAsia="zh-CN"/>
        </w:rPr>
      </w:pPr>
      <w:r>
        <w:rPr>
          <w:rFonts w:hint="eastAsia"/>
          <w:color w:val="auto"/>
        </w:rPr>
        <w:br w:type="page"/>
      </w:r>
    </w:p>
    <w:p w14:paraId="297C38F8">
      <w:pPr>
        <w:pStyle w:val="5"/>
        <w:numPr>
          <w:ilvl w:val="255"/>
          <w:numId w:val="0"/>
        </w:numPr>
        <w:spacing w:before="312" w:after="312"/>
        <w:ind w:left="402"/>
        <w:rPr>
          <w:rFonts w:ascii="Times New Roman" w:hAnsi="Times New Roman" w:eastAsia="宋体" w:cs="Times New Roman"/>
          <w:color w:val="auto"/>
          <w:highlight w:val="none"/>
        </w:rPr>
      </w:pPr>
      <w:bookmarkStart w:id="65" w:name="_Toc16657"/>
      <w:r>
        <w:rPr>
          <w:rFonts w:hint="eastAsia" w:ascii="Times New Roman" w:hAnsi="Times New Roman" w:eastAsia="宋体" w:cs="Times New Roman"/>
          <w:color w:val="auto"/>
          <w:highlight w:val="none"/>
          <w:lang w:val="en-US" w:eastAsia="zh-CN"/>
        </w:rPr>
        <w:t>第五章</w:t>
      </w:r>
      <w:r>
        <w:rPr>
          <w:rFonts w:hint="eastAsia" w:ascii="Times New Roman" w:hAnsi="Times New Roman" w:eastAsia="宋体" w:cs="Times New Roman"/>
          <w:color w:val="FF0000"/>
          <w:highlight w:val="none"/>
          <w:lang w:val="en-US" w:eastAsia="zh-CN"/>
        </w:rPr>
        <w:t xml:space="preserve"> </w:t>
      </w:r>
      <w:bookmarkStart w:id="66" w:name="_Toc25485"/>
      <w:bookmarkStart w:id="67" w:name="_Toc31285"/>
      <w:r>
        <w:rPr>
          <w:rFonts w:hint="eastAsia" w:ascii="Times New Roman" w:hAnsi="Times New Roman" w:eastAsia="宋体" w:cs="Times New Roman"/>
          <w:color w:val="auto"/>
          <w:highlight w:val="none"/>
          <w:lang w:val="en-US" w:eastAsia="zh-CN"/>
        </w:rPr>
        <w:t>采购需求及清单</w:t>
      </w:r>
      <w:bookmarkEnd w:id="65"/>
      <w:bookmarkEnd w:id="66"/>
      <w:bookmarkEnd w:id="67"/>
    </w:p>
    <w:p w14:paraId="45C5A6E3">
      <w:pPr>
        <w:pStyle w:val="19"/>
        <w:numPr>
          <w:ilvl w:val="0"/>
          <w:numId w:val="3"/>
        </w:numPr>
        <w:ind w:firstLine="0" w:firstLineChars="0"/>
        <w:jc w:val="center"/>
        <w:rPr>
          <w:rFonts w:hint="eastAsia" w:ascii="宋体" w:hAnsi="宋体" w:cs="宋体"/>
          <w:b/>
          <w:color w:val="auto"/>
          <w:sz w:val="21"/>
          <w:szCs w:val="21"/>
          <w:highlight w:val="none"/>
        </w:rPr>
      </w:pPr>
      <w:r>
        <w:rPr>
          <w:rFonts w:hint="eastAsia" w:ascii="宋体" w:hAnsi="宋体" w:cs="宋体"/>
          <w:b/>
          <w:color w:val="auto"/>
          <w:sz w:val="28"/>
          <w:szCs w:val="28"/>
          <w:highlight w:val="none"/>
        </w:rPr>
        <w:t>材料报价清单</w:t>
      </w:r>
    </w:p>
    <w:p w14:paraId="6041B04F">
      <w:pPr>
        <w:snapToGrid w:val="0"/>
        <w:spacing w:line="400" w:lineRule="exact"/>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（清单详见附件）</w:t>
      </w:r>
    </w:p>
    <w:p w14:paraId="2AA64ED5">
      <w:pPr>
        <w:pStyle w:val="2"/>
        <w:rPr>
          <w:rFonts w:hint="eastAsia"/>
          <w:color w:val="auto"/>
          <w:sz w:val="21"/>
          <w:szCs w:val="24"/>
          <w:highlight w:val="none"/>
        </w:rPr>
      </w:pPr>
    </w:p>
    <w:p w14:paraId="42DEFAB8">
      <w:pPr>
        <w:snapToGrid w:val="0"/>
        <w:spacing w:line="400" w:lineRule="exact"/>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备注：</w:t>
      </w:r>
      <w:r>
        <w:rPr>
          <w:rFonts w:hint="eastAsia" w:ascii="宋体" w:hAnsi="宋体" w:cs="宋体"/>
          <w:color w:val="auto"/>
          <w:sz w:val="24"/>
          <w:szCs w:val="24"/>
          <w:highlight w:val="none"/>
        </w:rPr>
        <w:t>1.上述费用包括货物的原材料、生产、包装、运输、保险、卸货叉车费（如有）、人工费、卸车费、利润、税费等相关费用。</w:t>
      </w:r>
    </w:p>
    <w:p w14:paraId="0E76C909">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2.最终结算以实际供货数量为准，送货时附带相关检测报告。</w:t>
      </w:r>
    </w:p>
    <w:p w14:paraId="726843D4">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51A7DD4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u w:val="none"/>
          <w:lang w:val="en-US" w:eastAsia="zh-CN"/>
        </w:rPr>
        <w:t>标的物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77B07798">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供货进度应满足采购人工程进度分批次实施的安排和要求，</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人应充分理解并全力配合采购人的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材料采购、进场工作，并承担因送货次数增加而引起的运输成本增加等相应风险。</w:t>
      </w:r>
    </w:p>
    <w:p w14:paraId="60782775">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人对提供的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材料质量问题，将视作违约，</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人须赔偿由此造成返工的全部工程建设费用及其他一切损失，同时由采购人追究</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人的违约责任，情节严重的，依法追究相关责任。</w:t>
      </w:r>
    </w:p>
    <w:p w14:paraId="04BA7EFC">
      <w:pPr>
        <w:spacing w:beforeLines="0" w:afterLines="0"/>
        <w:rPr>
          <w:rFonts w:hint="default"/>
          <w:color w:val="auto"/>
          <w:sz w:val="21"/>
          <w:szCs w:val="24"/>
          <w:highlight w:val="none"/>
        </w:rPr>
      </w:pPr>
    </w:p>
    <w:p w14:paraId="2B294AE4">
      <w:pPr>
        <w:bidi w:val="0"/>
        <w:rPr>
          <w:rFonts w:hint="eastAsia"/>
          <w:color w:val="auto"/>
          <w:highlight w:val="none"/>
          <w:lang w:val="en-US" w:eastAsia="zh-CN"/>
        </w:rPr>
      </w:pPr>
    </w:p>
    <w:p w14:paraId="621B7C68">
      <w:pPr>
        <w:bidi w:val="0"/>
        <w:rPr>
          <w:rFonts w:hint="eastAsia"/>
          <w:color w:val="auto"/>
          <w:highlight w:val="none"/>
          <w:lang w:val="en-US" w:eastAsia="zh-CN"/>
        </w:rPr>
      </w:pPr>
    </w:p>
    <w:p w14:paraId="3D82E133">
      <w:pPr>
        <w:bidi w:val="0"/>
        <w:rPr>
          <w:rFonts w:hint="eastAsia"/>
          <w:color w:val="auto"/>
          <w:highlight w:val="none"/>
          <w:lang w:val="en-US" w:eastAsia="zh-CN"/>
        </w:rPr>
      </w:pPr>
    </w:p>
    <w:p w14:paraId="31AE0F03">
      <w:pPr>
        <w:bidi w:val="0"/>
        <w:rPr>
          <w:rFonts w:hint="eastAsia"/>
          <w:color w:val="auto"/>
          <w:highlight w:val="none"/>
          <w:lang w:val="en-US" w:eastAsia="zh-CN"/>
        </w:rPr>
      </w:pPr>
    </w:p>
    <w:p w14:paraId="7768D7FB">
      <w:pPr>
        <w:bidi w:val="0"/>
        <w:rPr>
          <w:rFonts w:hint="eastAsia"/>
          <w:color w:val="auto"/>
          <w:highlight w:val="none"/>
          <w:lang w:val="en-US" w:eastAsia="zh-CN"/>
        </w:rPr>
      </w:pPr>
    </w:p>
    <w:p w14:paraId="3624D419">
      <w:pPr>
        <w:bidi w:val="0"/>
        <w:rPr>
          <w:rFonts w:hint="eastAsia"/>
          <w:color w:val="auto"/>
          <w:highlight w:val="none"/>
          <w:lang w:val="en-US" w:eastAsia="zh-CN"/>
        </w:rPr>
      </w:pPr>
    </w:p>
    <w:p w14:paraId="1CA144A5">
      <w:pPr>
        <w:bidi w:val="0"/>
        <w:rPr>
          <w:rFonts w:hint="eastAsia"/>
          <w:color w:val="auto"/>
          <w:highlight w:val="none"/>
          <w:lang w:val="en-US" w:eastAsia="zh-CN"/>
        </w:rPr>
      </w:pPr>
    </w:p>
    <w:p w14:paraId="5898F86C">
      <w:pPr>
        <w:bidi w:val="0"/>
        <w:rPr>
          <w:rFonts w:hint="eastAsia"/>
          <w:color w:val="auto"/>
          <w:highlight w:val="none"/>
          <w:lang w:val="en-US" w:eastAsia="zh-CN"/>
        </w:rPr>
      </w:pPr>
    </w:p>
    <w:p w14:paraId="32051DD8">
      <w:pPr>
        <w:bidi w:val="0"/>
        <w:rPr>
          <w:rFonts w:hint="eastAsia"/>
          <w:color w:val="auto"/>
          <w:highlight w:val="none"/>
          <w:lang w:val="en-US" w:eastAsia="zh-CN"/>
        </w:rPr>
      </w:pPr>
    </w:p>
    <w:p w14:paraId="32999A66">
      <w:pPr>
        <w:bidi w:val="0"/>
        <w:rPr>
          <w:rFonts w:hint="eastAsia"/>
          <w:color w:val="auto"/>
          <w:highlight w:val="none"/>
          <w:lang w:val="en-US" w:eastAsia="zh-CN"/>
        </w:rPr>
      </w:pPr>
    </w:p>
    <w:p w14:paraId="0C026B4F">
      <w:pPr>
        <w:pStyle w:val="5"/>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highlight w:val="none"/>
          <w:lang w:val="en-US" w:eastAsia="zh-CN"/>
        </w:rPr>
      </w:pPr>
    </w:p>
    <w:p w14:paraId="7A209A64">
      <w:pPr>
        <w:rPr>
          <w:rFonts w:hint="eastAsia"/>
          <w:color w:val="auto"/>
          <w:highlight w:val="none"/>
          <w:lang w:val="en-US" w:eastAsia="zh-CN"/>
        </w:rPr>
      </w:pPr>
    </w:p>
    <w:p w14:paraId="79600E89">
      <w:pPr>
        <w:pStyle w:val="5"/>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highlight w:val="none"/>
        </w:rPr>
      </w:pPr>
      <w:bookmarkStart w:id="68" w:name="_Toc32017"/>
      <w:r>
        <w:rPr>
          <w:rFonts w:hint="eastAsia" w:ascii="Times New Roman" w:hAnsi="Times New Roman" w:eastAsia="宋体" w:cs="Times New Roman"/>
          <w:color w:val="auto"/>
          <w:highlight w:val="none"/>
          <w:lang w:val="en-US" w:eastAsia="zh-CN"/>
        </w:rPr>
        <w:t xml:space="preserve">第六章 </w:t>
      </w:r>
      <w:r>
        <w:rPr>
          <w:rFonts w:hint="eastAsia" w:ascii="Times New Roman" w:hAnsi="Times New Roman" w:eastAsia="宋体" w:cs="Times New Roman"/>
          <w:color w:val="auto"/>
          <w:highlight w:val="none"/>
        </w:rPr>
        <w:t>响应文件格式</w:t>
      </w:r>
      <w:bookmarkEnd w:id="68"/>
    </w:p>
    <w:p w14:paraId="09D6E9D9">
      <w:pPr>
        <w:pStyle w:val="7"/>
        <w:rPr>
          <w:rFonts w:hint="eastAsia" w:ascii="方正小标宋简体" w:hAnsi="方正小标宋简体" w:eastAsia="方正小标宋简体" w:cs="方正小标宋简体"/>
          <w:color w:val="auto"/>
          <w:kern w:val="2"/>
          <w:sz w:val="44"/>
          <w:szCs w:val="44"/>
          <w:highlight w:val="none"/>
          <w:u w:val="single"/>
        </w:rPr>
      </w:pPr>
      <w:bookmarkStart w:id="69" w:name="_Toc26419"/>
    </w:p>
    <w:p w14:paraId="6E954DF9">
      <w:pPr>
        <w:rPr>
          <w:rFonts w:hint="eastAsia" w:ascii="方正小标宋简体" w:hAnsi="方正小标宋简体" w:eastAsia="方正小标宋简体" w:cs="方正小标宋简体"/>
          <w:color w:val="auto"/>
          <w:kern w:val="2"/>
          <w:sz w:val="44"/>
          <w:szCs w:val="44"/>
          <w:highlight w:val="none"/>
          <w:u w:val="single"/>
        </w:rPr>
      </w:pPr>
    </w:p>
    <w:p w14:paraId="7078C935">
      <w:pPr>
        <w:pStyle w:val="2"/>
        <w:rPr>
          <w:rFonts w:hint="eastAsia" w:ascii="方正小标宋简体" w:hAnsi="方正小标宋简体" w:eastAsia="方正小标宋简体" w:cs="方正小标宋简体"/>
          <w:color w:val="auto"/>
          <w:kern w:val="2"/>
          <w:sz w:val="44"/>
          <w:szCs w:val="44"/>
          <w:highlight w:val="none"/>
          <w:u w:val="single"/>
        </w:rPr>
      </w:pPr>
    </w:p>
    <w:p w14:paraId="3514E7CF">
      <w:pPr>
        <w:pStyle w:val="3"/>
        <w:rPr>
          <w:rFonts w:hint="eastAsia" w:ascii="方正小标宋简体" w:hAnsi="方正小标宋简体" w:eastAsia="方正小标宋简体" w:cs="方正小标宋简体"/>
          <w:color w:val="auto"/>
          <w:kern w:val="2"/>
          <w:sz w:val="44"/>
          <w:szCs w:val="44"/>
          <w:highlight w:val="none"/>
          <w:u w:val="single"/>
        </w:rPr>
      </w:pPr>
    </w:p>
    <w:p w14:paraId="367D7D36">
      <w:pPr>
        <w:pStyle w:val="4"/>
        <w:rPr>
          <w:rFonts w:hint="eastAsia" w:ascii="方正小标宋简体" w:hAnsi="方正小标宋简体" w:eastAsia="方正小标宋简体" w:cs="方正小标宋简体"/>
          <w:color w:val="auto"/>
          <w:kern w:val="2"/>
          <w:sz w:val="44"/>
          <w:szCs w:val="44"/>
          <w:highlight w:val="none"/>
          <w:u w:val="single"/>
        </w:rPr>
      </w:pPr>
    </w:p>
    <w:p w14:paraId="7DCB3744">
      <w:pPr>
        <w:rPr>
          <w:rFonts w:hint="eastAsia" w:ascii="方正小标宋简体" w:hAnsi="方正小标宋简体" w:eastAsia="方正小标宋简体" w:cs="方正小标宋简体"/>
          <w:color w:val="auto"/>
          <w:kern w:val="2"/>
          <w:sz w:val="44"/>
          <w:szCs w:val="44"/>
          <w:highlight w:val="none"/>
          <w:u w:val="single"/>
        </w:rPr>
      </w:pPr>
    </w:p>
    <w:p w14:paraId="3B18BD7D">
      <w:pPr>
        <w:rPr>
          <w:rFonts w:hint="eastAsia" w:ascii="方正小标宋简体" w:hAnsi="方正小标宋简体" w:eastAsia="方正小标宋简体" w:cs="方正小标宋简体"/>
          <w:color w:val="auto"/>
          <w:kern w:val="2"/>
          <w:sz w:val="44"/>
          <w:szCs w:val="44"/>
          <w:highlight w:val="none"/>
          <w:u w:val="single"/>
        </w:rPr>
      </w:pPr>
    </w:p>
    <w:p w14:paraId="35D4A841">
      <w:pPr>
        <w:rPr>
          <w:rFonts w:hint="eastAsia" w:ascii="方正小标宋简体" w:hAnsi="方正小标宋简体" w:eastAsia="方正小标宋简体" w:cs="方正小标宋简体"/>
          <w:color w:val="auto"/>
          <w:kern w:val="2"/>
          <w:sz w:val="44"/>
          <w:szCs w:val="44"/>
          <w:highlight w:val="none"/>
          <w:u w:val="single"/>
        </w:rPr>
      </w:pPr>
    </w:p>
    <w:p w14:paraId="0C1DE984">
      <w:pPr>
        <w:rPr>
          <w:rFonts w:hint="eastAsia" w:ascii="方正小标宋简体" w:hAnsi="方正小标宋简体" w:eastAsia="方正小标宋简体" w:cs="方正小标宋简体"/>
          <w:color w:val="auto"/>
          <w:kern w:val="2"/>
          <w:sz w:val="44"/>
          <w:szCs w:val="44"/>
          <w:highlight w:val="none"/>
          <w:u w:val="single"/>
        </w:rPr>
      </w:pPr>
    </w:p>
    <w:p w14:paraId="61716E06">
      <w:pPr>
        <w:rPr>
          <w:rFonts w:hint="eastAsia" w:ascii="方正小标宋简体" w:hAnsi="方正小标宋简体" w:eastAsia="方正小标宋简体" w:cs="方正小标宋简体"/>
          <w:color w:val="auto"/>
          <w:kern w:val="2"/>
          <w:sz w:val="44"/>
          <w:szCs w:val="44"/>
          <w:highlight w:val="none"/>
          <w:u w:val="single"/>
        </w:rPr>
      </w:pPr>
    </w:p>
    <w:p w14:paraId="74203487">
      <w:pPr>
        <w:pStyle w:val="2"/>
        <w:rPr>
          <w:rFonts w:hint="eastAsia" w:ascii="方正小标宋简体" w:hAnsi="方正小标宋简体" w:eastAsia="方正小标宋简体" w:cs="方正小标宋简体"/>
          <w:color w:val="auto"/>
          <w:kern w:val="2"/>
          <w:sz w:val="44"/>
          <w:szCs w:val="44"/>
          <w:highlight w:val="none"/>
          <w:u w:val="single"/>
        </w:rPr>
      </w:pPr>
    </w:p>
    <w:p w14:paraId="01B234F1">
      <w:pPr>
        <w:pStyle w:val="3"/>
        <w:rPr>
          <w:rFonts w:hint="eastAsia" w:ascii="方正小标宋简体" w:hAnsi="方正小标宋简体" w:eastAsia="方正小标宋简体" w:cs="方正小标宋简体"/>
          <w:color w:val="auto"/>
          <w:kern w:val="2"/>
          <w:sz w:val="44"/>
          <w:szCs w:val="44"/>
          <w:highlight w:val="none"/>
          <w:u w:val="single"/>
        </w:rPr>
      </w:pPr>
    </w:p>
    <w:p w14:paraId="7646EDF7">
      <w:pPr>
        <w:pStyle w:val="4"/>
        <w:rPr>
          <w:rFonts w:hint="eastAsia" w:ascii="方正小标宋简体" w:hAnsi="方正小标宋简体" w:eastAsia="方正小标宋简体" w:cs="方正小标宋简体"/>
          <w:color w:val="auto"/>
          <w:kern w:val="2"/>
          <w:sz w:val="44"/>
          <w:szCs w:val="44"/>
          <w:highlight w:val="none"/>
          <w:u w:val="single"/>
        </w:rPr>
      </w:pPr>
    </w:p>
    <w:p w14:paraId="7486429C">
      <w:pPr>
        <w:jc w:val="center"/>
        <w:outlineLvl w:val="9"/>
        <w:rPr>
          <w:rFonts w:hint="eastAsia" w:ascii="方正小标宋简体" w:hAnsi="方正小标宋简体" w:eastAsia="方正小标宋简体" w:cs="方正小标宋简体"/>
          <w:color w:val="auto"/>
          <w:sz w:val="44"/>
          <w:szCs w:val="44"/>
          <w:highlight w:val="none"/>
          <w:u w:val="single"/>
          <w:lang w:val="en-US" w:eastAsia="zh-CN"/>
        </w:rPr>
      </w:pPr>
    </w:p>
    <w:p w14:paraId="678919D1">
      <w:pPr>
        <w:jc w:val="center"/>
        <w:outlineLvl w:val="9"/>
        <w:rPr>
          <w:rFonts w:hint="eastAsia" w:ascii="方正小标宋简体" w:hAnsi="方正小标宋简体" w:eastAsia="方正小标宋简体" w:cs="方正小标宋简体"/>
          <w:color w:val="auto"/>
          <w:sz w:val="44"/>
          <w:szCs w:val="44"/>
          <w:highlight w:val="none"/>
          <w:u w:val="single"/>
          <w:lang w:val="en-US" w:eastAsia="zh-CN"/>
        </w:rPr>
      </w:pPr>
    </w:p>
    <w:p w14:paraId="2A2247EA">
      <w:pPr>
        <w:jc w:val="center"/>
        <w:outlineLvl w:val="9"/>
        <w:rPr>
          <w:rFonts w:hint="eastAsia" w:ascii="方正小标宋简体" w:hAnsi="方正小标宋简体" w:eastAsia="方正小标宋简体" w:cs="方正小标宋简体"/>
          <w:color w:val="auto"/>
          <w:sz w:val="44"/>
          <w:szCs w:val="44"/>
          <w:highlight w:val="none"/>
          <w:u w:val="singl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 xml:space="preserve">  </w:t>
      </w:r>
      <w:r>
        <w:rPr>
          <w:rFonts w:hint="eastAsia" w:ascii="方正小标宋简体" w:hAnsi="方正小标宋简体" w:eastAsia="方正小标宋简体" w:cs="方正小标宋简体"/>
          <w:color w:val="auto"/>
          <w:sz w:val="44"/>
          <w:szCs w:val="44"/>
          <w:highlight w:val="none"/>
          <w:u w:val="single"/>
          <w:lang w:val="en-US" w:eastAsia="zh-CN"/>
        </w:rPr>
        <w:t>合肥市包河区BH202437号地块项目</w:t>
      </w:r>
    </w:p>
    <w:p w14:paraId="5C569BFB">
      <w:pPr>
        <w:jc w:val="center"/>
        <w:outlineLvl w:val="9"/>
        <w:rPr>
          <w:rFonts w:hint="default" w:ascii="Times New Roman" w:hAnsi="Times New Roman" w:eastAsia="方正小标宋简体" w:cs="Times New Roman"/>
          <w:color w:val="auto"/>
          <w:sz w:val="50"/>
          <w:szCs w:val="50"/>
          <w:highlight w:val="none"/>
          <w:u w:val="single"/>
          <w:lang w:val="en-US" w:eastAsia="zh-CN"/>
        </w:rPr>
      </w:pPr>
      <w:r>
        <w:rPr>
          <w:rFonts w:hint="eastAsia" w:ascii="方正小标宋简体" w:hAnsi="方正小标宋简体" w:eastAsia="方正小标宋简体" w:cs="方正小标宋简体"/>
          <w:color w:val="auto"/>
          <w:sz w:val="44"/>
          <w:szCs w:val="44"/>
          <w:highlight w:val="none"/>
          <w:u w:val="single"/>
          <w:lang w:val="en-US" w:eastAsia="zh-CN"/>
        </w:rPr>
        <w:t>二标段水泥砖采购项目</w:t>
      </w:r>
    </w:p>
    <w:p w14:paraId="6FD6637F">
      <w:pPr>
        <w:jc w:val="center"/>
        <w:outlineLvl w:val="9"/>
        <w:rPr>
          <w:rFonts w:ascii="Times New Roman" w:hAnsi="Times New Roman" w:eastAsia="黑体" w:cs="Times New Roman"/>
          <w:color w:val="auto"/>
          <w:sz w:val="50"/>
          <w:szCs w:val="50"/>
          <w:highlight w:val="none"/>
        </w:rPr>
      </w:pPr>
    </w:p>
    <w:p w14:paraId="1E6F5305">
      <w:pPr>
        <w:jc w:val="center"/>
        <w:outlineLvl w:val="9"/>
        <w:rPr>
          <w:rFonts w:ascii="Times New Roman" w:hAnsi="Times New Roman" w:eastAsia="黑体" w:cs="Times New Roman"/>
          <w:color w:val="auto"/>
          <w:sz w:val="50"/>
          <w:szCs w:val="50"/>
          <w:highlight w:val="none"/>
        </w:rPr>
      </w:pPr>
    </w:p>
    <w:p w14:paraId="17C23FA6">
      <w:pPr>
        <w:jc w:val="center"/>
        <w:outlineLvl w:val="0"/>
        <w:rPr>
          <w:rFonts w:ascii="Times New Roman" w:hAnsi="Times New Roman" w:eastAsia="黑体" w:cs="Times New Roman"/>
          <w:color w:val="auto"/>
          <w:sz w:val="50"/>
          <w:szCs w:val="50"/>
          <w:highlight w:val="none"/>
        </w:rPr>
      </w:pPr>
      <w:bookmarkStart w:id="70" w:name="_Toc28349"/>
      <w:bookmarkStart w:id="71" w:name="_Toc11988"/>
      <w:bookmarkStart w:id="72" w:name="_Toc20091"/>
      <w:bookmarkStart w:id="73" w:name="_Toc4007"/>
      <w:bookmarkStart w:id="74" w:name="_Toc11846"/>
      <w:bookmarkStart w:id="75" w:name="_Toc10074"/>
      <w:bookmarkStart w:id="76" w:name="_Toc15606"/>
      <w:r>
        <w:rPr>
          <w:rFonts w:ascii="Times New Roman" w:hAnsi="Times New Roman" w:eastAsia="黑体" w:cs="Times New Roman"/>
          <w:color w:val="auto"/>
          <w:sz w:val="50"/>
          <w:szCs w:val="50"/>
          <w:highlight w:val="none"/>
        </w:rPr>
        <w:t>响  应  文  件</w:t>
      </w:r>
      <w:bookmarkEnd w:id="70"/>
      <w:bookmarkEnd w:id="71"/>
      <w:bookmarkEnd w:id="72"/>
      <w:bookmarkEnd w:id="73"/>
      <w:bookmarkEnd w:id="74"/>
      <w:bookmarkEnd w:id="75"/>
      <w:bookmarkEnd w:id="76"/>
    </w:p>
    <w:p w14:paraId="7EEE89EB">
      <w:pPr>
        <w:pStyle w:val="20"/>
        <w:jc w:val="left"/>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sz w:val="50"/>
          <w:szCs w:val="50"/>
          <w:highlight w:val="none"/>
          <w:lang w:val="en-US" w:eastAsia="zh-CN"/>
        </w:rPr>
        <w:t xml:space="preserve">     </w:t>
      </w:r>
      <w:r>
        <w:rPr>
          <w:rFonts w:hint="eastAsia" w:ascii="Times New Roman" w:hAnsi="Times New Roman" w:eastAsia="黑体" w:cs="Times New Roman"/>
          <w:color w:val="auto"/>
          <w:kern w:val="2"/>
          <w:sz w:val="28"/>
          <w:szCs w:val="28"/>
          <w:highlight w:val="none"/>
          <w:lang w:val="en-US" w:eastAsia="zh-CN" w:bidi="ar-SA"/>
        </w:rPr>
        <w:t>（商务及技术文件）</w:t>
      </w:r>
    </w:p>
    <w:p w14:paraId="0BB51C71">
      <w:pPr>
        <w:spacing w:line="440" w:lineRule="exact"/>
        <w:rPr>
          <w:rFonts w:ascii="Times New Roman" w:hAnsi="Times New Roman" w:eastAsia="黑体" w:cs="Times New Roman"/>
          <w:color w:val="auto"/>
          <w:sz w:val="32"/>
          <w:szCs w:val="32"/>
          <w:highlight w:val="none"/>
        </w:rPr>
      </w:pPr>
    </w:p>
    <w:p w14:paraId="3F5ED003">
      <w:pPr>
        <w:spacing w:line="440" w:lineRule="exact"/>
        <w:rPr>
          <w:rFonts w:ascii="Times New Roman" w:hAnsi="Times New Roman" w:eastAsia="黑体" w:cs="Times New Roman"/>
          <w:color w:val="auto"/>
          <w:sz w:val="32"/>
          <w:szCs w:val="32"/>
          <w:highlight w:val="none"/>
        </w:rPr>
      </w:pPr>
    </w:p>
    <w:p w14:paraId="07563E1D">
      <w:pPr>
        <w:spacing w:line="440" w:lineRule="exact"/>
        <w:rPr>
          <w:rFonts w:ascii="Times New Roman" w:hAnsi="Times New Roman" w:eastAsia="黑体" w:cs="Times New Roman"/>
          <w:color w:val="auto"/>
          <w:sz w:val="20"/>
          <w:szCs w:val="20"/>
          <w:highlight w:val="none"/>
        </w:rPr>
      </w:pPr>
    </w:p>
    <w:p w14:paraId="63107C88">
      <w:pPr>
        <w:spacing w:line="440" w:lineRule="exact"/>
        <w:rPr>
          <w:rFonts w:ascii="Times New Roman" w:hAnsi="Times New Roman" w:eastAsia="黑体" w:cs="Times New Roman"/>
          <w:color w:val="auto"/>
          <w:sz w:val="20"/>
          <w:szCs w:val="20"/>
          <w:highlight w:val="none"/>
        </w:rPr>
      </w:pPr>
    </w:p>
    <w:p w14:paraId="2C576B10">
      <w:pPr>
        <w:pStyle w:val="20"/>
        <w:rPr>
          <w:rFonts w:ascii="Times New Roman" w:hAnsi="Times New Roman" w:eastAsia="黑体" w:cs="Times New Roman"/>
          <w:color w:val="auto"/>
          <w:sz w:val="20"/>
          <w:szCs w:val="20"/>
          <w:highlight w:val="none"/>
        </w:rPr>
      </w:pPr>
    </w:p>
    <w:p w14:paraId="7183F2A9">
      <w:pPr>
        <w:rPr>
          <w:rFonts w:ascii="Times New Roman" w:hAnsi="Times New Roman" w:eastAsia="黑体" w:cs="Times New Roman"/>
          <w:color w:val="auto"/>
          <w:sz w:val="20"/>
          <w:szCs w:val="20"/>
          <w:highlight w:val="none"/>
        </w:rPr>
      </w:pPr>
    </w:p>
    <w:p w14:paraId="581DA5AD">
      <w:pPr>
        <w:pStyle w:val="20"/>
        <w:rPr>
          <w:rFonts w:ascii="Times New Roman" w:hAnsi="Times New Roman" w:eastAsia="黑体" w:cs="Times New Roman"/>
          <w:color w:val="auto"/>
          <w:sz w:val="20"/>
          <w:szCs w:val="20"/>
          <w:highlight w:val="none"/>
        </w:rPr>
      </w:pPr>
    </w:p>
    <w:p w14:paraId="06F7909F">
      <w:pPr>
        <w:rPr>
          <w:rFonts w:ascii="Times New Roman" w:hAnsi="Times New Roman" w:eastAsia="黑体" w:cs="Times New Roman"/>
          <w:color w:val="auto"/>
          <w:sz w:val="20"/>
          <w:szCs w:val="20"/>
          <w:highlight w:val="none"/>
        </w:rPr>
      </w:pPr>
    </w:p>
    <w:p w14:paraId="6D22971E">
      <w:pPr>
        <w:spacing w:line="440" w:lineRule="exact"/>
        <w:rPr>
          <w:rFonts w:ascii="Times New Roman" w:hAnsi="Times New Roman" w:eastAsia="黑体" w:cs="Times New Roman"/>
          <w:color w:val="auto"/>
          <w:sz w:val="20"/>
          <w:szCs w:val="20"/>
          <w:highlight w:val="none"/>
        </w:rPr>
      </w:pPr>
    </w:p>
    <w:p w14:paraId="5CF58BFE">
      <w:pPr>
        <w:spacing w:line="440" w:lineRule="exact"/>
        <w:rPr>
          <w:rFonts w:ascii="Times New Roman" w:hAnsi="Times New Roman" w:eastAsia="黑体" w:cs="Times New Roman"/>
          <w:color w:val="auto"/>
          <w:sz w:val="20"/>
          <w:szCs w:val="20"/>
          <w:highlight w:val="none"/>
        </w:rPr>
      </w:pPr>
    </w:p>
    <w:p w14:paraId="434E8257">
      <w:pPr>
        <w:spacing w:line="440" w:lineRule="exact"/>
        <w:rPr>
          <w:rFonts w:ascii="Times New Roman" w:hAnsi="Times New Roman" w:eastAsia="黑体" w:cs="Times New Roman"/>
          <w:color w:val="auto"/>
          <w:sz w:val="20"/>
          <w:szCs w:val="20"/>
          <w:highlight w:val="none"/>
        </w:rPr>
      </w:pPr>
    </w:p>
    <w:p w14:paraId="0E459BCF">
      <w:pPr>
        <w:spacing w:line="440" w:lineRule="exact"/>
        <w:rPr>
          <w:rFonts w:ascii="Times New Roman" w:hAnsi="Times New Roman" w:eastAsia="黑体" w:cs="Times New Roman"/>
          <w:color w:val="auto"/>
          <w:sz w:val="20"/>
          <w:szCs w:val="20"/>
          <w:highlight w:val="none"/>
        </w:rPr>
      </w:pPr>
    </w:p>
    <w:p w14:paraId="4D8CEC4F">
      <w:pPr>
        <w:spacing w:line="440" w:lineRule="exact"/>
        <w:jc w:val="center"/>
        <w:rPr>
          <w:rFonts w:ascii="Times New Roman" w:hAnsi="Times New Roman" w:eastAsia="黑体" w:cs="Times New Roman"/>
          <w:color w:val="auto"/>
          <w:sz w:val="28"/>
          <w:szCs w:val="28"/>
          <w:highlight w:val="none"/>
        </w:rPr>
      </w:pPr>
      <w:bookmarkStart w:id="77" w:name="_Toc5520_WPSOffice_Level2"/>
      <w:bookmarkStart w:id="78" w:name="_Toc25232_WPSOffice_Level2"/>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(全称、盖单位</w:t>
      </w:r>
      <w:r>
        <w:rPr>
          <w:rFonts w:hint="eastAsia" w:ascii="Times New Roman" w:hAnsi="Times New Roman" w:eastAsia="黑体" w:cs="Times New Roman"/>
          <w:color w:val="auto"/>
          <w:sz w:val="28"/>
          <w:szCs w:val="28"/>
          <w:highlight w:val="none"/>
          <w:u w:val="single"/>
          <w:lang w:val="en-US" w:eastAsia="zh-CN"/>
        </w:rPr>
        <w:t>公</w:t>
      </w:r>
      <w:r>
        <w:rPr>
          <w:rFonts w:ascii="Times New Roman" w:hAnsi="Times New Roman" w:eastAsia="黑体" w:cs="Times New Roman"/>
          <w:color w:val="auto"/>
          <w:sz w:val="28"/>
          <w:szCs w:val="28"/>
          <w:highlight w:val="none"/>
          <w:u w:val="single"/>
        </w:rPr>
        <w:t>章)</w:t>
      </w:r>
      <w:bookmarkEnd w:id="77"/>
      <w:bookmarkEnd w:id="78"/>
      <w:r>
        <w:rPr>
          <w:rFonts w:ascii="Times New Roman" w:hAnsi="Times New Roman" w:eastAsia="黑体" w:cs="Times New Roman"/>
          <w:color w:val="auto"/>
          <w:sz w:val="28"/>
          <w:szCs w:val="28"/>
          <w:highlight w:val="none"/>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highlight w:val="none"/>
        </w:rPr>
      </w:pPr>
    </w:p>
    <w:p w14:paraId="0FF8B430">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bookmarkStart w:id="79" w:name="_Toc31577_WPSOffice_Level2"/>
      <w:bookmarkStart w:id="80" w:name="_Toc20076_WPSOffice_Level2"/>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bookmarkEnd w:id="79"/>
      <w:bookmarkEnd w:id="80"/>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highlight w:val="none"/>
          <w:lang w:val="en-US" w:eastAsia="zh-CN" w:bidi="ar"/>
        </w:rPr>
      </w:pPr>
      <w:r>
        <w:rPr>
          <w:rFonts w:ascii="Times New Roman" w:hAnsi="Times New Roman" w:eastAsia="黑体" w:cs="Times New Roman"/>
          <w:color w:val="auto"/>
          <w:sz w:val="20"/>
          <w:szCs w:val="20"/>
          <w:highlight w:val="none"/>
        </w:rPr>
        <w:br w:type="page"/>
      </w:r>
    </w:p>
    <w:p w14:paraId="5C2FEE3B">
      <w:pPr>
        <w:pStyle w:val="5"/>
        <w:numPr>
          <w:ilvl w:val="0"/>
          <w:numId w:val="0"/>
        </w:numPr>
        <w:rPr>
          <w:rFonts w:hint="eastAsia" w:ascii="黑体" w:hAnsi="黑体" w:eastAsia="黑体" w:cs="黑体"/>
          <w:b/>
          <w:bCs/>
          <w:color w:val="auto"/>
          <w:sz w:val="28"/>
          <w:szCs w:val="28"/>
          <w:highlight w:val="none"/>
        </w:rPr>
      </w:pPr>
      <w:bookmarkStart w:id="81" w:name="_Toc25724"/>
      <w:bookmarkStart w:id="82" w:name="_Toc1219"/>
      <w:bookmarkStart w:id="83" w:name="_Toc13347"/>
      <w:bookmarkStart w:id="84" w:name="_Toc888"/>
      <w:bookmarkStart w:id="85" w:name="_Toc21704"/>
      <w:bookmarkStart w:id="86" w:name="_Toc15008"/>
      <w:bookmarkStart w:id="87" w:name="_Toc29898"/>
      <w:r>
        <w:rPr>
          <w:rFonts w:hint="eastAsia" w:ascii="黑体" w:hAnsi="黑体" w:eastAsia="黑体" w:cs="黑体"/>
          <w:b/>
          <w:bCs/>
          <w:color w:val="auto"/>
          <w:sz w:val="28"/>
          <w:szCs w:val="28"/>
          <w:highlight w:val="none"/>
        </w:rPr>
        <w:t>一、响应函（不含报价）</w:t>
      </w:r>
      <w:bookmarkEnd w:id="69"/>
      <w:bookmarkEnd w:id="81"/>
      <w:bookmarkEnd w:id="82"/>
      <w:bookmarkEnd w:id="83"/>
      <w:bookmarkEnd w:id="84"/>
      <w:bookmarkEnd w:id="85"/>
      <w:bookmarkEnd w:id="86"/>
      <w:bookmarkEnd w:id="87"/>
    </w:p>
    <w:p w14:paraId="49B3464C">
      <w:pPr>
        <w:pStyle w:val="2"/>
        <w:tabs>
          <w:tab w:val="left" w:pos="972"/>
        </w:tabs>
        <w:spacing w:before="77" w:beforeLines="0" w:afterLines="0"/>
        <w:ind w:left="235"/>
        <w:rPr>
          <w:rFonts w:hint="eastAsia" w:ascii="宋体" w:hAnsi="宋体" w:cs="宋体"/>
          <w:color w:val="auto"/>
          <w:sz w:val="24"/>
          <w:szCs w:val="24"/>
          <w:highlight w:val="none"/>
        </w:rPr>
      </w:pPr>
      <w:r>
        <w:rPr>
          <w:rFonts w:hint="eastAsia" w:ascii="宋体" w:hAnsi="宋体" w:cs="宋体"/>
          <w:color w:val="auto"/>
          <w:kern w:val="2"/>
          <w:sz w:val="24"/>
          <w:szCs w:val="24"/>
          <w:highlight w:val="none"/>
          <w:u w:val="single"/>
          <w:lang w:val="en-US" w:eastAsia="zh-CN" w:bidi="ar-SA"/>
        </w:rPr>
        <w:t>安徽省经工物资有限公司</w:t>
      </w:r>
      <w:r>
        <w:rPr>
          <w:rFonts w:hint="eastAsia" w:ascii="宋体" w:hAnsi="宋体" w:cs="宋体"/>
          <w:color w:val="auto"/>
          <w:sz w:val="24"/>
          <w:szCs w:val="24"/>
          <w:highlight w:val="none"/>
        </w:rPr>
        <w:t>（采购人名称）：</w:t>
      </w:r>
    </w:p>
    <w:p w14:paraId="7D3E80B2">
      <w:pPr>
        <w:topLinePunct/>
        <w:spacing w:beforeLines="0" w:afterLines="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我方已仔细研究了</w:t>
      </w:r>
      <w:r>
        <w:rPr>
          <w:rFonts w:hint="eastAsia" w:ascii="宋体" w:hAnsi="宋体" w:cs="宋体"/>
          <w:color w:val="auto"/>
          <w:sz w:val="24"/>
          <w:szCs w:val="24"/>
          <w:highlight w:val="none"/>
          <w:u w:val="single"/>
        </w:rPr>
        <w:t>合肥市包河区BH202437号地块项目二标段</w:t>
      </w:r>
      <w:r>
        <w:rPr>
          <w:rFonts w:hint="eastAsia" w:ascii="宋体" w:hAnsi="宋体" w:cs="宋体"/>
          <w:color w:val="auto"/>
          <w:sz w:val="24"/>
          <w:szCs w:val="24"/>
          <w:highlight w:val="none"/>
          <w:u w:val="single"/>
          <w:lang w:eastAsia="zh-CN"/>
        </w:rPr>
        <w:t>水泥砖</w:t>
      </w:r>
      <w:r>
        <w:rPr>
          <w:rFonts w:hint="eastAsia" w:ascii="宋体" w:hAnsi="宋体" w:cs="宋体"/>
          <w:color w:val="auto"/>
          <w:sz w:val="24"/>
          <w:szCs w:val="24"/>
          <w:highlight w:val="none"/>
          <w:u w:val="single"/>
        </w:rPr>
        <w:t>采购项目</w:t>
      </w:r>
      <w:r>
        <w:rPr>
          <w:rFonts w:hint="eastAsia" w:ascii="宋体" w:hAnsi="宋体" w:cs="宋体"/>
          <w:color w:val="auto"/>
          <w:sz w:val="24"/>
          <w:szCs w:val="24"/>
          <w:highlight w:val="none"/>
        </w:rPr>
        <w:t>响应文件的全部内容，愿意以</w:t>
      </w:r>
      <w:r>
        <w:rPr>
          <w:rFonts w:hint="eastAsia" w:ascii="宋体" w:hAnsi="宋体" w:cs="宋体"/>
          <w:color w:val="auto"/>
          <w:sz w:val="24"/>
          <w:szCs w:val="24"/>
          <w:highlight w:val="none"/>
          <w:u w:val="single"/>
        </w:rPr>
        <w:t>第二信封报价文件响应函中的响应总报价</w:t>
      </w:r>
      <w:r>
        <w:rPr>
          <w:rFonts w:hint="eastAsia" w:ascii="宋体" w:hAnsi="宋体" w:cs="宋体"/>
          <w:color w:val="auto"/>
          <w:sz w:val="24"/>
          <w:szCs w:val="24"/>
          <w:highlight w:val="none"/>
        </w:rPr>
        <w:t>提供响应文件要求的货物、技术服务和质保售后服务等，并按合同约定履行义务。</w:t>
      </w:r>
    </w:p>
    <w:p w14:paraId="7E861916">
      <w:pPr>
        <w:pStyle w:val="39"/>
        <w:numPr>
          <w:ilvl w:val="0"/>
          <w:numId w:val="0"/>
        </w:numPr>
        <w:tabs>
          <w:tab w:val="left" w:pos="973"/>
        </w:tabs>
        <w:spacing w:beforeLines="0" w:afterLines="0" w:line="480" w:lineRule="exact"/>
        <w:ind w:leftChars="200"/>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我方承诺在</w:t>
      </w:r>
      <w:r>
        <w:rPr>
          <w:rFonts w:hint="eastAsia"/>
          <w:color w:val="auto"/>
          <w:sz w:val="24"/>
          <w:szCs w:val="24"/>
          <w:highlight w:val="none"/>
          <w:lang w:val="en-US"/>
        </w:rPr>
        <w:t>采购文件</w:t>
      </w:r>
      <w:r>
        <w:rPr>
          <w:rFonts w:hint="eastAsia"/>
          <w:color w:val="auto"/>
          <w:sz w:val="24"/>
          <w:szCs w:val="24"/>
          <w:highlight w:val="none"/>
        </w:rPr>
        <w:t>规定的响应有效期内不撤销响应文件。</w:t>
      </w:r>
    </w:p>
    <w:p w14:paraId="5DED744C">
      <w:pPr>
        <w:pStyle w:val="39"/>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2.我方将与本响应函一起提交响应保证金，且承诺响应保证金转出账户真实有效。</w:t>
      </w:r>
    </w:p>
    <w:p w14:paraId="5E69595E">
      <w:pPr>
        <w:pStyle w:val="39"/>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3.材料质量：响应采购文件要求；交货期：响应采购文件要求。</w:t>
      </w:r>
    </w:p>
    <w:p w14:paraId="42E57F11">
      <w:pPr>
        <w:pStyle w:val="39"/>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4.如我方成交，我方承诺：</w:t>
      </w:r>
    </w:p>
    <w:p w14:paraId="1B113C16">
      <w:pPr>
        <w:pStyle w:val="39"/>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1</w:t>
      </w:r>
      <w:r>
        <w:rPr>
          <w:rFonts w:hint="eastAsia"/>
          <w:color w:val="auto"/>
          <w:sz w:val="24"/>
          <w:szCs w:val="24"/>
          <w:highlight w:val="none"/>
        </w:rPr>
        <w:t>）在收到</w:t>
      </w:r>
      <w:r>
        <w:rPr>
          <w:rFonts w:hint="eastAsia"/>
          <w:color w:val="auto"/>
          <w:sz w:val="24"/>
          <w:szCs w:val="24"/>
          <w:highlight w:val="none"/>
          <w:lang w:val="en-US"/>
        </w:rPr>
        <w:t>成交</w:t>
      </w:r>
      <w:r>
        <w:rPr>
          <w:rFonts w:hint="eastAsia"/>
          <w:color w:val="auto"/>
          <w:sz w:val="24"/>
          <w:szCs w:val="24"/>
          <w:highlight w:val="none"/>
        </w:rPr>
        <w:t>通知书后，在</w:t>
      </w:r>
      <w:r>
        <w:rPr>
          <w:rFonts w:hint="eastAsia"/>
          <w:color w:val="auto"/>
          <w:sz w:val="24"/>
          <w:szCs w:val="24"/>
          <w:highlight w:val="none"/>
          <w:lang w:val="en-US"/>
        </w:rPr>
        <w:t>成交</w:t>
      </w:r>
      <w:r>
        <w:rPr>
          <w:rFonts w:hint="eastAsia"/>
          <w:color w:val="auto"/>
          <w:sz w:val="24"/>
          <w:szCs w:val="24"/>
          <w:highlight w:val="none"/>
        </w:rPr>
        <w:t>通知书规定的期限内与你方签订合同；</w:t>
      </w:r>
    </w:p>
    <w:p w14:paraId="5D6A18FB">
      <w:pPr>
        <w:pStyle w:val="39"/>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2</w:t>
      </w:r>
      <w:r>
        <w:rPr>
          <w:rFonts w:hint="eastAsia"/>
          <w:color w:val="auto"/>
          <w:sz w:val="24"/>
          <w:szCs w:val="24"/>
          <w:highlight w:val="none"/>
        </w:rPr>
        <w:t>）在签订合同时不向你方提出附加条件；</w:t>
      </w:r>
    </w:p>
    <w:p w14:paraId="3E593700">
      <w:pPr>
        <w:pStyle w:val="39"/>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3</w:t>
      </w:r>
      <w:r>
        <w:rPr>
          <w:rFonts w:hint="eastAsia"/>
          <w:color w:val="auto"/>
          <w:sz w:val="24"/>
          <w:szCs w:val="24"/>
          <w:highlight w:val="none"/>
        </w:rPr>
        <w:t>）按照</w:t>
      </w:r>
      <w:r>
        <w:rPr>
          <w:rFonts w:hint="eastAsia"/>
          <w:color w:val="auto"/>
          <w:sz w:val="24"/>
          <w:szCs w:val="24"/>
          <w:highlight w:val="none"/>
          <w:lang w:val="en-US"/>
        </w:rPr>
        <w:t>采购</w:t>
      </w:r>
      <w:r>
        <w:rPr>
          <w:rFonts w:hint="eastAsia"/>
          <w:color w:val="auto"/>
          <w:sz w:val="24"/>
          <w:szCs w:val="24"/>
          <w:highlight w:val="none"/>
        </w:rPr>
        <w:t>文件要求提交履约保证金；</w:t>
      </w:r>
    </w:p>
    <w:p w14:paraId="6FDC8268">
      <w:pPr>
        <w:pStyle w:val="39"/>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4</w:t>
      </w:r>
      <w:r>
        <w:rPr>
          <w:rFonts w:hint="eastAsia"/>
          <w:color w:val="auto"/>
          <w:sz w:val="24"/>
          <w:szCs w:val="24"/>
          <w:highlight w:val="none"/>
        </w:rPr>
        <w:t>）在合同约定的期限内完成合同规定的全部义务；</w:t>
      </w:r>
    </w:p>
    <w:p w14:paraId="0F3A91EB">
      <w:pPr>
        <w:pStyle w:val="39"/>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5</w:t>
      </w:r>
      <w:r>
        <w:rPr>
          <w:rFonts w:hint="eastAsia"/>
          <w:color w:val="auto"/>
          <w:sz w:val="24"/>
          <w:szCs w:val="24"/>
          <w:highlight w:val="none"/>
        </w:rPr>
        <w:t>）在双方进行合同谈判之前，我方将按照响应文件中填报人员及</w:t>
      </w:r>
      <w:r>
        <w:rPr>
          <w:rFonts w:hint="eastAsia"/>
          <w:color w:val="auto"/>
          <w:sz w:val="24"/>
          <w:szCs w:val="24"/>
          <w:highlight w:val="none"/>
          <w:lang w:val="en-US"/>
        </w:rPr>
        <w:t>采购</w:t>
      </w:r>
      <w:r>
        <w:rPr>
          <w:rFonts w:hint="eastAsia"/>
          <w:color w:val="auto"/>
          <w:sz w:val="24"/>
          <w:szCs w:val="24"/>
          <w:highlight w:val="none"/>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highlight w:val="none"/>
          <w:lang w:val="en-US"/>
        </w:rPr>
        <w:t>采购</w:t>
      </w:r>
      <w:r>
        <w:rPr>
          <w:rFonts w:hint="eastAsia"/>
          <w:color w:val="auto"/>
          <w:sz w:val="24"/>
          <w:szCs w:val="24"/>
          <w:highlight w:val="none"/>
        </w:rPr>
        <w:t>文件另有约定，我方派驻本包段的项目</w:t>
      </w:r>
      <w:r>
        <w:rPr>
          <w:rFonts w:hint="eastAsia"/>
          <w:color w:val="auto"/>
          <w:sz w:val="24"/>
          <w:szCs w:val="24"/>
          <w:highlight w:val="none"/>
          <w:lang w:val="en-US"/>
        </w:rPr>
        <w:t>负责人</w:t>
      </w:r>
      <w:r>
        <w:rPr>
          <w:rFonts w:hint="eastAsia"/>
          <w:color w:val="auto"/>
          <w:sz w:val="24"/>
          <w:szCs w:val="24"/>
          <w:highlight w:val="none"/>
        </w:rPr>
        <w:t>及项目管理机构主要人员均为我单位在职人员（不含外聘人员、返聘人员、临时聘用人员）。如我方拟派驻的人员和设备不满足合同附件要求，你方有权取消我方成交资格；</w:t>
      </w:r>
    </w:p>
    <w:p w14:paraId="67CCE1D2">
      <w:pPr>
        <w:pStyle w:val="39"/>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lang w:val="en-US" w:eastAsia="zh-CN"/>
        </w:rPr>
        <w:t>5</w:t>
      </w:r>
      <w:r>
        <w:rPr>
          <w:rFonts w:hint="eastAsia"/>
          <w:color w:val="auto"/>
          <w:sz w:val="24"/>
          <w:szCs w:val="24"/>
          <w:highlight w:val="none"/>
          <w:lang w:val="en-US"/>
        </w:rPr>
        <w:t>.</w:t>
      </w:r>
      <w:r>
        <w:rPr>
          <w:rFonts w:hint="eastAsia"/>
          <w:color w:val="auto"/>
          <w:sz w:val="24"/>
          <w:szCs w:val="24"/>
          <w:highlight w:val="none"/>
        </w:rPr>
        <w:t>我方在此声明，所递交的</w:t>
      </w:r>
      <w:r>
        <w:rPr>
          <w:rFonts w:hint="eastAsia"/>
          <w:color w:val="auto"/>
          <w:sz w:val="24"/>
          <w:szCs w:val="24"/>
          <w:highlight w:val="none"/>
          <w:lang w:val="en-US" w:eastAsia="zh-CN"/>
        </w:rPr>
        <w:t>响应</w:t>
      </w:r>
      <w:r>
        <w:rPr>
          <w:rFonts w:hint="eastAsia"/>
          <w:color w:val="auto"/>
          <w:sz w:val="24"/>
          <w:szCs w:val="24"/>
          <w:highlight w:val="none"/>
        </w:rPr>
        <w:t>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highlight w:val="none"/>
        </w:rPr>
      </w:pPr>
      <w:r>
        <w:rPr>
          <w:rFonts w:hint="eastAsia" w:ascii="宋体" w:hAnsi="宋体" w:cs="宋体"/>
          <w:color w:val="auto"/>
          <w:w w:val="99"/>
          <w:sz w:val="24"/>
          <w:szCs w:val="24"/>
          <w:highlight w:val="none"/>
          <w:lang w:val="en-US" w:eastAsia="zh-CN"/>
        </w:rPr>
        <w:t>7</w:t>
      </w:r>
      <w:r>
        <w:rPr>
          <w:rFonts w:hint="eastAsia" w:ascii="宋体" w:hAnsi="宋体" w:cs="宋体"/>
          <w:color w:val="auto"/>
          <w:w w:val="99"/>
          <w:sz w:val="24"/>
          <w:szCs w:val="24"/>
          <w:highlight w:val="none"/>
        </w:rPr>
        <w:t xml:space="preserve">. </w:t>
      </w:r>
      <w:r>
        <w:rPr>
          <w:rFonts w:hint="eastAsia" w:ascii="宋体" w:hAnsi="宋体" w:cs="宋体"/>
          <w:color w:val="auto"/>
          <w:w w:val="99"/>
          <w:sz w:val="24"/>
          <w:szCs w:val="24"/>
          <w:highlight w:val="none"/>
          <w:u w:val="single"/>
        </w:rPr>
        <w:t xml:space="preserve">      </w:t>
      </w:r>
      <w:r>
        <w:rPr>
          <w:rFonts w:hint="eastAsia" w:ascii="宋体" w:hAnsi="宋体" w:cs="宋体"/>
          <w:color w:val="auto"/>
          <w:sz w:val="24"/>
          <w:szCs w:val="24"/>
          <w:highlight w:val="none"/>
        </w:rPr>
        <w:t>（其他补充说明）。</w:t>
      </w:r>
    </w:p>
    <w:p w14:paraId="014D3567">
      <w:pPr>
        <w:pStyle w:val="2"/>
        <w:tabs>
          <w:tab w:val="left" w:pos="6379"/>
        </w:tabs>
        <w:spacing w:beforeLines="0" w:afterLines="0" w:line="480" w:lineRule="exact"/>
        <w:ind w:firstLine="480" w:firstLineChars="200"/>
        <w:rPr>
          <w:rFonts w:hint="eastAsia" w:ascii="宋体" w:hAnsi="宋体" w:cs="宋体"/>
          <w:color w:val="auto"/>
          <w:sz w:val="24"/>
          <w:szCs w:val="24"/>
          <w:highlight w:val="none"/>
        </w:rPr>
      </w:pPr>
    </w:p>
    <w:p w14:paraId="4771CF22">
      <w:pPr>
        <w:pStyle w:val="3"/>
        <w:spacing w:beforeLines="0" w:afterLines="0"/>
        <w:rPr>
          <w:rFonts w:hint="eastAsia"/>
          <w:color w:val="auto"/>
          <w:sz w:val="18"/>
          <w:szCs w:val="24"/>
          <w:highlight w:val="none"/>
        </w:rPr>
      </w:pPr>
    </w:p>
    <w:p w14:paraId="4368A36F">
      <w:pPr>
        <w:pStyle w:val="4"/>
        <w:spacing w:beforeLines="0" w:afterLines="0"/>
        <w:rPr>
          <w:rFonts w:hint="eastAsia" w:eastAsia="宋体"/>
          <w:color w:val="auto"/>
          <w:sz w:val="21"/>
          <w:szCs w:val="21"/>
          <w:highlight w:val="none"/>
        </w:rPr>
      </w:pPr>
    </w:p>
    <w:p w14:paraId="24B7FA17">
      <w:pPr>
        <w:rPr>
          <w:rFonts w:hint="eastAsia"/>
          <w:color w:val="auto"/>
          <w:highlight w:val="none"/>
        </w:rPr>
      </w:pPr>
    </w:p>
    <w:p w14:paraId="76B08196">
      <w:pPr>
        <w:pStyle w:val="2"/>
        <w:tabs>
          <w:tab w:val="left" w:pos="6379"/>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  应  商 ：</w:t>
      </w:r>
      <w:bookmarkStart w:id="88" w:name="_Hlk122530524"/>
      <w:r>
        <w:rPr>
          <w:rFonts w:hint="eastAsia" w:ascii="宋体" w:hAnsi="宋体" w:cs="宋体"/>
          <w:color w:val="auto"/>
          <w:sz w:val="24"/>
          <w:szCs w:val="24"/>
          <w:highlight w:val="none"/>
          <w:u w:val="single"/>
        </w:rPr>
        <w:t xml:space="preserve">                         </w:t>
      </w:r>
      <w:bookmarkEnd w:id="88"/>
      <w:r>
        <w:rPr>
          <w:rFonts w:hint="eastAsia" w:ascii="宋体" w:hAnsi="宋体" w:cs="宋体"/>
          <w:color w:val="auto"/>
          <w:sz w:val="24"/>
          <w:szCs w:val="24"/>
          <w:highlight w:val="none"/>
        </w:rPr>
        <w:t>（盖单位</w:t>
      </w:r>
      <w:r>
        <w:rPr>
          <w:rFonts w:hint="eastAsia" w:ascii="宋体" w:hAnsi="宋体" w:cs="宋体"/>
          <w:color w:val="auto"/>
          <w:sz w:val="24"/>
          <w:szCs w:val="24"/>
          <w:highlight w:val="none"/>
          <w:lang w:val="en-US" w:eastAsia="zh-CN"/>
        </w:rPr>
        <w:t>公</w:t>
      </w:r>
      <w:r>
        <w:rPr>
          <w:rFonts w:hint="eastAsia" w:ascii="宋体" w:hAnsi="宋体" w:cs="宋体"/>
          <w:color w:val="auto"/>
          <w:sz w:val="24"/>
          <w:szCs w:val="24"/>
          <w:highlight w:val="none"/>
        </w:rPr>
        <w:t>章）</w:t>
      </w:r>
    </w:p>
    <w:p w14:paraId="7CB2BE99">
      <w:pPr>
        <w:pStyle w:val="2"/>
        <w:tabs>
          <w:tab w:val="left" w:pos="6379"/>
        </w:tabs>
        <w:spacing w:beforeLines="0" w:afterLines="0"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（签字或盖法人章）</w:t>
      </w:r>
    </w:p>
    <w:p w14:paraId="49877707">
      <w:pPr>
        <w:pStyle w:val="2"/>
        <w:tabs>
          <w:tab w:val="left" w:leader="underscore" w:pos="5076"/>
        </w:tabs>
        <w:spacing w:before="3" w:beforeLines="0" w:afterLines="0" w:line="520" w:lineRule="exact"/>
        <w:ind w:right="208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 期 ：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年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3D078A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9135F39">
      <w:pPr>
        <w:pStyle w:val="3"/>
        <w:widowControl/>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rPr>
        <w:t xml:space="preserve"> </w:t>
      </w:r>
    </w:p>
    <w:p w14:paraId="6C554DC4">
      <w:pPr>
        <w:pStyle w:val="17"/>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highlight w:val="none"/>
        </w:rPr>
      </w:pPr>
      <w:r>
        <w:rPr>
          <w:rFonts w:hint="default" w:ascii="Times New Roman" w:hAnsi="Times New Roman" w:eastAsia="黑体" w:cs="Times New Roman"/>
          <w:i/>
          <w:iCs/>
          <w:color w:val="auto"/>
          <w:kern w:val="2"/>
          <w:sz w:val="28"/>
          <w:szCs w:val="28"/>
          <w:highlight w:val="none"/>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1E3B24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0C53FF84">
      <w:pPr>
        <w:pStyle w:val="5"/>
        <w:numPr>
          <w:ilvl w:val="0"/>
          <w:numId w:val="0"/>
        </w:numPr>
        <w:rPr>
          <w:rFonts w:hint="default" w:ascii="黑体" w:hAnsi="黑体" w:eastAsia="黑体" w:cs="黑体"/>
          <w:b w:val="0"/>
          <w:bCs w:val="0"/>
          <w:color w:val="auto"/>
          <w:sz w:val="28"/>
          <w:szCs w:val="28"/>
          <w:highlight w:val="none"/>
        </w:rPr>
      </w:pPr>
      <w:bookmarkStart w:id="89" w:name="_Toc23378"/>
      <w:bookmarkStart w:id="90" w:name="_Toc16965"/>
      <w:bookmarkStart w:id="91" w:name="_Toc12893"/>
      <w:bookmarkStart w:id="92" w:name="_Toc10497"/>
      <w:bookmarkStart w:id="93" w:name="_Toc13886"/>
      <w:bookmarkStart w:id="94" w:name="_Toc21398"/>
      <w:bookmarkStart w:id="95" w:name="_Toc25973"/>
      <w:r>
        <w:rPr>
          <w:rFonts w:hint="eastAsia" w:ascii="黑体" w:hAnsi="宋体" w:eastAsia="黑体" w:cs="黑体"/>
          <w:b w:val="0"/>
          <w:bCs w:val="0"/>
          <w:color w:val="auto"/>
          <w:kern w:val="2"/>
          <w:sz w:val="28"/>
          <w:szCs w:val="28"/>
          <w:highlight w:val="none"/>
          <w:lang w:val="en-US" w:eastAsia="zh-CN" w:bidi="ar"/>
        </w:rPr>
        <w:t>二、法定代表人身份证明及授权委托书</w:t>
      </w:r>
      <w:bookmarkEnd w:id="89"/>
      <w:bookmarkEnd w:id="90"/>
      <w:bookmarkEnd w:id="91"/>
      <w:bookmarkEnd w:id="92"/>
      <w:bookmarkEnd w:id="93"/>
      <w:bookmarkEnd w:id="94"/>
      <w:bookmarkEnd w:id="95"/>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 xml:space="preserve">2-1 </w:t>
      </w:r>
      <w:r>
        <w:rPr>
          <w:rFonts w:hint="eastAsia" w:ascii="黑体" w:hAnsi="宋体" w:eastAsia="黑体" w:cs="黑体"/>
          <w:bCs/>
          <w:color w:val="auto"/>
          <w:kern w:val="2"/>
          <w:sz w:val="28"/>
          <w:szCs w:val="28"/>
          <w:highlight w:val="none"/>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bCs/>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default" w:ascii="Times New Roman" w:hAnsi="Times New Roman" w:eastAsia="宋体" w:cs="Times New Roman"/>
          <w:color w:val="auto"/>
          <w:kern w:val="2"/>
          <w:sz w:val="24"/>
          <w:szCs w:val="24"/>
          <w:highlight w:val="none"/>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highlight w:val="none"/>
        </w:rPr>
      </w:pPr>
      <w:r>
        <w:rPr>
          <w:rFonts w:hint="default" w:ascii="Times New Roman" w:hAnsi="Times New Roman" w:eastAsia="黑体" w:cs="Times New Roman"/>
          <w:bCs/>
          <w:color w:val="auto"/>
          <w:kern w:val="2"/>
          <w:sz w:val="21"/>
          <w:szCs w:val="21"/>
          <w:highlight w:val="none"/>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4"/>
          <w:szCs w:val="24"/>
          <w:highlight w:val="none"/>
          <w:lang w:val="en-US" w:eastAsia="zh-CN" w:bidi="ar"/>
        </w:rPr>
        <w:br w:type="page"/>
      </w:r>
      <w:r>
        <w:rPr>
          <w:rFonts w:hint="default" w:ascii="Times New Roman" w:hAnsi="Times New Roman" w:eastAsia="黑体" w:cs="Times New Roman"/>
          <w:bCs/>
          <w:color w:val="auto"/>
          <w:kern w:val="2"/>
          <w:sz w:val="28"/>
          <w:szCs w:val="28"/>
          <w:highlight w:val="none"/>
          <w:lang w:val="en-US" w:eastAsia="zh-CN" w:bidi="ar"/>
        </w:rPr>
        <w:t xml:space="preserve">2-2 </w:t>
      </w:r>
      <w:r>
        <w:rPr>
          <w:rFonts w:hint="eastAsia" w:ascii="黑体" w:hAnsi="宋体" w:eastAsia="黑体" w:cs="黑体"/>
          <w:color w:val="auto"/>
          <w:kern w:val="2"/>
          <w:sz w:val="28"/>
          <w:szCs w:val="28"/>
          <w:highlight w:val="none"/>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为我方代理人。代理人根据授权，以我方名义签署、澄清、说明、补正、递交、撤回、修改</w:t>
      </w:r>
      <w:r>
        <w:rPr>
          <w:rFonts w:hint="default" w:ascii="Times New Roman" w:hAnsi="Times New Roman" w:eastAsia="宋体" w:cs="Times New Roman"/>
          <w:color w:val="auto"/>
          <w:kern w:val="2"/>
          <w:sz w:val="24"/>
          <w:szCs w:val="24"/>
          <w:highlight w:val="none"/>
          <w:u w:val="single"/>
          <w:lang w:val="en-US" w:eastAsia="zh-CN" w:bidi="ar"/>
        </w:rPr>
        <w:t>合肥市包河区BH202437号地块项目二标段</w:t>
      </w:r>
      <w:r>
        <w:rPr>
          <w:rFonts w:hint="eastAsia" w:ascii="Times New Roman" w:hAnsi="Times New Roman" w:eastAsia="宋体" w:cs="Times New Roman"/>
          <w:color w:val="auto"/>
          <w:kern w:val="2"/>
          <w:sz w:val="24"/>
          <w:szCs w:val="24"/>
          <w:highlight w:val="none"/>
          <w:u w:val="single"/>
          <w:lang w:val="en-US" w:eastAsia="zh-CN" w:bidi="ar"/>
        </w:rPr>
        <w:t>水泥砖</w:t>
      </w:r>
      <w:r>
        <w:rPr>
          <w:rFonts w:hint="default" w:ascii="Times New Roman" w:hAnsi="Times New Roman" w:eastAsia="宋体" w:cs="Times New Roman"/>
          <w:color w:val="auto"/>
          <w:kern w:val="2"/>
          <w:sz w:val="24"/>
          <w:szCs w:val="24"/>
          <w:highlight w:val="none"/>
          <w:u w:val="single"/>
          <w:lang w:val="en-US" w:eastAsia="zh-CN" w:bidi="ar"/>
        </w:rPr>
        <w:t>采购项目</w:t>
      </w:r>
      <w:r>
        <w:rPr>
          <w:rFonts w:hint="eastAsia" w:ascii="宋体" w:hAnsi="宋体" w:eastAsia="宋体" w:cs="宋体"/>
          <w:color w:val="auto"/>
          <w:kern w:val="2"/>
          <w:sz w:val="24"/>
          <w:szCs w:val="24"/>
          <w:highlight w:val="none"/>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color w:val="auto"/>
          <w:kern w:val="2"/>
          <w:sz w:val="24"/>
          <w:szCs w:val="24"/>
          <w:highlight w:val="none"/>
          <w:u w:val="single"/>
          <w:lang w:val="en-US" w:eastAsia="zh-CN" w:bidi="ar"/>
        </w:rPr>
        <w:t>自授权委托之日起至签订合同之日止</w:t>
      </w:r>
      <w:r>
        <w:rPr>
          <w:rFonts w:hint="eastAsia" w:ascii="宋体" w:hAnsi="宋体" w:eastAsia="宋体" w:cs="宋体"/>
          <w:color w:val="auto"/>
          <w:kern w:val="2"/>
          <w:sz w:val="24"/>
          <w:szCs w:val="24"/>
          <w:highlight w:val="none"/>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w:t>
      </w:r>
      <w:r>
        <w:rPr>
          <w:rFonts w:hint="eastAsia" w:ascii="宋体" w:hAnsi="宋体" w:eastAsia="宋体" w:cs="宋体"/>
          <w:b/>
          <w:bCs/>
          <w:color w:val="auto"/>
          <w:kern w:val="2"/>
          <w:sz w:val="24"/>
          <w:szCs w:val="24"/>
          <w:highlight w:val="none"/>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签字或法人章</w:t>
      </w:r>
      <w:r>
        <w:rPr>
          <w:rFonts w:hint="default" w:ascii="Times New Roman" w:hAnsi="Times New Roman" w:eastAsia="宋体" w:cs="Times New Roman"/>
          <w:color w:val="auto"/>
          <w:kern w:val="2"/>
          <w:sz w:val="24"/>
          <w:szCs w:val="24"/>
          <w:highlight w:val="none"/>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w:t>
      </w:r>
      <w:r>
        <w:rPr>
          <w:rFonts w:hint="default" w:ascii="Times New Roman" w:hAnsi="Times New Roman" w:eastAsia="宋体" w:cs="Times New Roman"/>
          <w:color w:val="auto"/>
          <w:kern w:val="2"/>
          <w:sz w:val="24"/>
          <w:szCs w:val="24"/>
          <w:highlight w:val="none"/>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法定代表人（单位负责人）参加响应活动并签署文件的不需要授权委托书，只需提供法定代表人（单位负责人）身份证明；非法定代表人（单位负责人）参加响应活动及签署文件的除提供法定代表人（单位负责人）身份证明外还须提供授权委托书。</w:t>
      </w:r>
      <w:r>
        <w:rPr>
          <w:rFonts w:hint="default" w:ascii="Times New Roman" w:hAnsi="Times New Roman" w:eastAsia="黑体" w:cs="Times New Roman"/>
          <w:color w:val="auto"/>
          <w:kern w:val="2"/>
          <w:sz w:val="24"/>
          <w:szCs w:val="24"/>
          <w:highlight w:val="none"/>
          <w:lang w:val="en-US" w:eastAsia="zh-CN" w:bidi="ar"/>
        </w:rPr>
        <w:br w:type="page"/>
      </w:r>
    </w:p>
    <w:p w14:paraId="64234B60">
      <w:pPr>
        <w:rPr>
          <w:rFonts w:hint="default" w:ascii="Times New Roman" w:hAnsi="Times New Roman" w:eastAsia="黑体" w:cs="Times New Roman"/>
          <w:color w:val="auto"/>
          <w:kern w:val="2"/>
          <w:sz w:val="24"/>
          <w:szCs w:val="24"/>
          <w:highlight w:val="none"/>
        </w:rPr>
        <w:sectPr>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96" w:name="_Toc26805"/>
      <w:bookmarkStart w:id="97" w:name="_Toc30116"/>
      <w:bookmarkStart w:id="98" w:name="_Toc16245"/>
      <w:bookmarkStart w:id="99" w:name="_Toc28296"/>
      <w:bookmarkStart w:id="100" w:name="_Toc22001"/>
      <w:bookmarkStart w:id="101" w:name="_Toc24785"/>
      <w:bookmarkStart w:id="102" w:name="_Toc13145"/>
      <w:bookmarkStart w:id="103" w:name="_Toc19890"/>
      <w:r>
        <w:rPr>
          <w:rFonts w:hint="eastAsia" w:ascii="黑体" w:hAnsi="宋体" w:eastAsia="黑体" w:cs="黑体"/>
          <w:color w:val="auto"/>
          <w:kern w:val="2"/>
          <w:sz w:val="28"/>
          <w:szCs w:val="28"/>
          <w:highlight w:val="none"/>
          <w:lang w:val="en-US" w:eastAsia="zh-CN" w:bidi="ar"/>
        </w:rPr>
        <w:t>三、供应商基本情况</w:t>
      </w:r>
      <w:bookmarkEnd w:id="96"/>
      <w:bookmarkEnd w:id="97"/>
      <w:bookmarkEnd w:id="98"/>
      <w:bookmarkEnd w:id="99"/>
      <w:bookmarkEnd w:id="100"/>
      <w:bookmarkEnd w:id="101"/>
      <w:bookmarkEnd w:id="102"/>
      <w:bookmarkEnd w:id="103"/>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highlight w:val="none"/>
        </w:rPr>
      </w:pPr>
      <w:r>
        <w:rPr>
          <w:rFonts w:hint="default" w:ascii="Times New Roman" w:hAnsi="Times New Roman" w:eastAsia="宋体" w:cs="Times New Roman"/>
          <w:color w:val="auto"/>
          <w:kern w:val="2"/>
          <w:sz w:val="23"/>
          <w:szCs w:val="23"/>
          <w:highlight w:val="none"/>
          <w:lang w:val="en-US" w:eastAsia="zh-CN" w:bidi="ar"/>
        </w:rPr>
        <w:t xml:space="preserve"> </w:t>
      </w:r>
    </w:p>
    <w:tbl>
      <w:tblPr>
        <w:tblStyle w:val="21"/>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Times New Roman" w:hAnsi="Times New Roman" w:eastAsia="宋体" w:cs="Times New Roman"/>
                <w:color w:val="auto"/>
                <w:kern w:val="2"/>
                <w:sz w:val="21"/>
                <w:szCs w:val="21"/>
                <w:highlight w:val="none"/>
                <w:lang w:val="en-US" w:eastAsia="zh-CN" w:bidi="ar"/>
              </w:rPr>
              <w:t xml:space="preserve"> </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highlight w:val="none"/>
        </w:rPr>
      </w:pPr>
      <w:r>
        <w:rPr>
          <w:rFonts w:hint="eastAsia" w:ascii="黑体" w:hAnsi="宋体" w:eastAsia="黑体" w:cs="黑体"/>
          <w:color w:val="auto"/>
          <w:kern w:val="2"/>
          <w:sz w:val="21"/>
          <w:szCs w:val="21"/>
          <w:highlight w:val="none"/>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1"/>
          <w:szCs w:val="21"/>
          <w:highlight w:val="none"/>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br w:type="page"/>
      </w:r>
    </w:p>
    <w:p w14:paraId="6B768871">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highlight w:val="none"/>
          <w:lang w:val="en-US" w:eastAsia="zh-CN" w:bidi="ar"/>
        </w:rPr>
      </w:pPr>
      <w:bookmarkStart w:id="104" w:name="_Toc20617"/>
      <w:bookmarkStart w:id="105" w:name="_Toc22364"/>
      <w:bookmarkStart w:id="106" w:name="_Toc28901"/>
      <w:bookmarkStart w:id="107" w:name="_Toc23604"/>
      <w:bookmarkStart w:id="108" w:name="_Toc18587"/>
      <w:bookmarkStart w:id="109" w:name="_Toc12834"/>
      <w:bookmarkStart w:id="110" w:name="_Toc31962"/>
      <w:bookmarkStart w:id="111" w:name="_Toc9989"/>
      <w:r>
        <w:rPr>
          <w:rFonts w:hint="eastAsia" w:ascii="黑体" w:hAnsi="宋体" w:eastAsia="黑体" w:cs="黑体"/>
          <w:color w:val="auto"/>
          <w:kern w:val="2"/>
          <w:sz w:val="28"/>
          <w:szCs w:val="28"/>
          <w:highlight w:val="none"/>
          <w:lang w:val="en-US" w:eastAsia="zh-CN" w:bidi="ar"/>
        </w:rPr>
        <w:t>四、近年类似业绩情况</w:t>
      </w:r>
      <w:bookmarkEnd w:id="104"/>
      <w:bookmarkEnd w:id="105"/>
      <w:bookmarkEnd w:id="106"/>
      <w:bookmarkEnd w:id="107"/>
      <w:bookmarkEnd w:id="108"/>
      <w:bookmarkEnd w:id="109"/>
      <w:bookmarkEnd w:id="110"/>
      <w:bookmarkEnd w:id="111"/>
    </w:p>
    <w:tbl>
      <w:tblPr>
        <w:tblStyle w:val="21"/>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w:t>
            </w:r>
            <w:r>
              <w:rPr>
                <w:rFonts w:hint="default" w:ascii="Times New Roman" w:hAnsi="Times New Roman" w:cs="Times New Roman"/>
                <w:color w:val="auto"/>
                <w:szCs w:val="21"/>
                <w:highlight w:val="none"/>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w:t>
            </w:r>
            <w:r>
              <w:rPr>
                <w:rFonts w:hint="default" w:ascii="Times New Roman" w:hAnsi="Times New Roman" w:cs="Times New Roman"/>
                <w:color w:val="auto"/>
                <w:szCs w:val="21"/>
                <w:highlight w:val="none"/>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lang w:val="en-US" w:eastAsia="zh-CN"/>
              </w:rPr>
              <w:t>供货</w:t>
            </w:r>
            <w:r>
              <w:rPr>
                <w:rFonts w:hint="eastAsia" w:ascii="Times New Roman" w:hAnsi="Times New Roman" w:cs="Times New Roman"/>
                <w:color w:val="auto"/>
                <w:szCs w:val="21"/>
                <w:highlight w:val="none"/>
              </w:rPr>
              <w:t>内容</w:t>
            </w:r>
            <w:r>
              <w:rPr>
                <w:rFonts w:hint="default" w:ascii="Times New Roman" w:hAnsi="Times New Roman" w:cs="Times New Roman"/>
                <w:color w:val="auto"/>
                <w:szCs w:val="21"/>
                <w:highlight w:val="none"/>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0"/>
          <w:szCs w:val="20"/>
          <w:highlight w:val="none"/>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1</w:t>
      </w:r>
      <w:r>
        <w:rPr>
          <w:rFonts w:hint="eastAsia" w:ascii="黑体" w:hAnsi="宋体" w:eastAsia="黑体" w:cs="黑体"/>
          <w:color w:val="auto"/>
          <w:kern w:val="2"/>
          <w:sz w:val="21"/>
          <w:szCs w:val="21"/>
          <w:highlight w:val="none"/>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2</w:t>
      </w:r>
      <w:r>
        <w:rPr>
          <w:rFonts w:hint="eastAsia" w:ascii="黑体" w:hAnsi="宋体" w:eastAsia="黑体" w:cs="黑体"/>
          <w:color w:val="auto"/>
          <w:kern w:val="2"/>
          <w:sz w:val="21"/>
          <w:szCs w:val="21"/>
          <w:highlight w:val="none"/>
          <w:lang w:val="en-US" w:eastAsia="zh-CN" w:bidi="ar"/>
        </w:rPr>
        <w:t>、业绩证明材料要求：</w:t>
      </w:r>
      <w:r>
        <w:rPr>
          <w:rFonts w:hint="default" w:ascii="Times New Roman" w:hAnsi="Times New Roman" w:eastAsia="黑体" w:cs="Times New Roman"/>
          <w:color w:val="auto"/>
          <w:kern w:val="2"/>
          <w:sz w:val="21"/>
          <w:szCs w:val="21"/>
          <w:highlight w:val="none"/>
          <w:lang w:val="en-US" w:eastAsia="zh-CN" w:bidi="ar"/>
        </w:rPr>
        <w:t>_</w:t>
      </w:r>
      <w:r>
        <w:rPr>
          <w:rFonts w:hint="eastAsia" w:ascii="黑体" w:hAnsi="宋体" w:eastAsia="黑体" w:cs="黑体"/>
          <w:color w:val="auto"/>
          <w:kern w:val="2"/>
          <w:sz w:val="21"/>
          <w:szCs w:val="21"/>
          <w:highlight w:val="none"/>
          <w:u w:val="single"/>
          <w:lang w:val="en-US" w:eastAsia="zh-CN" w:bidi="ar"/>
        </w:rPr>
        <w:t>满足前附表要求</w:t>
      </w:r>
      <w:r>
        <w:rPr>
          <w:rFonts w:hint="default" w:ascii="Times New Roman" w:hAnsi="Times New Roman" w:eastAsia="黑体" w:cs="Times New Roman"/>
          <w:color w:val="auto"/>
          <w:kern w:val="2"/>
          <w:sz w:val="21"/>
          <w:szCs w:val="21"/>
          <w:highlight w:val="none"/>
          <w:lang w:val="en-US" w:eastAsia="zh-CN" w:bidi="ar"/>
        </w:rPr>
        <w:t>__</w:t>
      </w:r>
      <w:r>
        <w:rPr>
          <w:rFonts w:hint="eastAsia" w:ascii="黑体" w:hAnsi="宋体" w:eastAsia="黑体" w:cs="黑体"/>
          <w:color w:val="auto"/>
          <w:kern w:val="2"/>
          <w:sz w:val="21"/>
          <w:szCs w:val="21"/>
          <w:highlight w:val="none"/>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3</w:t>
      </w:r>
      <w:r>
        <w:rPr>
          <w:rFonts w:hint="eastAsia" w:ascii="黑体" w:hAnsi="宋体" w:eastAsia="黑体" w:cs="黑体"/>
          <w:color w:val="auto"/>
          <w:kern w:val="2"/>
          <w:sz w:val="21"/>
          <w:szCs w:val="21"/>
          <w:highlight w:val="none"/>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4</w:t>
      </w:r>
      <w:r>
        <w:rPr>
          <w:rFonts w:hint="eastAsia" w:ascii="黑体" w:hAnsi="宋体" w:eastAsia="黑体" w:cs="黑体"/>
          <w:color w:val="auto"/>
          <w:kern w:val="2"/>
          <w:sz w:val="21"/>
          <w:szCs w:val="21"/>
          <w:highlight w:val="none"/>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highlight w:val="none"/>
          <w:lang w:val="en-US" w:eastAsia="zh-CN" w:bidi="ar"/>
        </w:rPr>
        <w:t xml:space="preserve"> </w:t>
      </w:r>
      <w:r>
        <w:rPr>
          <w:rFonts w:hint="eastAsia" w:ascii="黑体" w:hAnsi="宋体" w:eastAsia="黑体" w:cs="黑体"/>
          <w:color w:val="auto"/>
          <w:kern w:val="2"/>
          <w:sz w:val="21"/>
          <w:szCs w:val="21"/>
          <w:highlight w:val="none"/>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7"/>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highlight w:val="none"/>
        </w:rPr>
      </w:pPr>
      <w:r>
        <w:rPr>
          <w:rFonts w:hint="eastAsia" w:ascii="Calibri" w:hAnsi="Calibri" w:eastAsia="黑体" w:cs="Times New Roman"/>
          <w:color w:val="auto"/>
          <w:kern w:val="2"/>
          <w:sz w:val="21"/>
          <w:szCs w:val="21"/>
          <w:highlight w:val="none"/>
          <w:lang w:val="en-US" w:eastAsia="zh-CN" w:bidi="ar"/>
        </w:rPr>
        <w:t xml:space="preserve"> </w:t>
      </w:r>
    </w:p>
    <w:p w14:paraId="4B6BF3F0">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8"/>
          <w:szCs w:val="28"/>
          <w:highlight w:val="none"/>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12" w:name="_Toc22722"/>
      <w:bookmarkStart w:id="113" w:name="_Toc21498"/>
      <w:bookmarkStart w:id="114" w:name="_Toc23165"/>
      <w:bookmarkStart w:id="115" w:name="_Toc3537"/>
      <w:bookmarkStart w:id="116" w:name="_Toc24229"/>
      <w:bookmarkStart w:id="117" w:name="_Toc9399"/>
      <w:bookmarkStart w:id="118" w:name="_Toc29607"/>
      <w:bookmarkStart w:id="119" w:name="_Toc27124"/>
      <w:r>
        <w:rPr>
          <w:rFonts w:hint="eastAsia" w:ascii="黑体" w:hAnsi="宋体" w:eastAsia="黑体" w:cs="黑体"/>
          <w:color w:val="auto"/>
          <w:kern w:val="2"/>
          <w:sz w:val="28"/>
          <w:szCs w:val="28"/>
          <w:highlight w:val="none"/>
          <w:lang w:val="en-US" w:eastAsia="zh-CN" w:bidi="ar"/>
        </w:rPr>
        <w:t>五、信誉情况</w:t>
      </w:r>
      <w:bookmarkEnd w:id="112"/>
      <w:bookmarkEnd w:id="113"/>
      <w:bookmarkEnd w:id="114"/>
      <w:bookmarkEnd w:id="115"/>
      <w:bookmarkEnd w:id="116"/>
      <w:bookmarkEnd w:id="117"/>
      <w:bookmarkEnd w:id="118"/>
      <w:bookmarkEnd w:id="119"/>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highlight w:val="none"/>
        </w:rPr>
      </w:pPr>
      <w:r>
        <w:rPr>
          <w:rFonts w:hint="default" w:ascii="Times New Roman" w:hAnsi="Times New Roman" w:eastAsia="宋体" w:cs="Times New Roman"/>
          <w:bCs/>
          <w:color w:val="auto"/>
          <w:kern w:val="2"/>
          <w:sz w:val="23"/>
          <w:szCs w:val="23"/>
          <w:highlight w:val="none"/>
          <w:lang w:val="en-US" w:eastAsia="zh-CN" w:bidi="ar"/>
        </w:rPr>
        <w:t xml:space="preserve"> </w:t>
      </w:r>
    </w:p>
    <w:tbl>
      <w:tblPr>
        <w:tblStyle w:val="21"/>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项</w:t>
            </w:r>
            <w:r>
              <w:rPr>
                <w:rFonts w:hint="default" w:ascii="Times New Roman" w:hAnsi="Times New Roman" w:eastAsia="宋体" w:cs="Times New Roman"/>
                <w:bCs/>
                <w:color w:val="auto"/>
                <w:kern w:val="2"/>
                <w:sz w:val="21"/>
                <w:szCs w:val="21"/>
                <w:highlight w:val="none"/>
                <w:lang w:val="en-US" w:eastAsia="zh-CN" w:bidi="ar"/>
              </w:rPr>
              <w:t xml:space="preserve"> </w:t>
            </w:r>
            <w:r>
              <w:rPr>
                <w:rFonts w:hint="eastAsia" w:ascii="宋体" w:hAnsi="宋体" w:eastAsia="宋体" w:cs="宋体"/>
                <w:bCs/>
                <w:color w:val="auto"/>
                <w:kern w:val="2"/>
                <w:sz w:val="21"/>
                <w:szCs w:val="21"/>
                <w:highlight w:val="none"/>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是否在国家企业信用信息公示系统（</w:t>
            </w:r>
            <w:r>
              <w:rPr>
                <w:rFonts w:hint="eastAsia" w:ascii="Times New Roman" w:hAnsi="Times New Roman" w:eastAsia="宋体" w:cs="Times New Roman"/>
                <w:color w:val="auto"/>
                <w:kern w:val="2"/>
                <w:sz w:val="24"/>
                <w:szCs w:val="24"/>
                <w:highlight w:val="none"/>
                <w:lang w:val="en-US" w:eastAsia="zh-CN" w:bidi="ar"/>
              </w:rPr>
              <w:t>www.gsxt.gov.cn</w:t>
            </w:r>
            <w:r>
              <w:rPr>
                <w:rFonts w:hint="eastAsia" w:ascii="宋体" w:hAnsi="宋体" w:eastAsia="宋体" w:cs="宋体"/>
                <w:color w:val="auto"/>
                <w:kern w:val="2"/>
                <w:sz w:val="24"/>
                <w:szCs w:val="24"/>
                <w:highlight w:val="none"/>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信用中国</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网站（</w:t>
            </w:r>
            <w:r>
              <w:rPr>
                <w:rFonts w:hint="eastAsia" w:ascii="Times New Roman" w:hAnsi="Times New Roman" w:eastAsia="宋体" w:cs="Times New Roman"/>
                <w:color w:val="auto"/>
                <w:kern w:val="2"/>
                <w:sz w:val="24"/>
                <w:szCs w:val="24"/>
                <w:highlight w:val="none"/>
                <w:lang w:val="en-US" w:eastAsia="zh-CN" w:bidi="ar"/>
              </w:rPr>
              <w:t>www.creditchina.gov.cn</w:t>
            </w:r>
            <w:r>
              <w:rPr>
                <w:rFonts w:hint="eastAsia" w:ascii="宋体" w:hAnsi="宋体" w:eastAsia="宋体" w:cs="宋体"/>
                <w:color w:val="auto"/>
                <w:kern w:val="2"/>
                <w:sz w:val="24"/>
                <w:szCs w:val="24"/>
                <w:highlight w:val="none"/>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是否在近三年内（自响应文件递交截止之日向前追溯</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注：本表需附证明材料。</w:t>
      </w:r>
    </w:p>
    <w:p w14:paraId="5F6E923E">
      <w:pPr>
        <w:pStyle w:val="17"/>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75B93371">
      <w:pPr>
        <w:pStyle w:val="17"/>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highlight w:val="none"/>
          <w:u w:val="singl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45E69B0">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highlight w:val="none"/>
        </w:rPr>
      </w:pPr>
      <w:r>
        <w:rPr>
          <w:rFonts w:hint="default" w:ascii="Calibri" w:hAnsi="Calibri" w:eastAsia="宋体" w:cs="Times New Roman"/>
          <w:color w:val="auto"/>
          <w:kern w:val="2"/>
          <w:sz w:val="21"/>
          <w:szCs w:val="21"/>
          <w:highlight w:val="none"/>
          <w:lang w:val="en-US" w:eastAsia="zh-CN" w:bidi="ar"/>
        </w:rPr>
        <w:t xml:space="preserve"> </w:t>
      </w:r>
    </w:p>
    <w:p w14:paraId="31EE91A8">
      <w:pPr>
        <w:pStyle w:val="17"/>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黑体" w:cs="Times New Roman"/>
          <w:color w:val="auto"/>
          <w:kern w:val="2"/>
          <w:sz w:val="27"/>
          <w:szCs w:val="27"/>
          <w:highlight w:val="none"/>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highlight w:val="none"/>
          <w:lang w:val="en-US"/>
        </w:rPr>
      </w:pPr>
      <w:bookmarkStart w:id="120" w:name="_Toc22047"/>
      <w:bookmarkStart w:id="121" w:name="_Toc22954"/>
      <w:bookmarkStart w:id="122" w:name="_Toc15048"/>
      <w:bookmarkStart w:id="123" w:name="_Toc20979"/>
      <w:bookmarkStart w:id="124" w:name="_Toc24674"/>
      <w:bookmarkStart w:id="125" w:name="_Toc32707"/>
      <w:bookmarkStart w:id="126" w:name="_Toc10389"/>
      <w:bookmarkStart w:id="127" w:name="_Toc1569"/>
      <w:r>
        <w:rPr>
          <w:rFonts w:hint="eastAsia" w:ascii="黑体" w:hAnsi="宋体" w:eastAsia="黑体" w:cs="黑体"/>
          <w:color w:val="auto"/>
          <w:kern w:val="2"/>
          <w:sz w:val="28"/>
          <w:szCs w:val="28"/>
          <w:highlight w:val="none"/>
          <w:lang w:val="en-US" w:eastAsia="zh-CN" w:bidi="ar"/>
        </w:rPr>
        <w:t>六、企业实力</w:t>
      </w:r>
      <w:bookmarkEnd w:id="120"/>
      <w:bookmarkEnd w:id="121"/>
      <w:bookmarkEnd w:id="122"/>
      <w:bookmarkEnd w:id="123"/>
      <w:bookmarkEnd w:id="124"/>
      <w:bookmarkEnd w:id="125"/>
      <w:bookmarkEnd w:id="126"/>
    </w:p>
    <w:p w14:paraId="23B09A51">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bCs w:val="0"/>
          <w:color w:val="auto"/>
          <w:kern w:val="0"/>
          <w:sz w:val="21"/>
          <w:szCs w:val="21"/>
          <w:highlight w:val="none"/>
          <w:lang w:val="en-US" w:eastAsia="zh-CN" w:bidi="ar"/>
        </w:rPr>
        <w:t>1</w:t>
      </w:r>
      <w:r>
        <w:rPr>
          <w:rFonts w:hint="eastAsia" w:asciiTheme="minorEastAsia" w:hAnsiTheme="minorEastAsia" w:eastAsiaTheme="minorEastAsia" w:cstheme="minorEastAsia"/>
          <w:b/>
          <w:bCs w:val="0"/>
          <w:color w:val="auto"/>
          <w:kern w:val="0"/>
          <w:sz w:val="21"/>
          <w:szCs w:val="21"/>
          <w:highlight w:val="none"/>
          <w:lang w:bidi="ar"/>
        </w:rPr>
        <w:t>.厂区规模情况</w:t>
      </w:r>
      <w:r>
        <w:rPr>
          <w:rFonts w:hint="eastAsia" w:asciiTheme="minorEastAsia" w:hAnsiTheme="minorEastAsia" w:eastAsiaTheme="minorEastAsia" w:cstheme="minorEastAsia"/>
          <w:b/>
          <w:bCs w:val="0"/>
          <w:color w:val="auto"/>
          <w:kern w:val="0"/>
          <w:sz w:val="21"/>
          <w:szCs w:val="21"/>
          <w:highlight w:val="none"/>
          <w:lang w:val="en-US" w:eastAsia="zh-CN" w:bidi="ar"/>
        </w:rPr>
        <w:t>：</w:t>
      </w:r>
    </w:p>
    <w:p w14:paraId="53E1E620">
      <w:pPr>
        <w:pStyle w:val="18"/>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80" w:lineRule="auto"/>
        <w:ind w:left="0" w:right="0" w:firstLine="0"/>
        <w:jc w:val="left"/>
        <w:textAlignment w:val="auto"/>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须提供响应产品生产加工厂的相关资料，包括但不限于工厂具体定位（百度地图定位截图）、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w:t>
      </w:r>
    </w:p>
    <w:p w14:paraId="168C85EE">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color w:val="auto"/>
          <w:kern w:val="0"/>
          <w:sz w:val="21"/>
          <w:szCs w:val="21"/>
          <w:highlight w:val="none"/>
          <w:lang w:val="en-US" w:eastAsia="zh-CN" w:bidi="ar"/>
        </w:rPr>
        <w:t>2</w:t>
      </w:r>
      <w:r>
        <w:rPr>
          <w:rFonts w:hint="eastAsia" w:asciiTheme="minorEastAsia" w:hAnsiTheme="minorEastAsia" w:eastAsiaTheme="minorEastAsia" w:cstheme="minorEastAsia"/>
          <w:b/>
          <w:color w:val="auto"/>
          <w:kern w:val="0"/>
          <w:sz w:val="21"/>
          <w:szCs w:val="21"/>
          <w:highlight w:val="none"/>
          <w:lang w:bidi="ar"/>
        </w:rPr>
        <w:t>.机械</w:t>
      </w:r>
      <w:r>
        <w:rPr>
          <w:rFonts w:hint="eastAsia" w:asciiTheme="minorEastAsia" w:hAnsiTheme="minorEastAsia" w:eastAsiaTheme="minorEastAsia" w:cstheme="minorEastAsia"/>
          <w:b/>
          <w:bCs w:val="0"/>
          <w:color w:val="auto"/>
          <w:kern w:val="0"/>
          <w:sz w:val="21"/>
          <w:szCs w:val="21"/>
          <w:highlight w:val="none"/>
          <w:lang w:bidi="ar"/>
        </w:rPr>
        <w:t>设备情况</w:t>
      </w:r>
      <w:r>
        <w:rPr>
          <w:rFonts w:hint="eastAsia" w:asciiTheme="minorEastAsia" w:hAnsiTheme="minorEastAsia" w:eastAsiaTheme="minorEastAsia" w:cstheme="minorEastAsia"/>
          <w:b/>
          <w:bCs w:val="0"/>
          <w:color w:val="auto"/>
          <w:kern w:val="0"/>
          <w:sz w:val="21"/>
          <w:szCs w:val="21"/>
          <w:highlight w:val="none"/>
          <w:lang w:eastAsia="zh-CN" w:bidi="ar"/>
        </w:rPr>
        <w:t>：</w:t>
      </w:r>
    </w:p>
    <w:p w14:paraId="2437230A">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cstheme="minorEastAsia"/>
          <w:b/>
          <w:bCs w:val="0"/>
          <w:color w:val="auto"/>
          <w:kern w:val="0"/>
          <w:sz w:val="21"/>
          <w:szCs w:val="21"/>
          <w:highlight w:val="none"/>
          <w:lang w:val="en-US" w:eastAsia="zh-CN" w:bidi="ar"/>
        </w:rPr>
        <w:t>3</w:t>
      </w:r>
      <w:r>
        <w:rPr>
          <w:rFonts w:hint="eastAsia" w:asciiTheme="minorEastAsia" w:hAnsiTheme="minorEastAsia" w:eastAsiaTheme="minorEastAsia" w:cstheme="minorEastAsia"/>
          <w:b/>
          <w:bCs w:val="0"/>
          <w:color w:val="auto"/>
          <w:kern w:val="0"/>
          <w:sz w:val="21"/>
          <w:szCs w:val="21"/>
          <w:highlight w:val="none"/>
          <w:lang w:bidi="ar"/>
        </w:rPr>
        <w:t>.人员情况</w:t>
      </w:r>
      <w:r>
        <w:rPr>
          <w:rFonts w:hint="eastAsia" w:asciiTheme="minorEastAsia" w:hAnsiTheme="minorEastAsia" w:cstheme="minorEastAsia"/>
          <w:b/>
          <w:bCs w:val="0"/>
          <w:color w:val="auto"/>
          <w:kern w:val="0"/>
          <w:sz w:val="21"/>
          <w:szCs w:val="21"/>
          <w:highlight w:val="none"/>
          <w:lang w:val="en-US" w:eastAsia="zh-CN" w:bidi="ar"/>
        </w:rPr>
        <w:t>：</w:t>
      </w:r>
    </w:p>
    <w:p w14:paraId="77704387">
      <w:pPr>
        <w:keepNext w:val="0"/>
        <w:keepLines w:val="0"/>
        <w:widowControl w:val="0"/>
        <w:suppressLineNumbers w:val="0"/>
        <w:spacing w:before="0" w:beforeLines="0" w:beforeAutospacing="0" w:after="0" w:afterLines="0" w:afterAutospacing="0" w:line="480" w:lineRule="auto"/>
        <w:ind w:left="0" w:right="0"/>
        <w:jc w:val="left"/>
        <w:rPr>
          <w:rFonts w:hint="eastAsia" w:ascii="Times New Roman" w:hAnsi="Times New Roman" w:cs="Times New Roman" w:eastAsiaTheme="minorEastAsia"/>
          <w:b/>
          <w:bCs w:val="0"/>
          <w:color w:val="auto"/>
          <w:kern w:val="2"/>
          <w:sz w:val="20"/>
          <w:szCs w:val="20"/>
          <w:highlight w:val="none"/>
          <w:lang w:val="en-US" w:eastAsia="zh-CN"/>
        </w:rPr>
      </w:pP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28D66702">
      <w:pPr>
        <w:pStyle w:val="2"/>
        <w:rPr>
          <w:rFonts w:hint="eastAsia" w:ascii="黑体" w:hAnsi="宋体" w:eastAsia="黑体" w:cs="黑体"/>
          <w:color w:val="auto"/>
          <w:kern w:val="2"/>
          <w:sz w:val="28"/>
          <w:szCs w:val="28"/>
          <w:highlight w:val="none"/>
          <w:lang w:val="en-US" w:eastAsia="zh-CN" w:bidi="ar"/>
        </w:rPr>
      </w:pPr>
    </w:p>
    <w:p w14:paraId="6FF13152">
      <w:pPr>
        <w:pStyle w:val="3"/>
        <w:rPr>
          <w:rFonts w:hint="eastAsia"/>
          <w:color w:val="auto"/>
          <w:highlight w:val="none"/>
          <w:lang w:val="en-US" w:eastAsia="zh-CN"/>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B199B6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3FC4EDE">
      <w:pPr>
        <w:pStyle w:val="2"/>
        <w:rPr>
          <w:rFonts w:hint="eastAsia"/>
          <w:lang w:val="en-US" w:eastAsia="zh-CN"/>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E8ED9C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lang w:val="en-US"/>
        </w:rPr>
      </w:pPr>
      <w:bookmarkStart w:id="128" w:name="_Toc22740"/>
      <w:bookmarkStart w:id="129" w:name="_Toc1189"/>
      <w:bookmarkStart w:id="130" w:name="_Toc19445"/>
      <w:bookmarkStart w:id="131" w:name="_Toc20323"/>
      <w:bookmarkStart w:id="132" w:name="_Toc9722"/>
      <w:bookmarkStart w:id="133" w:name="_Toc11234"/>
      <w:bookmarkStart w:id="134" w:name="_Toc7906"/>
      <w:r>
        <w:rPr>
          <w:rFonts w:hint="eastAsia" w:ascii="黑体" w:hAnsi="宋体" w:eastAsia="黑体" w:cs="黑体"/>
          <w:color w:val="auto"/>
          <w:kern w:val="2"/>
          <w:sz w:val="28"/>
          <w:szCs w:val="28"/>
          <w:highlight w:val="none"/>
          <w:lang w:val="en-US" w:eastAsia="zh-CN" w:bidi="ar"/>
        </w:rPr>
        <w:t>七、</w:t>
      </w:r>
      <w:bookmarkEnd w:id="127"/>
      <w:r>
        <w:rPr>
          <w:rFonts w:hint="eastAsia" w:ascii="黑体" w:hAnsi="宋体" w:eastAsia="黑体" w:cs="黑体"/>
          <w:color w:val="auto"/>
          <w:kern w:val="2"/>
          <w:sz w:val="28"/>
          <w:szCs w:val="28"/>
          <w:highlight w:val="none"/>
          <w:lang w:val="en-US" w:eastAsia="zh-CN" w:bidi="ar"/>
        </w:rPr>
        <w:t>生产体系认证</w:t>
      </w:r>
      <w:bookmarkEnd w:id="128"/>
      <w:bookmarkEnd w:id="129"/>
      <w:bookmarkEnd w:id="130"/>
      <w:bookmarkEnd w:id="131"/>
      <w:bookmarkEnd w:id="132"/>
      <w:bookmarkEnd w:id="133"/>
      <w:bookmarkEnd w:id="134"/>
    </w:p>
    <w:p w14:paraId="61C9C3C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F16A055">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 xml:space="preserve"> </w:t>
      </w:r>
    </w:p>
    <w:p w14:paraId="51985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A6ACF41">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A4995E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1C39677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1AEE525">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2988E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7B8666F">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19A5516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1256764">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06E25C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F46100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037303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B03ADCA">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6AF27A85">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lang w:val="en-US" w:eastAsia="zh-CN" w:bidi="ar"/>
        </w:rPr>
      </w:pPr>
    </w:p>
    <w:p w14:paraId="4C42973B">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lang w:val="en-US" w:eastAsia="zh-CN" w:bidi="ar"/>
        </w:rPr>
      </w:pPr>
    </w:p>
    <w:p w14:paraId="3C45926F">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bookmarkStart w:id="135" w:name="_Toc31378"/>
      <w:bookmarkStart w:id="136" w:name="_Toc7941"/>
    </w:p>
    <w:p w14:paraId="625C0E6D">
      <w:pPr>
        <w:spacing w:beforeLines="0" w:afterLines="0" w:line="440" w:lineRule="exact"/>
        <w:jc w:val="center"/>
        <w:outlineLvl w:val="0"/>
        <w:rPr>
          <w:rFonts w:hint="default" w:ascii="Times New Roman" w:hAnsi="Times New Roman" w:eastAsia="黑体"/>
          <w:color w:val="auto"/>
          <w:sz w:val="28"/>
          <w:szCs w:val="28"/>
          <w:highlight w:val="none"/>
          <w:lang w:val="en-US" w:eastAsia="zh-CN"/>
        </w:rPr>
      </w:pPr>
      <w:bookmarkStart w:id="137" w:name="_Toc18298"/>
      <w:bookmarkStart w:id="138" w:name="_Toc27742"/>
      <w:bookmarkStart w:id="139" w:name="_Toc31856"/>
      <w:bookmarkStart w:id="140" w:name="_Toc5689"/>
      <w:bookmarkStart w:id="141" w:name="_Toc28805"/>
      <w:bookmarkStart w:id="142" w:name="_Toc22367"/>
      <w:r>
        <w:rPr>
          <w:rFonts w:hint="eastAsia" w:ascii="Times New Roman" w:hAnsi="Times New Roman" w:eastAsia="黑体"/>
          <w:color w:val="auto"/>
          <w:sz w:val="28"/>
          <w:szCs w:val="28"/>
          <w:highlight w:val="none"/>
          <w:lang w:val="en-US" w:eastAsia="zh-CN"/>
        </w:rPr>
        <w:t>八</w:t>
      </w:r>
      <w:r>
        <w:rPr>
          <w:rFonts w:hint="eastAsia" w:ascii="Times New Roman" w:hAnsi="Times New Roman" w:eastAsia="黑体"/>
          <w:color w:val="auto"/>
          <w:sz w:val="28"/>
          <w:szCs w:val="28"/>
          <w:highlight w:val="none"/>
        </w:rPr>
        <w:t>、</w:t>
      </w:r>
      <w:bookmarkEnd w:id="135"/>
      <w:r>
        <w:rPr>
          <w:rFonts w:hint="eastAsia" w:ascii="Times New Roman" w:hAnsi="Times New Roman" w:eastAsia="黑体"/>
          <w:color w:val="auto"/>
          <w:sz w:val="28"/>
          <w:szCs w:val="28"/>
          <w:highlight w:val="none"/>
          <w:lang w:val="en-US" w:eastAsia="zh-CN"/>
        </w:rPr>
        <w:t>供货方案</w:t>
      </w:r>
      <w:bookmarkEnd w:id="137"/>
      <w:bookmarkEnd w:id="138"/>
      <w:bookmarkEnd w:id="139"/>
      <w:bookmarkEnd w:id="140"/>
      <w:bookmarkEnd w:id="141"/>
      <w:bookmarkEnd w:id="142"/>
    </w:p>
    <w:p w14:paraId="1E84018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43" w:name="_Toc15502"/>
      <w:bookmarkStart w:id="144" w:name="_Toc6951"/>
      <w:bookmarkStart w:id="145" w:name="_Toc3565"/>
      <w:bookmarkStart w:id="146" w:name="_Toc15543"/>
      <w:bookmarkStart w:id="147" w:name="_Toc20089"/>
      <w:bookmarkStart w:id="148" w:name="_Toc10923"/>
      <w:bookmarkStart w:id="149" w:name="_Toc11262"/>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供货方案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43"/>
      <w:bookmarkEnd w:id="144"/>
      <w:bookmarkEnd w:id="145"/>
      <w:bookmarkEnd w:id="146"/>
      <w:bookmarkEnd w:id="147"/>
      <w:bookmarkEnd w:id="148"/>
      <w:bookmarkEnd w:id="149"/>
    </w:p>
    <w:p w14:paraId="7819A5B5">
      <w:pPr>
        <w:spacing w:beforeLines="0" w:afterLines="0" w:line="440" w:lineRule="exact"/>
        <w:jc w:val="center"/>
        <w:outlineLvl w:val="0"/>
        <w:rPr>
          <w:rFonts w:hint="eastAsia" w:ascii="Times New Roman" w:hAnsi="Times New Roman" w:eastAsia="黑体"/>
          <w:color w:val="auto"/>
          <w:sz w:val="28"/>
          <w:szCs w:val="28"/>
          <w:highlight w:val="none"/>
        </w:rPr>
      </w:pPr>
    </w:p>
    <w:p w14:paraId="6DC9943D">
      <w:pPr>
        <w:pStyle w:val="2"/>
        <w:rPr>
          <w:rFonts w:hint="eastAsia"/>
          <w:color w:val="auto"/>
          <w:highlight w:val="none"/>
        </w:rPr>
      </w:pPr>
    </w:p>
    <w:p w14:paraId="6BD11B5F">
      <w:pPr>
        <w:spacing w:beforeLines="0" w:afterLines="0" w:line="440" w:lineRule="exact"/>
        <w:jc w:val="center"/>
        <w:outlineLvl w:val="0"/>
        <w:rPr>
          <w:rFonts w:hint="eastAsia" w:ascii="Times New Roman" w:hAnsi="Times New Roman" w:eastAsia="黑体"/>
          <w:color w:val="auto"/>
          <w:sz w:val="28"/>
          <w:szCs w:val="28"/>
          <w:highlight w:val="none"/>
        </w:rPr>
      </w:pPr>
    </w:p>
    <w:bookmarkEnd w:id="136"/>
    <w:p w14:paraId="735BEFF5">
      <w:pPr>
        <w:spacing w:beforeLines="0" w:afterLines="0" w:line="440" w:lineRule="exact"/>
        <w:rPr>
          <w:rFonts w:hint="eastAsia" w:ascii="Times New Roman" w:hAnsi="Times New Roman" w:eastAsia="Times New Roman"/>
          <w:color w:val="auto"/>
          <w:sz w:val="20"/>
          <w:szCs w:val="20"/>
          <w:highlight w:val="none"/>
        </w:rPr>
      </w:pPr>
    </w:p>
    <w:p w14:paraId="039EC7DC">
      <w:pPr>
        <w:pStyle w:val="17"/>
        <w:keepNext w:val="0"/>
        <w:keepLines w:val="0"/>
        <w:widowControl w:val="0"/>
        <w:suppressLineNumbers w:val="0"/>
        <w:spacing w:before="0" w:beforeAutospacing="1" w:after="120" w:afterAutospacing="0"/>
        <w:ind w:right="0"/>
        <w:jc w:val="both"/>
        <w:rPr>
          <w:rFonts w:hint="default" w:ascii="Times New Roman" w:hAnsi="Times New Roman" w:eastAsia="黑体" w:cs="Times New Roman"/>
          <w:color w:val="auto"/>
          <w:kern w:val="2"/>
          <w:sz w:val="28"/>
          <w:szCs w:val="28"/>
          <w:highlight w:val="none"/>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BA98B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C0A85EE">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DDCA947">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B611D3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6BF9F7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B52E8D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26FDB49D">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bookmarkStart w:id="150" w:name="_Toc30485"/>
    </w:p>
    <w:p w14:paraId="13EB74BC">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p>
    <w:p w14:paraId="603EA04B">
      <w:pPr>
        <w:spacing w:beforeLines="0" w:afterLines="0" w:line="440" w:lineRule="exact"/>
        <w:jc w:val="center"/>
        <w:outlineLvl w:val="0"/>
        <w:rPr>
          <w:rFonts w:hint="eastAsia" w:ascii="Times New Roman" w:hAnsi="Times New Roman" w:eastAsia="黑体"/>
          <w:color w:val="auto"/>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bookmarkStart w:id="151" w:name="_Toc8048"/>
      <w:bookmarkStart w:id="152" w:name="_Toc19500"/>
      <w:bookmarkStart w:id="153" w:name="_Toc28647"/>
      <w:bookmarkStart w:id="154" w:name="_Toc9218"/>
      <w:bookmarkStart w:id="155" w:name="_Toc31164"/>
      <w:bookmarkStart w:id="156" w:name="_Toc21273"/>
      <w:bookmarkStart w:id="157" w:name="_Toc17944"/>
      <w:r>
        <w:rPr>
          <w:rFonts w:hint="eastAsia" w:ascii="Times New Roman" w:hAnsi="Times New Roman" w:eastAsia="黑体" w:cs="Times New Roman"/>
          <w:color w:val="auto"/>
          <w:kern w:val="2"/>
          <w:sz w:val="28"/>
          <w:szCs w:val="28"/>
          <w:highlight w:val="none"/>
          <w:lang w:val="en-US" w:eastAsia="zh-CN" w:bidi="ar"/>
        </w:rPr>
        <w:t>九</w:t>
      </w:r>
      <w:r>
        <w:rPr>
          <w:rFonts w:hint="eastAsia" w:ascii="Times New Roman" w:hAnsi="Times New Roman" w:eastAsia="黑体"/>
          <w:color w:val="auto"/>
          <w:sz w:val="28"/>
          <w:szCs w:val="28"/>
          <w:highlight w:val="none"/>
        </w:rPr>
        <w:t>、</w:t>
      </w:r>
      <w:bookmarkEnd w:id="151"/>
      <w:r>
        <w:rPr>
          <w:rFonts w:hint="eastAsia" w:ascii="Times New Roman" w:hAnsi="Times New Roman" w:eastAsia="黑体"/>
          <w:color w:val="auto"/>
          <w:sz w:val="28"/>
          <w:szCs w:val="28"/>
          <w:highlight w:val="none"/>
          <w:lang w:val="en-US" w:eastAsia="zh-CN"/>
        </w:rPr>
        <w:t>售后服务方案</w:t>
      </w:r>
      <w:bookmarkEnd w:id="152"/>
      <w:bookmarkEnd w:id="153"/>
      <w:bookmarkEnd w:id="154"/>
      <w:bookmarkEnd w:id="155"/>
      <w:bookmarkEnd w:id="156"/>
      <w:bookmarkEnd w:id="157"/>
    </w:p>
    <w:p w14:paraId="4FCD267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58" w:name="_Toc9931"/>
      <w:bookmarkStart w:id="159" w:name="_Toc30922"/>
      <w:bookmarkStart w:id="160" w:name="_Toc7405"/>
      <w:bookmarkStart w:id="161" w:name="_Toc7980"/>
      <w:bookmarkStart w:id="162" w:name="_Toc11455"/>
      <w:bookmarkStart w:id="163" w:name="_Toc3267"/>
      <w:bookmarkStart w:id="164" w:name="_Toc31491"/>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售后服务方案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58"/>
      <w:bookmarkEnd w:id="159"/>
      <w:bookmarkEnd w:id="160"/>
      <w:bookmarkEnd w:id="161"/>
      <w:bookmarkEnd w:id="162"/>
      <w:bookmarkEnd w:id="163"/>
      <w:bookmarkEnd w:id="164"/>
    </w:p>
    <w:p w14:paraId="10E2C7A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25346B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202A8B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1994CF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5E115A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8C9A0C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2BE65C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9C8BDC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511C08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A94FEF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740606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E86E65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1D4DB5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735671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6624A8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FE90D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8A9E9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99099D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DD845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F0F211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2DD6DE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55BA99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357505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42D10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3CF17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38F5CB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EF0DC0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37D0EF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F1B62BC">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8FA055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65" w:name="_Toc11900"/>
      <w:bookmarkStart w:id="166" w:name="_Toc16480"/>
      <w:bookmarkStart w:id="167" w:name="_Toc17368"/>
      <w:bookmarkStart w:id="168" w:name="_Toc3072"/>
      <w:bookmarkStart w:id="169" w:name="_Toc3113"/>
      <w:bookmarkStart w:id="170" w:name="_Toc14186"/>
      <w:bookmarkStart w:id="171" w:name="_Toc22621"/>
      <w:r>
        <w:rPr>
          <w:rFonts w:hint="eastAsia" w:ascii="黑体" w:hAnsi="宋体" w:eastAsia="黑体" w:cs="黑体"/>
          <w:color w:val="auto"/>
          <w:kern w:val="2"/>
          <w:sz w:val="28"/>
          <w:szCs w:val="28"/>
          <w:highlight w:val="none"/>
          <w:lang w:val="en-US" w:eastAsia="zh-CN" w:bidi="ar"/>
        </w:rPr>
        <w:t>十、承诺书</w:t>
      </w:r>
      <w:bookmarkEnd w:id="150"/>
      <w:bookmarkEnd w:id="165"/>
      <w:bookmarkEnd w:id="166"/>
      <w:bookmarkEnd w:id="167"/>
      <w:bookmarkEnd w:id="168"/>
      <w:bookmarkEnd w:id="169"/>
      <w:bookmarkEnd w:id="170"/>
      <w:bookmarkEnd w:id="171"/>
    </w:p>
    <w:p w14:paraId="0D42E53B">
      <w:pPr>
        <w:pStyle w:val="17"/>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highlight w:val="none"/>
        </w:rPr>
      </w:pPr>
      <w:r>
        <w:rPr>
          <w:rFonts w:hint="eastAsia" w:ascii="方正小标宋简体" w:hAnsi="方正小标宋简体" w:eastAsia="方正小标宋简体" w:cs="方正小标宋简体"/>
          <w:color w:val="auto"/>
          <w:kern w:val="2"/>
          <w:sz w:val="36"/>
          <w:szCs w:val="36"/>
          <w:highlight w:val="none"/>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致：</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1. </w:t>
      </w:r>
      <w:r>
        <w:rPr>
          <w:rFonts w:hint="eastAsia" w:ascii="宋体" w:hAnsi="宋体" w:eastAsia="宋体" w:cs="宋体"/>
          <w:color w:val="auto"/>
          <w:kern w:val="2"/>
          <w:sz w:val="24"/>
          <w:szCs w:val="24"/>
          <w:highlight w:val="none"/>
          <w:lang w:val="en-US" w:eastAsia="zh-CN" w:bidi="ar"/>
        </w:rPr>
        <w:t>我方已仔细研究了</w:t>
      </w:r>
      <w:r>
        <w:rPr>
          <w:rFonts w:hint="eastAsia" w:ascii="Times New Roman" w:hAnsi="Times New Roman" w:eastAsia="宋体" w:cs="Times New Roman"/>
          <w:color w:val="auto"/>
          <w:kern w:val="2"/>
          <w:sz w:val="24"/>
          <w:szCs w:val="24"/>
          <w:highlight w:val="none"/>
          <w:u w:val="single"/>
          <w:lang w:val="en-US" w:eastAsia="zh-CN" w:bidi="ar"/>
        </w:rPr>
        <w:t>合肥市包河区BH202437号地块项目二标段水泥砖采购项目</w:t>
      </w:r>
      <w:r>
        <w:rPr>
          <w:rFonts w:hint="eastAsia" w:ascii="宋体" w:hAnsi="宋体" w:eastAsia="宋体" w:cs="宋体"/>
          <w:color w:val="auto"/>
          <w:kern w:val="2"/>
          <w:sz w:val="24"/>
          <w:szCs w:val="24"/>
          <w:highlight w:val="none"/>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highlight w:val="none"/>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2. </w:t>
      </w:r>
      <w:r>
        <w:rPr>
          <w:rFonts w:hint="eastAsia" w:ascii="宋体" w:hAnsi="宋体" w:eastAsia="宋体" w:cs="宋体"/>
          <w:color w:val="auto"/>
          <w:kern w:val="2"/>
          <w:sz w:val="24"/>
          <w:szCs w:val="24"/>
          <w:highlight w:val="none"/>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highlight w:val="none"/>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3. </w:t>
      </w:r>
      <w:r>
        <w:rPr>
          <w:rFonts w:hint="eastAsia" w:ascii="宋体" w:hAnsi="宋体" w:eastAsia="宋体" w:cs="宋体"/>
          <w:color w:val="auto"/>
          <w:kern w:val="2"/>
          <w:sz w:val="24"/>
          <w:szCs w:val="24"/>
          <w:highlight w:val="none"/>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highlight w:val="none"/>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4. </w:t>
      </w:r>
      <w:r>
        <w:rPr>
          <w:rFonts w:hint="eastAsia" w:ascii="宋体" w:hAnsi="宋体" w:eastAsia="宋体" w:cs="宋体"/>
          <w:color w:val="auto"/>
          <w:kern w:val="2"/>
          <w:sz w:val="24"/>
          <w:szCs w:val="24"/>
          <w:highlight w:val="none"/>
          <w:lang w:val="en-US" w:eastAsia="zh-CN" w:bidi="ar"/>
        </w:rPr>
        <w:t>如我方成交，我方承诺：</w:t>
      </w:r>
      <w:r>
        <w:rPr>
          <w:rFonts w:hint="eastAsia" w:ascii="Times New Roman" w:hAnsi="Times New Roman" w:eastAsia="宋体" w:cs="Times New Roman"/>
          <w:color w:val="auto"/>
          <w:kern w:val="2"/>
          <w:sz w:val="24"/>
          <w:szCs w:val="24"/>
          <w:highlight w:val="none"/>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highlight w:val="none"/>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）在签订合同时不向你方提出附加条件；</w:t>
      </w:r>
      <w:r>
        <w:rPr>
          <w:rFonts w:hint="eastAsia" w:ascii="Times New Roman" w:hAnsi="Times New Roman" w:eastAsia="宋体" w:cs="Times New Roman"/>
          <w:color w:val="auto"/>
          <w:kern w:val="2"/>
          <w:sz w:val="24"/>
          <w:szCs w:val="24"/>
          <w:highlight w:val="none"/>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）按照采购文件要求提交履约保证金；</w:t>
      </w:r>
      <w:r>
        <w:rPr>
          <w:rFonts w:hint="eastAsia" w:ascii="Times New Roman" w:hAnsi="Times New Roman" w:eastAsia="宋体" w:cs="Times New Roman"/>
          <w:color w:val="auto"/>
          <w:kern w:val="2"/>
          <w:sz w:val="24"/>
          <w:szCs w:val="24"/>
          <w:highlight w:val="none"/>
          <w:lang w:val="en-US" w:eastAsia="zh-CN" w:bidi="ar"/>
        </w:rPr>
        <w:t xml:space="preserve"> </w:t>
      </w:r>
    </w:p>
    <w:p w14:paraId="68B1C37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）在合同约定的期限内完成合同规定的全部义务；</w:t>
      </w:r>
    </w:p>
    <w:p w14:paraId="6AE90DF3">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（5）按照响应文件第六章企业实力中提到的具体加工厂生产产品，合同执行期间无条件接受你方检查，如未经你方同意擅自在其他地方生产的，你方有权取消合同。</w:t>
      </w:r>
      <w:r>
        <w:rPr>
          <w:rFonts w:hint="eastAsia" w:ascii="Times New Roman" w:hAnsi="Times New Roman" w:eastAsia="宋体" w:cs="Times New Roman"/>
          <w:b/>
          <w:bCs/>
          <w:color w:val="auto"/>
          <w:kern w:val="2"/>
          <w:sz w:val="24"/>
          <w:szCs w:val="24"/>
          <w:highlight w:val="none"/>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w:t>
      </w:r>
      <w:r>
        <w:rPr>
          <w:rFonts w:hint="eastAsia" w:ascii="Times New Roman" w:hAnsi="Times New Roman" w:eastAsia="宋体" w:cs="Times New Roman"/>
          <w:b/>
          <w:bCs/>
          <w:color w:val="auto"/>
          <w:kern w:val="2"/>
          <w:sz w:val="24"/>
          <w:szCs w:val="24"/>
          <w:highlight w:val="none"/>
          <w:lang w:val="en-US" w:eastAsia="zh-CN" w:bidi="ar"/>
        </w:rPr>
        <w:t>6</w:t>
      </w:r>
      <w:r>
        <w:rPr>
          <w:rFonts w:hint="eastAsia" w:ascii="宋体" w:hAnsi="宋体" w:eastAsia="宋体" w:cs="宋体"/>
          <w:b/>
          <w:bCs/>
          <w:color w:val="auto"/>
          <w:kern w:val="2"/>
          <w:sz w:val="24"/>
          <w:szCs w:val="24"/>
          <w:highlight w:val="none"/>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b/>
          <w:bCs/>
          <w:color w:val="auto"/>
          <w:kern w:val="2"/>
          <w:sz w:val="24"/>
          <w:szCs w:val="24"/>
          <w:highlight w:val="none"/>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5. </w:t>
      </w:r>
      <w:r>
        <w:rPr>
          <w:rFonts w:hint="eastAsia" w:ascii="宋体" w:hAnsi="宋体" w:eastAsia="宋体" w:cs="宋体"/>
          <w:color w:val="auto"/>
          <w:kern w:val="2"/>
          <w:sz w:val="24"/>
          <w:szCs w:val="24"/>
          <w:highlight w:val="none"/>
          <w:lang w:val="en-US" w:eastAsia="zh-CN" w:bidi="ar"/>
        </w:rPr>
        <w:t>我方在此声明，所递交的响应文件及有关资料内容完整、真实和准确，符合资格审查条件（最低要求），且符合第二章</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供应商须知</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规定。</w:t>
      </w:r>
    </w:p>
    <w:p w14:paraId="31808340">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highlight w:val="none"/>
        </w:rPr>
      </w:pPr>
      <w:r>
        <w:rPr>
          <w:rFonts w:hint="eastAsia" w:ascii="Times New Roman" w:hAnsi="Times New Roman" w:eastAsia="黑体" w:cs="Times New Roman"/>
          <w:color w:val="auto"/>
          <w:kern w:val="2"/>
          <w:sz w:val="28"/>
          <w:szCs w:val="28"/>
          <w:highlight w:val="none"/>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响应人：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（签字或盖章）</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8B65FD6">
      <w:pPr>
        <w:rPr>
          <w:rFonts w:hint="default" w:ascii="Times New Roman" w:hAnsi="Times New Roman" w:eastAsia="宋体" w:cs="Times New Roman"/>
          <w:color w:val="auto"/>
          <w:kern w:val="2"/>
          <w:sz w:val="24"/>
          <w:szCs w:val="24"/>
          <w:highlight w:val="none"/>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72" w:name="_Toc7229"/>
      <w:bookmarkStart w:id="173" w:name="_Toc7689"/>
      <w:bookmarkStart w:id="174" w:name="_Toc30427"/>
      <w:bookmarkStart w:id="175" w:name="_Toc10121"/>
      <w:bookmarkStart w:id="176" w:name="_Toc16824"/>
      <w:bookmarkStart w:id="177" w:name="_Toc2975"/>
      <w:bookmarkStart w:id="178" w:name="_Toc10955"/>
      <w:bookmarkStart w:id="179" w:name="_Toc3055"/>
      <w:r>
        <w:rPr>
          <w:rFonts w:hint="eastAsia" w:ascii="黑体" w:hAnsi="宋体" w:eastAsia="黑体" w:cs="黑体"/>
          <w:color w:val="auto"/>
          <w:kern w:val="2"/>
          <w:sz w:val="28"/>
          <w:szCs w:val="28"/>
          <w:highlight w:val="none"/>
          <w:lang w:val="en-US" w:eastAsia="zh-CN" w:bidi="ar"/>
        </w:rPr>
        <w:t>十一、其他材料</w:t>
      </w:r>
      <w:bookmarkEnd w:id="172"/>
      <w:bookmarkEnd w:id="173"/>
      <w:bookmarkEnd w:id="174"/>
      <w:bookmarkEnd w:id="175"/>
      <w:bookmarkEnd w:id="176"/>
      <w:bookmarkEnd w:id="177"/>
      <w:bookmarkEnd w:id="178"/>
      <w:bookmarkEnd w:id="179"/>
    </w:p>
    <w:p w14:paraId="1698877D">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840CDE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 xml:space="preserve"> </w:t>
      </w:r>
    </w:p>
    <w:p w14:paraId="11BA46A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F3E5A4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F3C4B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C0057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6AB5A7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08848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1F2B7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18167D5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323BEE1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95EB6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2B7118A">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A151D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46344C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F8D97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36F5FD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C7AB90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CEB3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7E99FC">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2588BAC3">
      <w:pPr>
        <w:rPr>
          <w:rFonts w:ascii="Times New Roman" w:hAnsi="Times New Roman" w:cs="Times New Roman"/>
          <w:color w:val="auto"/>
          <w:sz w:val="24"/>
          <w:szCs w:val="28"/>
          <w:highlight w:val="none"/>
        </w:rPr>
      </w:pPr>
    </w:p>
    <w:p w14:paraId="2AAFFD7E">
      <w:pPr>
        <w:spacing w:line="400" w:lineRule="atLeast"/>
        <w:jc w:val="left"/>
        <w:rPr>
          <w:rFonts w:ascii="Times New Roman" w:hAnsi="Times New Roman" w:cs="Times New Roman"/>
          <w:color w:val="auto"/>
          <w:sz w:val="24"/>
          <w:szCs w:val="28"/>
          <w:highlight w:val="none"/>
        </w:rPr>
      </w:pPr>
    </w:p>
    <w:p w14:paraId="26618A24">
      <w:pPr>
        <w:spacing w:line="440" w:lineRule="exact"/>
        <w:jc w:val="center"/>
        <w:rPr>
          <w:rFonts w:hint="eastAsia" w:ascii="方正小标宋简体" w:hAnsi="方正小标宋简体" w:eastAsia="方正小标宋简体" w:cs="方正小标宋简体"/>
          <w:color w:val="auto"/>
          <w:sz w:val="44"/>
          <w:szCs w:val="44"/>
          <w:highlight w:val="none"/>
          <w:u w:val="single"/>
          <w:lang w:val="en-US" w:eastAsia="zh-CN"/>
        </w:rPr>
      </w:pPr>
    </w:p>
    <w:p w14:paraId="30055BA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小标宋简体" w:hAnsi="方正小标宋简体" w:eastAsia="方正小标宋简体" w:cs="方正小标宋简体"/>
          <w:color w:val="auto"/>
          <w:kern w:val="2"/>
          <w:sz w:val="44"/>
          <w:szCs w:val="44"/>
          <w:highlight w:val="none"/>
          <w:u w:val="single"/>
          <w:lang w:val="en-US" w:eastAsia="zh-CN" w:bidi="ar"/>
        </w:rPr>
      </w:pPr>
      <w:r>
        <w:rPr>
          <w:rFonts w:hint="eastAsia" w:ascii="方正小标宋简体" w:hAnsi="方正小标宋简体" w:eastAsia="方正小标宋简体" w:cs="方正小标宋简体"/>
          <w:color w:val="auto"/>
          <w:kern w:val="2"/>
          <w:sz w:val="44"/>
          <w:szCs w:val="44"/>
          <w:highlight w:val="none"/>
          <w:u w:val="single"/>
          <w:lang w:val="en-US" w:eastAsia="zh-CN" w:bidi="ar"/>
        </w:rPr>
        <w:t>合肥市包河区BH202437号地块项目</w:t>
      </w:r>
    </w:p>
    <w:p w14:paraId="1C48DF2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Times New Roman" w:hAnsi="Times New Roman" w:eastAsia="黑体" w:cs="Times New Roman"/>
          <w:color w:val="auto"/>
          <w:sz w:val="50"/>
          <w:szCs w:val="50"/>
          <w:highlight w:val="none"/>
        </w:rPr>
      </w:pPr>
      <w:r>
        <w:rPr>
          <w:rFonts w:hint="eastAsia" w:ascii="方正小标宋简体" w:hAnsi="方正小标宋简体" w:eastAsia="方正小标宋简体" w:cs="方正小标宋简体"/>
          <w:color w:val="auto"/>
          <w:kern w:val="2"/>
          <w:sz w:val="44"/>
          <w:szCs w:val="44"/>
          <w:highlight w:val="none"/>
          <w:u w:val="single"/>
          <w:lang w:val="en-US" w:eastAsia="zh-CN" w:bidi="ar"/>
        </w:rPr>
        <w:t>二标段水泥砖采购项目</w:t>
      </w:r>
    </w:p>
    <w:p w14:paraId="14CF78B8">
      <w:pPr>
        <w:jc w:val="both"/>
        <w:outlineLvl w:val="9"/>
        <w:rPr>
          <w:rFonts w:ascii="Times New Roman" w:hAnsi="Times New Roman" w:eastAsia="黑体" w:cs="Times New Roman"/>
          <w:color w:val="auto"/>
          <w:sz w:val="50"/>
          <w:szCs w:val="50"/>
          <w:highlight w:val="none"/>
        </w:rPr>
      </w:pPr>
    </w:p>
    <w:p w14:paraId="6C57ACC7">
      <w:pPr>
        <w:jc w:val="both"/>
        <w:outlineLvl w:val="9"/>
        <w:rPr>
          <w:rFonts w:ascii="Times New Roman" w:hAnsi="Times New Roman" w:eastAsia="黑体" w:cs="Times New Roman"/>
          <w:color w:val="auto"/>
          <w:sz w:val="50"/>
          <w:szCs w:val="50"/>
          <w:highlight w:val="none"/>
        </w:rPr>
      </w:pPr>
    </w:p>
    <w:p w14:paraId="23A6FE9B">
      <w:pPr>
        <w:jc w:val="both"/>
        <w:outlineLvl w:val="9"/>
        <w:rPr>
          <w:rFonts w:ascii="Times New Roman" w:hAnsi="Times New Roman" w:eastAsia="黑体" w:cs="Times New Roman"/>
          <w:color w:val="auto"/>
          <w:sz w:val="50"/>
          <w:szCs w:val="50"/>
          <w:highlight w:val="none"/>
        </w:rPr>
      </w:pPr>
    </w:p>
    <w:p w14:paraId="41F2A134">
      <w:pPr>
        <w:jc w:val="center"/>
        <w:outlineLvl w:val="0"/>
        <w:rPr>
          <w:rFonts w:ascii="Times New Roman" w:hAnsi="Times New Roman" w:eastAsia="黑体" w:cs="Times New Roman"/>
          <w:color w:val="auto"/>
          <w:sz w:val="50"/>
          <w:szCs w:val="50"/>
          <w:highlight w:val="none"/>
        </w:rPr>
      </w:pPr>
      <w:bookmarkStart w:id="180" w:name="_Toc26553"/>
      <w:bookmarkStart w:id="181" w:name="_Toc10029"/>
      <w:bookmarkStart w:id="182" w:name="_Toc15195"/>
      <w:bookmarkStart w:id="183" w:name="_Toc2786"/>
      <w:bookmarkStart w:id="184" w:name="_Toc30127"/>
      <w:bookmarkStart w:id="185" w:name="_Toc10608"/>
      <w:bookmarkStart w:id="186" w:name="_Toc28949"/>
      <w:bookmarkStart w:id="187" w:name="_Toc4837"/>
      <w:r>
        <w:rPr>
          <w:rFonts w:ascii="Times New Roman" w:hAnsi="Times New Roman" w:eastAsia="黑体" w:cs="Times New Roman"/>
          <w:color w:val="auto"/>
          <w:sz w:val="50"/>
          <w:szCs w:val="50"/>
          <w:highlight w:val="none"/>
        </w:rPr>
        <w:t>响  应  文  件</w:t>
      </w:r>
      <w:bookmarkEnd w:id="180"/>
      <w:bookmarkEnd w:id="181"/>
      <w:bookmarkEnd w:id="182"/>
      <w:bookmarkEnd w:id="183"/>
      <w:bookmarkEnd w:id="184"/>
      <w:bookmarkEnd w:id="185"/>
      <w:bookmarkEnd w:id="186"/>
      <w:bookmarkEnd w:id="187"/>
    </w:p>
    <w:p w14:paraId="7382D764">
      <w:pPr>
        <w:pStyle w:val="20"/>
        <w:ind w:left="0" w:leftChars="0" w:firstLine="0" w:firstLineChars="0"/>
        <w:jc w:val="center"/>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kern w:val="2"/>
          <w:sz w:val="28"/>
          <w:szCs w:val="28"/>
          <w:highlight w:val="none"/>
          <w:lang w:val="en-US" w:eastAsia="zh-CN" w:bidi="ar-SA"/>
        </w:rPr>
        <w:t>（报价文件）</w:t>
      </w:r>
    </w:p>
    <w:p w14:paraId="42FAF460">
      <w:pPr>
        <w:spacing w:line="440" w:lineRule="exact"/>
        <w:rPr>
          <w:rFonts w:ascii="Times New Roman" w:hAnsi="Times New Roman" w:eastAsia="黑体" w:cs="Times New Roman"/>
          <w:color w:val="auto"/>
          <w:sz w:val="32"/>
          <w:szCs w:val="32"/>
          <w:highlight w:val="none"/>
        </w:rPr>
      </w:pPr>
    </w:p>
    <w:p w14:paraId="32DAD549">
      <w:pPr>
        <w:spacing w:line="440" w:lineRule="exact"/>
        <w:rPr>
          <w:rFonts w:ascii="Times New Roman" w:hAnsi="Times New Roman" w:eastAsia="黑体" w:cs="Times New Roman"/>
          <w:color w:val="auto"/>
          <w:sz w:val="32"/>
          <w:szCs w:val="32"/>
          <w:highlight w:val="none"/>
        </w:rPr>
      </w:pPr>
    </w:p>
    <w:p w14:paraId="31CF9F8F">
      <w:pPr>
        <w:spacing w:line="440" w:lineRule="exact"/>
        <w:rPr>
          <w:rFonts w:ascii="Times New Roman" w:hAnsi="Times New Roman" w:eastAsia="黑体" w:cs="Times New Roman"/>
          <w:color w:val="auto"/>
          <w:sz w:val="20"/>
          <w:szCs w:val="20"/>
          <w:highlight w:val="none"/>
        </w:rPr>
      </w:pPr>
    </w:p>
    <w:p w14:paraId="219A8A2B">
      <w:pPr>
        <w:spacing w:line="440" w:lineRule="exact"/>
        <w:rPr>
          <w:rFonts w:ascii="Times New Roman" w:hAnsi="Times New Roman" w:eastAsia="黑体" w:cs="Times New Roman"/>
          <w:color w:val="auto"/>
          <w:sz w:val="20"/>
          <w:szCs w:val="20"/>
          <w:highlight w:val="none"/>
        </w:rPr>
      </w:pPr>
    </w:p>
    <w:p w14:paraId="161D3AFE">
      <w:pPr>
        <w:spacing w:line="440" w:lineRule="exact"/>
        <w:rPr>
          <w:rFonts w:ascii="Times New Roman" w:hAnsi="Times New Roman" w:eastAsia="黑体" w:cs="Times New Roman"/>
          <w:color w:val="auto"/>
          <w:sz w:val="20"/>
          <w:szCs w:val="20"/>
          <w:highlight w:val="none"/>
        </w:rPr>
      </w:pPr>
    </w:p>
    <w:p w14:paraId="67D4AE3B">
      <w:pPr>
        <w:spacing w:line="440" w:lineRule="exact"/>
        <w:rPr>
          <w:rFonts w:ascii="Times New Roman" w:hAnsi="Times New Roman" w:eastAsia="黑体" w:cs="Times New Roman"/>
          <w:color w:val="auto"/>
          <w:sz w:val="20"/>
          <w:szCs w:val="20"/>
          <w:highlight w:val="none"/>
        </w:rPr>
      </w:pPr>
    </w:p>
    <w:p w14:paraId="74A0F41C">
      <w:pPr>
        <w:spacing w:line="440" w:lineRule="exact"/>
        <w:rPr>
          <w:rFonts w:ascii="Times New Roman" w:hAnsi="Times New Roman" w:eastAsia="黑体" w:cs="Times New Roman"/>
          <w:color w:val="auto"/>
          <w:sz w:val="20"/>
          <w:szCs w:val="20"/>
          <w:highlight w:val="none"/>
        </w:rPr>
      </w:pPr>
    </w:p>
    <w:p w14:paraId="34EFD36E">
      <w:pPr>
        <w:pStyle w:val="20"/>
        <w:rPr>
          <w:rFonts w:ascii="Times New Roman" w:hAnsi="Times New Roman" w:eastAsia="黑体" w:cs="Times New Roman"/>
          <w:color w:val="auto"/>
          <w:sz w:val="20"/>
          <w:szCs w:val="20"/>
          <w:highlight w:val="none"/>
        </w:rPr>
      </w:pPr>
    </w:p>
    <w:p w14:paraId="0963F458">
      <w:pPr>
        <w:rPr>
          <w:rFonts w:ascii="Times New Roman" w:hAnsi="Times New Roman" w:eastAsia="黑体" w:cs="Times New Roman"/>
          <w:color w:val="auto"/>
          <w:sz w:val="20"/>
          <w:szCs w:val="20"/>
          <w:highlight w:val="none"/>
        </w:rPr>
      </w:pPr>
    </w:p>
    <w:p w14:paraId="53B739CA">
      <w:pPr>
        <w:pStyle w:val="20"/>
        <w:rPr>
          <w:rFonts w:ascii="Times New Roman" w:hAnsi="Times New Roman" w:eastAsia="黑体" w:cs="Times New Roman"/>
          <w:color w:val="auto"/>
          <w:sz w:val="20"/>
          <w:szCs w:val="20"/>
          <w:highlight w:val="none"/>
        </w:rPr>
      </w:pPr>
    </w:p>
    <w:p w14:paraId="3719D7B2">
      <w:pPr>
        <w:rPr>
          <w:rFonts w:ascii="Times New Roman" w:hAnsi="Times New Roman" w:eastAsia="黑体" w:cs="Times New Roman"/>
          <w:color w:val="auto"/>
          <w:sz w:val="20"/>
          <w:szCs w:val="20"/>
          <w:highlight w:val="none"/>
        </w:rPr>
      </w:pPr>
    </w:p>
    <w:p w14:paraId="2CF8BE4D">
      <w:pPr>
        <w:spacing w:line="440" w:lineRule="exact"/>
        <w:rPr>
          <w:rFonts w:ascii="Times New Roman" w:hAnsi="Times New Roman" w:eastAsia="黑体" w:cs="Times New Roman"/>
          <w:color w:val="auto"/>
          <w:sz w:val="20"/>
          <w:szCs w:val="20"/>
          <w:highlight w:val="none"/>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u w:val="single"/>
        </w:rPr>
      </w:pPr>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u w:val="none"/>
        </w:rPr>
        <w:t>(全称、盖单位</w:t>
      </w:r>
      <w:r>
        <w:rPr>
          <w:rFonts w:hint="eastAsia" w:ascii="Times New Roman" w:hAnsi="Times New Roman" w:eastAsia="黑体" w:cs="Times New Roman"/>
          <w:color w:val="auto"/>
          <w:sz w:val="28"/>
          <w:szCs w:val="28"/>
          <w:highlight w:val="none"/>
          <w:u w:val="none"/>
          <w:lang w:val="en-US" w:eastAsia="zh-CN"/>
        </w:rPr>
        <w:t>公</w:t>
      </w:r>
      <w:r>
        <w:rPr>
          <w:rFonts w:ascii="Times New Roman" w:hAnsi="Times New Roman" w:eastAsia="黑体" w:cs="Times New Roman"/>
          <w:color w:val="auto"/>
          <w:sz w:val="28"/>
          <w:szCs w:val="28"/>
          <w:highlight w:val="none"/>
          <w:u w:val="none"/>
        </w:rPr>
        <w:t xml:space="preserve">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p>
    <w:p w14:paraId="42E13069">
      <w:pPr>
        <w:adjustRightInd w:val="0"/>
        <w:snapToGrid w:val="0"/>
        <w:rPr>
          <w:rFonts w:ascii="Times New Roman" w:hAnsi="Times New Roman" w:eastAsia="黑体" w:cs="Times New Roman"/>
          <w:color w:val="auto"/>
          <w:sz w:val="20"/>
          <w:szCs w:val="20"/>
          <w:highlight w:val="none"/>
        </w:rPr>
      </w:pPr>
    </w:p>
    <w:p w14:paraId="6EF7835A">
      <w:pPr>
        <w:adjustRightInd w:val="0"/>
        <w:snapToGrid w:val="0"/>
        <w:jc w:val="center"/>
        <w:outlineLvl w:val="1"/>
        <w:rPr>
          <w:rFonts w:hint="eastAsia" w:ascii="黑体" w:hAnsi="黑体" w:eastAsia="黑体" w:cs="黑体"/>
          <w:b w:val="0"/>
          <w:bCs/>
          <w:color w:val="auto"/>
          <w:sz w:val="28"/>
          <w:szCs w:val="28"/>
          <w:highlight w:val="none"/>
          <w:lang w:eastAsia="zh-CN"/>
        </w:rPr>
      </w:pPr>
      <w:bookmarkStart w:id="188" w:name="_Toc2765_WPSOffice_Level1"/>
      <w:bookmarkStart w:id="189" w:name="_Toc29399_WPSOffice_Level1"/>
      <w:bookmarkStart w:id="190" w:name="_Toc18312_WPSOffice_Level1"/>
      <w:bookmarkStart w:id="191" w:name="_Toc23583"/>
      <w:bookmarkStart w:id="192" w:name="_Toc30031_WPSOffice_Level1"/>
      <w:bookmarkStart w:id="193" w:name="_Toc1924"/>
      <w:bookmarkStart w:id="194" w:name="_Toc1687_WPSOffice_Level1"/>
      <w:bookmarkStart w:id="195" w:name="_Toc24269_WPSOffice_Level1"/>
      <w:bookmarkStart w:id="196" w:name="_Toc8703"/>
      <w:bookmarkStart w:id="197" w:name="_Toc11805_WPSOffice_Level1"/>
      <w:bookmarkStart w:id="198" w:name="_Toc29968"/>
      <w:bookmarkStart w:id="199" w:name="_Toc15092"/>
      <w:r>
        <w:rPr>
          <w:rFonts w:hint="eastAsia" w:ascii="黑体" w:hAnsi="黑体" w:eastAsia="黑体" w:cs="黑体"/>
          <w:b w:val="0"/>
          <w:bCs/>
          <w:color w:val="auto"/>
          <w:sz w:val="28"/>
          <w:szCs w:val="28"/>
          <w:highlight w:val="none"/>
        </w:rPr>
        <w:t>一、</w:t>
      </w:r>
      <w:bookmarkEnd w:id="188"/>
      <w:bookmarkEnd w:id="189"/>
      <w:bookmarkEnd w:id="190"/>
      <w:bookmarkEnd w:id="191"/>
      <w:bookmarkEnd w:id="192"/>
      <w:bookmarkEnd w:id="193"/>
      <w:bookmarkEnd w:id="194"/>
      <w:bookmarkEnd w:id="195"/>
      <w:bookmarkEnd w:id="196"/>
      <w:bookmarkEnd w:id="197"/>
      <w:bookmarkEnd w:id="198"/>
      <w:bookmarkEnd w:id="199"/>
      <w:r>
        <w:rPr>
          <w:rFonts w:hint="eastAsia" w:ascii="黑体" w:hAnsi="黑体" w:eastAsia="黑体" w:cs="黑体"/>
          <w:b w:val="0"/>
          <w:bCs/>
          <w:color w:val="auto"/>
          <w:sz w:val="28"/>
          <w:szCs w:val="28"/>
          <w:highlight w:val="none"/>
          <w:lang w:eastAsia="zh-CN"/>
        </w:rPr>
        <w:t>响应函</w:t>
      </w:r>
    </w:p>
    <w:p w14:paraId="2D9C7FD0">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r>
        <w:rPr>
          <w:rFonts w:ascii="Times New Roman" w:hAnsi="Times New Roman" w:cs="Times New Roman"/>
          <w:color w:val="auto"/>
          <w:sz w:val="24"/>
          <w:highlight w:val="none"/>
        </w:rPr>
        <w:t>(采购人名称)：</w:t>
      </w:r>
    </w:p>
    <w:p w14:paraId="1D13F3E4">
      <w:pPr>
        <w:pStyle w:val="2"/>
        <w:rPr>
          <w:color w:val="auto"/>
          <w:highlight w:val="none"/>
        </w:rPr>
      </w:pPr>
    </w:p>
    <w:p w14:paraId="0E5946D8">
      <w:pPr>
        <w:keepNext w:val="0"/>
        <w:keepLines w:val="0"/>
        <w:widowControl/>
        <w:suppressLineNumbers w:val="0"/>
        <w:ind w:firstLine="480" w:firstLineChars="200"/>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1．我方已仔细研究了</w:t>
      </w:r>
      <w:r>
        <w:rPr>
          <w:rFonts w:hint="eastAsia" w:ascii="Times New Roman" w:hAnsi="Times New Roman" w:cs="Times New Roman"/>
          <w:color w:val="auto"/>
          <w:sz w:val="24"/>
          <w:highlight w:val="none"/>
          <w:u w:val="single"/>
        </w:rPr>
        <w:t>合肥市包河区BH202437号地块项目二标段</w:t>
      </w:r>
      <w:r>
        <w:rPr>
          <w:rFonts w:hint="eastAsia" w:ascii="Times New Roman" w:hAnsi="Times New Roman" w:cs="Times New Roman"/>
          <w:color w:val="auto"/>
          <w:sz w:val="24"/>
          <w:highlight w:val="none"/>
          <w:u w:val="single"/>
          <w:lang w:eastAsia="zh-CN"/>
        </w:rPr>
        <w:t>水泥砖</w:t>
      </w:r>
      <w:r>
        <w:rPr>
          <w:rFonts w:hint="eastAsia" w:ascii="Times New Roman" w:hAnsi="Times New Roman" w:cs="Times New Roman"/>
          <w:color w:val="auto"/>
          <w:sz w:val="24"/>
          <w:highlight w:val="none"/>
          <w:u w:val="single"/>
        </w:rPr>
        <w:t>采购项目</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的全部内容（包括工程量清单和施工图纸及</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中所述的各种因素），愿意以</w:t>
      </w:r>
      <w:r>
        <w:rPr>
          <w:rFonts w:hint="eastAsia" w:ascii="Times New Roman" w:hAnsi="Times New Roman" w:cs="Times New Roman"/>
          <w:color w:val="auto"/>
          <w:sz w:val="24"/>
          <w:highlight w:val="none"/>
          <w:lang w:val="en-US" w:eastAsia="zh-CN"/>
        </w:rPr>
        <w:t>人民币（大写）</w:t>
      </w:r>
      <w:r>
        <w:rPr>
          <w:rFonts w:hint="eastAsia"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）的</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总报价</w:t>
      </w:r>
      <w:r>
        <w:rPr>
          <w:rFonts w:hint="eastAsia" w:ascii="Times New Roman" w:hAnsi="Times New Roman" w:cs="Times New Roman"/>
          <w:color w:val="auto"/>
          <w:sz w:val="24"/>
          <w:highlight w:val="none"/>
          <w:lang w:eastAsia="zh-CN"/>
        </w:rPr>
        <w:t>提供采购</w:t>
      </w:r>
      <w:r>
        <w:rPr>
          <w:rFonts w:hint="eastAsia" w:ascii="Times New Roman" w:hAnsi="Times New Roman" w:cs="Times New Roman"/>
          <w:color w:val="auto"/>
          <w:sz w:val="24"/>
          <w:highlight w:val="none"/>
          <w:lang w:val="en-US" w:eastAsia="zh-CN"/>
        </w:rPr>
        <w:t>文件标明的货物</w:t>
      </w:r>
      <w:r>
        <w:rPr>
          <w:rFonts w:ascii="Times New Roman" w:hAnsi="Times New Roman" w:cs="Times New Roman"/>
          <w:color w:val="auto"/>
          <w:sz w:val="24"/>
          <w:highlight w:val="none"/>
        </w:rPr>
        <w:t>要求</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技术服务和质保期服务</w:t>
      </w:r>
      <w:r>
        <w:rPr>
          <w:rFonts w:hint="eastAsia" w:ascii="Times New Roman" w:hAnsi="Times New Roman" w:cs="Times New Roman"/>
          <w:color w:val="auto"/>
          <w:sz w:val="24"/>
          <w:highlight w:val="none"/>
        </w:rPr>
        <w:t>措施</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并</w:t>
      </w:r>
      <w:r>
        <w:rPr>
          <w:rFonts w:ascii="Times New Roman" w:hAnsi="Times New Roman" w:cs="Times New Roman"/>
          <w:color w:val="auto"/>
          <w:sz w:val="24"/>
          <w:highlight w:val="none"/>
        </w:rPr>
        <w:t>按合同约定履行义务。</w:t>
      </w:r>
    </w:p>
    <w:p w14:paraId="488C006B">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2．我方承诺在响应有效期内不修改、撤销响应文件。</w:t>
      </w:r>
    </w:p>
    <w:p w14:paraId="70DCFE48">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3．如我方成交：</w:t>
      </w:r>
    </w:p>
    <w:p w14:paraId="30729633">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(2)我方承诺按照</w:t>
      </w:r>
      <w:r>
        <w:rPr>
          <w:rFonts w:hint="eastAsia" w:ascii="Times New Roman" w:hAnsi="Times New Roman" w:cs="Times New Roman"/>
          <w:color w:val="auto"/>
          <w:sz w:val="24"/>
          <w:highlight w:val="none"/>
          <w:lang w:eastAsia="zh-CN"/>
        </w:rPr>
        <w:t>采购</w:t>
      </w:r>
      <w:r>
        <w:rPr>
          <w:rFonts w:ascii="Times New Roman" w:hAnsi="Times New Roman" w:cs="Times New Roman"/>
          <w:color w:val="auto"/>
          <w:sz w:val="24"/>
          <w:highlight w:val="none"/>
        </w:rPr>
        <w:t>文件规定向你方递交履约担保。</w:t>
      </w:r>
    </w:p>
    <w:p w14:paraId="233214A1">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4</w:t>
      </w:r>
      <w:r>
        <w:rPr>
          <w:rFonts w:ascii="Times New Roman" w:hAnsi="Times New Roman" w:cs="Times New Roman"/>
          <w:color w:val="auto"/>
          <w:sz w:val="24"/>
          <w:highlight w:val="none"/>
        </w:rPr>
        <w:t>．我方在此声明，所递交的响应文件及有关资料内容完整、真实和准确。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．在合同协议书正式签署生效之前，本</w:t>
      </w:r>
      <w:r>
        <w:rPr>
          <w:rFonts w:hint="eastAsia" w:ascii="Times New Roman" w:hAnsi="Times New Roman" w:cs="Times New Roman"/>
          <w:color w:val="auto"/>
          <w:sz w:val="24"/>
          <w:highlight w:val="none"/>
          <w:lang w:eastAsia="zh-CN"/>
        </w:rPr>
        <w:t>响应函</w:t>
      </w:r>
      <w:r>
        <w:rPr>
          <w:rFonts w:ascii="Times New Roman" w:hAnsi="Times New Roman" w:cs="Times New Roman"/>
          <w:color w:val="auto"/>
          <w:sz w:val="24"/>
          <w:highlight w:val="none"/>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6</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我方已按</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文件要求详细审核并确认全部</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文件及有关附件，充分理解</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7</w:t>
      </w:r>
      <w:r>
        <w:rPr>
          <w:rFonts w:hint="eastAsia" w:ascii="Times New Roman" w:hAnsi="Times New Roman" w:cs="Times New Roman"/>
          <w:color w:val="auto"/>
          <w:sz w:val="24"/>
          <w:highlight w:val="none"/>
        </w:rPr>
        <w:t>.____/____（其他补充说明）。</w:t>
      </w:r>
    </w:p>
    <w:p w14:paraId="2AA67BE1">
      <w:pPr>
        <w:pStyle w:val="2"/>
        <w:rPr>
          <w:rFonts w:hint="eastAsia" w:ascii="Times New Roman" w:hAnsi="Times New Roman" w:cs="Times New Roman"/>
          <w:color w:val="auto"/>
          <w:sz w:val="24"/>
          <w:highlight w:val="none"/>
        </w:rPr>
      </w:pPr>
    </w:p>
    <w:p w14:paraId="2564B337">
      <w:pPr>
        <w:pStyle w:val="34"/>
        <w:rPr>
          <w:rFonts w:hint="eastAsia"/>
          <w:color w:val="auto"/>
          <w:highlight w:val="none"/>
        </w:rPr>
      </w:pPr>
    </w:p>
    <w:p w14:paraId="22CEF1E1">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w:t>
      </w:r>
      <w:r>
        <w:rPr>
          <w:rFonts w:hint="eastAsia" w:ascii="Times New Roman" w:hAnsi="Times New Roman" w:cs="Times New Roman"/>
          <w:color w:val="auto"/>
          <w:sz w:val="24"/>
          <w:highlight w:val="none"/>
          <w:lang w:val="en-US" w:eastAsia="zh-CN"/>
        </w:rPr>
        <w:t>公</w:t>
      </w:r>
      <w:r>
        <w:rPr>
          <w:rFonts w:ascii="Times New Roman" w:hAnsi="Times New Roman" w:cs="Times New Roman"/>
          <w:color w:val="auto"/>
          <w:sz w:val="24"/>
          <w:highlight w:val="none"/>
        </w:rPr>
        <w:t>章)</w:t>
      </w:r>
    </w:p>
    <w:p w14:paraId="50E71AAE">
      <w:pPr>
        <w:spacing w:line="400" w:lineRule="exact"/>
        <w:ind w:firstLine="3360" w:firstLineChars="1400"/>
        <w:rPr>
          <w:rFonts w:hint="eastAsia" w:ascii="Times New Roman" w:hAnsi="Times New Roman" w:cs="Times New Roman" w:eastAsiaTheme="minorEastAsia"/>
          <w:color w:val="auto"/>
          <w:sz w:val="24"/>
          <w:highlight w:val="none"/>
          <w:lang w:eastAsia="zh-CN"/>
        </w:rPr>
      </w:pPr>
      <w:r>
        <w:rPr>
          <w:rFonts w:ascii="Times New Roman" w:hAnsi="Times New Roman" w:cs="Times New Roman"/>
          <w:color w:val="auto"/>
          <w:sz w:val="24"/>
          <w:highlight w:val="none"/>
        </w:rPr>
        <w:t>法定代表人</w:t>
      </w:r>
      <w:r>
        <w:rPr>
          <w:rFonts w:hint="eastAsia" w:ascii="Times New Roman" w:hAnsi="Times New Roman" w:cs="Times New Roman"/>
          <w:color w:val="auto"/>
          <w:sz w:val="24"/>
          <w:highlight w:val="none"/>
          <w:lang w:eastAsia="zh-CN"/>
        </w:rPr>
        <w:t>或</w:t>
      </w:r>
      <w:r>
        <w:rPr>
          <w:rFonts w:hint="eastAsia" w:ascii="Times New Roman" w:hAnsi="Times New Roman" w:cs="Times New Roman"/>
          <w:color w:val="auto"/>
          <w:sz w:val="24"/>
          <w:highlight w:val="none"/>
        </w:rPr>
        <w:t>委托代理人</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u w:val="single"/>
          <w:lang w:val="en-US" w:eastAsia="zh-CN"/>
        </w:rPr>
        <w:t xml:space="preserve">          </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签</w:t>
      </w:r>
      <w:r>
        <w:rPr>
          <w:rFonts w:hint="eastAsia" w:ascii="Times New Roman" w:hAnsi="Times New Roman" w:cs="Times New Roman"/>
          <w:color w:val="auto"/>
          <w:sz w:val="24"/>
          <w:highlight w:val="none"/>
          <w:lang w:val="en-US" w:eastAsia="zh-CN"/>
        </w:rPr>
        <w:t>字</w:t>
      </w:r>
      <w:r>
        <w:rPr>
          <w:rFonts w:ascii="Times New Roman" w:hAnsi="Times New Roman" w:cs="Times New Roman"/>
          <w:color w:val="auto"/>
          <w:sz w:val="24"/>
          <w:highlight w:val="none"/>
        </w:rPr>
        <w:t>)</w:t>
      </w:r>
    </w:p>
    <w:p w14:paraId="6D7D89D2">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地址：</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14:paraId="4B7CD6B4">
      <w:pPr>
        <w:spacing w:line="400" w:lineRule="exact"/>
        <w:ind w:firstLine="3420" w:firstLineChars="1425"/>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电子邮箱</w:t>
      </w:r>
      <w:r>
        <w:rPr>
          <w:rFonts w:ascii="Times New Roman" w:hAnsi="Times New Roman" w:cs="Times New Roman"/>
          <w:color w:val="auto"/>
          <w:sz w:val="24"/>
          <w:highlight w:val="none"/>
        </w:rPr>
        <w:t>：</w:t>
      </w:r>
      <w:r>
        <w:rPr>
          <w:rFonts w:ascii="Times New Roman" w:hAnsi="Times New Roman" w:cs="Times New Roman"/>
          <w:color w:val="auto"/>
          <w:sz w:val="24"/>
          <w:highlight w:val="none"/>
          <w:u w:val="single"/>
        </w:rPr>
        <w:t xml:space="preserve">                                  </w:t>
      </w:r>
    </w:p>
    <w:p w14:paraId="45C12650">
      <w:pPr>
        <w:spacing w:line="400" w:lineRule="exact"/>
        <w:ind w:firstLine="4740" w:firstLineChars="1975"/>
        <w:rPr>
          <w:rFonts w:ascii="Times New Roman" w:hAnsi="Times New Roman" w:cs="Times New Roman"/>
          <w:color w:val="auto"/>
          <w:sz w:val="24"/>
          <w:highlight w:val="non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14:paraId="3E1F27ED">
      <w:pPr>
        <w:spacing w:line="400" w:lineRule="exact"/>
        <w:ind w:firstLine="4740" w:firstLineChars="1975"/>
        <w:rPr>
          <w:rFonts w:ascii="Times New Roman" w:hAnsi="Times New Roman" w:cs="Times New Roman"/>
          <w:color w:val="auto"/>
          <w:sz w:val="24"/>
          <w:highlight w:val="none"/>
        </w:rPr>
      </w:pPr>
    </w:p>
    <w:p w14:paraId="0EED3B31">
      <w:pPr>
        <w:pStyle w:val="20"/>
        <w:rPr>
          <w:rFonts w:ascii="Times New Roman" w:hAnsi="Times New Roman" w:cs="Times New Roman"/>
          <w:color w:val="auto"/>
          <w:sz w:val="24"/>
          <w:highlight w:val="none"/>
        </w:rPr>
      </w:pPr>
    </w:p>
    <w:p w14:paraId="530B1E63">
      <w:pPr>
        <w:rPr>
          <w:rFonts w:ascii="Times New Roman" w:hAnsi="Times New Roman" w:cs="Times New Roman"/>
          <w:color w:val="auto"/>
          <w:sz w:val="24"/>
          <w:highlight w:val="none"/>
        </w:rPr>
      </w:pPr>
    </w:p>
    <w:p w14:paraId="4DE51CCD">
      <w:pPr>
        <w:pStyle w:val="2"/>
        <w:rPr>
          <w:color w:val="auto"/>
          <w:highlight w:val="none"/>
        </w:rPr>
      </w:pPr>
    </w:p>
    <w:p w14:paraId="6E6071E0">
      <w:pPr>
        <w:rPr>
          <w:color w:val="auto"/>
          <w:highlight w:val="none"/>
        </w:rPr>
      </w:pPr>
    </w:p>
    <w:p w14:paraId="038932C6">
      <w:pPr>
        <w:rPr>
          <w:color w:val="auto"/>
          <w:highlight w:val="none"/>
        </w:rPr>
      </w:pPr>
    </w:p>
    <w:p w14:paraId="2AF58674">
      <w:pPr>
        <w:rPr>
          <w:color w:val="auto"/>
          <w:highlight w:val="none"/>
        </w:rPr>
      </w:pPr>
    </w:p>
    <w:p w14:paraId="32C8775A">
      <w:pPr>
        <w:pStyle w:val="3"/>
        <w:rPr>
          <w:color w:val="auto"/>
          <w:highlight w:val="none"/>
        </w:rPr>
      </w:pPr>
    </w:p>
    <w:p w14:paraId="3659ED9B">
      <w:pPr>
        <w:pStyle w:val="20"/>
        <w:rPr>
          <w:rFonts w:ascii="Times New Roman" w:hAnsi="Times New Roman" w:cs="Times New Roman"/>
          <w:color w:val="auto"/>
          <w:sz w:val="24"/>
          <w:highlight w:val="none"/>
        </w:rPr>
      </w:pPr>
    </w:p>
    <w:p w14:paraId="14209EFD">
      <w:pPr>
        <w:adjustRightInd w:val="0"/>
        <w:snapToGrid w:val="0"/>
        <w:jc w:val="center"/>
        <w:outlineLvl w:val="1"/>
        <w:rPr>
          <w:rFonts w:hint="eastAsia" w:ascii="黑体" w:hAnsi="黑体" w:eastAsia="黑体" w:cs="黑体"/>
          <w:b w:val="0"/>
          <w:bCs/>
          <w:color w:val="auto"/>
          <w:sz w:val="28"/>
          <w:szCs w:val="28"/>
          <w:highlight w:val="none"/>
        </w:rPr>
        <w:sectPr>
          <w:footerReference r:id="rId19" w:type="default"/>
          <w:pgSz w:w="11906" w:h="16838"/>
          <w:pgMar w:top="1440" w:right="1800" w:bottom="1440" w:left="1800" w:header="851" w:footer="992" w:gutter="0"/>
          <w:pgNumType w:fmt="decimal"/>
          <w:cols w:space="425" w:num="1"/>
          <w:docGrid w:type="lines" w:linePitch="312" w:charSpace="0"/>
        </w:sectPr>
      </w:pPr>
      <w:bookmarkStart w:id="200" w:name="_Toc272486050"/>
      <w:bookmarkStart w:id="201" w:name="_Toc162490440"/>
      <w:bookmarkStart w:id="202" w:name="_Toc153421230"/>
    </w:p>
    <w:p w14:paraId="0B9FD6BB">
      <w:pPr>
        <w:adjustRightInd w:val="0"/>
        <w:snapToGrid w:val="0"/>
        <w:jc w:val="center"/>
        <w:outlineLvl w:val="1"/>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二、</w:t>
      </w:r>
      <w:bookmarkEnd w:id="200"/>
      <w:bookmarkEnd w:id="201"/>
      <w:bookmarkEnd w:id="202"/>
      <w:r>
        <w:rPr>
          <w:rFonts w:hint="eastAsia" w:ascii="黑体" w:hAnsi="黑体" w:eastAsia="黑体" w:cs="黑体"/>
          <w:b w:val="0"/>
          <w:bCs/>
          <w:color w:val="auto"/>
          <w:sz w:val="28"/>
          <w:szCs w:val="28"/>
          <w:highlight w:val="none"/>
        </w:rPr>
        <w:t>已标价的报价清单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38DB0F0C">
      <w:pPr>
        <w:bidi w:val="0"/>
        <w:rPr>
          <w:rFonts w:hint="eastAsia" w:ascii="Times New Roman" w:hAnsi="Times New Roman" w:eastAsia="黑体" w:cs="Times New Roman"/>
          <w:color w:val="auto"/>
          <w:sz w:val="24"/>
          <w:highlight w:val="yellow"/>
          <w:lang w:val="en-US" w:eastAsia="zh-CN"/>
        </w:rPr>
      </w:pPr>
      <w:r>
        <w:rPr>
          <w:rFonts w:hint="eastAsia" w:ascii="Times New Roman" w:hAnsi="Times New Roman" w:eastAsia="黑体" w:cs="Times New Roman"/>
          <w:color w:val="auto"/>
          <w:sz w:val="24"/>
          <w:highlight w:val="yellow"/>
          <w:lang w:val="en-US" w:eastAsia="zh-CN"/>
        </w:rPr>
        <w:t>附报价清单</w:t>
      </w:r>
    </w:p>
    <w:p w14:paraId="6167DF29">
      <w:pPr>
        <w:bidi w:val="0"/>
        <w:rPr>
          <w:rFonts w:hint="eastAsia" w:ascii="Times New Roman" w:hAnsi="Times New Roman" w:eastAsia="黑体" w:cs="Times New Roman"/>
          <w:color w:val="auto"/>
          <w:sz w:val="24"/>
          <w:highlight w:val="yellow"/>
          <w:lang w:val="en-US" w:eastAsia="zh-CN"/>
        </w:rPr>
      </w:pPr>
    </w:p>
    <w:p w14:paraId="001C9084">
      <w:pPr>
        <w:bidi w:val="0"/>
        <w:rPr>
          <w:rFonts w:hint="eastAsia" w:ascii="Times New Roman" w:hAnsi="Times New Roman" w:eastAsia="黑体" w:cs="Times New Roman"/>
          <w:color w:val="auto"/>
          <w:sz w:val="24"/>
          <w:highlight w:val="yellow"/>
          <w:lang w:val="en-US" w:eastAsia="zh-CN"/>
        </w:rPr>
      </w:pPr>
    </w:p>
    <w:p w14:paraId="4ADEDE55">
      <w:pPr>
        <w:bidi w:val="0"/>
        <w:rPr>
          <w:rFonts w:hint="eastAsia" w:ascii="Times New Roman" w:hAnsi="Times New Roman" w:eastAsia="黑体" w:cs="Times New Roman"/>
          <w:color w:val="auto"/>
          <w:sz w:val="24"/>
          <w:highlight w:val="yellow"/>
          <w:lang w:val="en-US" w:eastAsia="zh-CN"/>
        </w:rPr>
      </w:pPr>
    </w:p>
    <w:p w14:paraId="417CB128">
      <w:pPr>
        <w:bidi w:val="0"/>
        <w:rPr>
          <w:rFonts w:hint="eastAsia" w:ascii="Times New Roman" w:hAnsi="Times New Roman" w:eastAsia="黑体" w:cs="Times New Roman"/>
          <w:color w:val="auto"/>
          <w:sz w:val="24"/>
          <w:highlight w:val="yellow"/>
          <w:lang w:val="en-US" w:eastAsia="zh-CN"/>
        </w:rPr>
      </w:pPr>
    </w:p>
    <w:p w14:paraId="3259370D">
      <w:pPr>
        <w:bidi w:val="0"/>
        <w:rPr>
          <w:rFonts w:hint="eastAsia" w:ascii="Times New Roman" w:hAnsi="Times New Roman" w:eastAsia="黑体" w:cs="Times New Roman"/>
          <w:color w:val="auto"/>
          <w:sz w:val="24"/>
          <w:highlight w:val="yellow"/>
          <w:lang w:val="en-US" w:eastAsia="zh-CN"/>
        </w:rPr>
      </w:pPr>
    </w:p>
    <w:p w14:paraId="57FB9718">
      <w:pPr>
        <w:bidi w:val="0"/>
        <w:rPr>
          <w:rFonts w:hint="eastAsia" w:ascii="Times New Roman" w:hAnsi="Times New Roman" w:eastAsia="黑体" w:cs="Times New Roman"/>
          <w:color w:val="auto"/>
          <w:sz w:val="24"/>
          <w:highlight w:val="yellow"/>
          <w:lang w:val="en-US" w:eastAsia="zh-CN"/>
        </w:rPr>
      </w:pPr>
    </w:p>
    <w:p w14:paraId="41AE9BAD">
      <w:pPr>
        <w:bidi w:val="0"/>
        <w:rPr>
          <w:rFonts w:hint="eastAsia" w:ascii="Times New Roman" w:hAnsi="Times New Roman" w:eastAsia="黑体" w:cs="Times New Roman"/>
          <w:color w:val="auto"/>
          <w:sz w:val="24"/>
          <w:highlight w:val="yellow"/>
          <w:lang w:val="en-US" w:eastAsia="zh-CN"/>
        </w:rPr>
      </w:pPr>
    </w:p>
    <w:p w14:paraId="55E7578A">
      <w:pPr>
        <w:bidi w:val="0"/>
        <w:rPr>
          <w:rFonts w:hint="eastAsia" w:ascii="Times New Roman" w:hAnsi="Times New Roman" w:eastAsia="黑体" w:cs="Times New Roman"/>
          <w:color w:val="auto"/>
          <w:sz w:val="24"/>
          <w:highlight w:val="yellow"/>
          <w:lang w:val="en-US" w:eastAsia="zh-CN"/>
        </w:rPr>
      </w:pPr>
    </w:p>
    <w:p w14:paraId="62ABFC2B">
      <w:pPr>
        <w:bidi w:val="0"/>
        <w:rPr>
          <w:rFonts w:hint="eastAsia" w:ascii="Times New Roman" w:hAnsi="Times New Roman" w:eastAsia="黑体" w:cs="Times New Roman"/>
          <w:color w:val="auto"/>
          <w:sz w:val="24"/>
          <w:highlight w:val="yellow"/>
          <w:lang w:val="en-US" w:eastAsia="zh-CN"/>
        </w:rPr>
      </w:pPr>
    </w:p>
    <w:p w14:paraId="630DA9A8">
      <w:pPr>
        <w:bidi w:val="0"/>
        <w:rPr>
          <w:rFonts w:hint="eastAsia" w:ascii="Times New Roman" w:hAnsi="Times New Roman" w:eastAsia="黑体" w:cs="Times New Roman"/>
          <w:color w:val="auto"/>
          <w:sz w:val="24"/>
          <w:highlight w:val="yellow"/>
          <w:lang w:val="en-US" w:eastAsia="zh-CN"/>
        </w:rPr>
      </w:pPr>
    </w:p>
    <w:p w14:paraId="627AB260">
      <w:pPr>
        <w:bidi w:val="0"/>
        <w:rPr>
          <w:rFonts w:hint="eastAsia" w:ascii="Times New Roman" w:hAnsi="Times New Roman" w:eastAsia="黑体" w:cs="Times New Roman"/>
          <w:color w:val="auto"/>
          <w:sz w:val="24"/>
          <w:highlight w:val="yellow"/>
          <w:lang w:val="en-US" w:eastAsia="zh-CN"/>
        </w:rPr>
      </w:pPr>
    </w:p>
    <w:p w14:paraId="67A8CD68">
      <w:pPr>
        <w:bidi w:val="0"/>
        <w:rPr>
          <w:rFonts w:hint="eastAsia" w:ascii="Times New Roman" w:hAnsi="Times New Roman" w:eastAsia="黑体" w:cs="Times New Roman"/>
          <w:color w:val="auto"/>
          <w:sz w:val="24"/>
          <w:highlight w:val="yellow"/>
          <w:lang w:val="en-US" w:eastAsia="zh-CN"/>
        </w:rPr>
      </w:pPr>
    </w:p>
    <w:p w14:paraId="4B092C77">
      <w:pPr>
        <w:bidi w:val="0"/>
        <w:rPr>
          <w:rFonts w:hint="eastAsia" w:ascii="Times New Roman" w:hAnsi="Times New Roman" w:eastAsia="黑体" w:cs="Times New Roman"/>
          <w:color w:val="auto"/>
          <w:sz w:val="24"/>
          <w:highlight w:val="yellow"/>
          <w:lang w:val="en-US" w:eastAsia="zh-CN"/>
        </w:rPr>
      </w:pPr>
    </w:p>
    <w:p w14:paraId="0FFC77CE">
      <w:pPr>
        <w:bidi w:val="0"/>
        <w:rPr>
          <w:rFonts w:hint="eastAsia" w:ascii="Times New Roman" w:hAnsi="Times New Roman" w:eastAsia="黑体" w:cs="Times New Roman"/>
          <w:color w:val="auto"/>
          <w:sz w:val="24"/>
          <w:highlight w:val="yellow"/>
          <w:lang w:val="en-US" w:eastAsia="zh-CN"/>
        </w:rPr>
      </w:pPr>
    </w:p>
    <w:p w14:paraId="020F4018">
      <w:pPr>
        <w:bidi w:val="0"/>
        <w:rPr>
          <w:rFonts w:hint="eastAsia" w:ascii="Times New Roman" w:hAnsi="Times New Roman" w:eastAsia="黑体" w:cs="Times New Roman"/>
          <w:color w:val="auto"/>
          <w:sz w:val="24"/>
          <w:highlight w:val="yellow"/>
          <w:lang w:val="en-US" w:eastAsia="zh-CN"/>
        </w:rPr>
      </w:pPr>
    </w:p>
    <w:p w14:paraId="176FAC70">
      <w:pPr>
        <w:bidi w:val="0"/>
        <w:rPr>
          <w:rFonts w:hint="eastAsia" w:ascii="Times New Roman" w:hAnsi="Times New Roman" w:eastAsia="黑体" w:cs="Times New Roman"/>
          <w:color w:val="auto"/>
          <w:sz w:val="24"/>
          <w:highlight w:val="yellow"/>
          <w:lang w:val="en-US" w:eastAsia="zh-CN"/>
        </w:rPr>
      </w:pPr>
    </w:p>
    <w:p w14:paraId="362C1DBB">
      <w:pPr>
        <w:bidi w:val="0"/>
        <w:rPr>
          <w:rFonts w:hint="eastAsia" w:ascii="Times New Roman" w:hAnsi="Times New Roman" w:eastAsia="黑体" w:cs="Times New Roman"/>
          <w:color w:val="auto"/>
          <w:sz w:val="24"/>
          <w:highlight w:val="yellow"/>
          <w:lang w:val="en-US" w:eastAsia="zh-CN"/>
        </w:rPr>
      </w:pPr>
    </w:p>
    <w:p w14:paraId="247F55D1">
      <w:pPr>
        <w:bidi w:val="0"/>
        <w:rPr>
          <w:rFonts w:hint="eastAsia" w:ascii="Times New Roman" w:hAnsi="Times New Roman" w:eastAsia="黑体" w:cs="Times New Roman"/>
          <w:color w:val="auto"/>
          <w:sz w:val="24"/>
          <w:highlight w:val="yellow"/>
          <w:lang w:val="en-US" w:eastAsia="zh-CN"/>
        </w:rPr>
      </w:pPr>
    </w:p>
    <w:p w14:paraId="16DE5610">
      <w:pPr>
        <w:bidi w:val="0"/>
        <w:rPr>
          <w:rFonts w:hint="eastAsia" w:ascii="Times New Roman" w:hAnsi="Times New Roman" w:eastAsia="黑体" w:cs="Times New Roman"/>
          <w:color w:val="auto"/>
          <w:sz w:val="24"/>
          <w:highlight w:val="yellow"/>
          <w:lang w:val="en-US" w:eastAsia="zh-CN"/>
        </w:rPr>
      </w:pPr>
    </w:p>
    <w:p w14:paraId="080E8F1D">
      <w:pPr>
        <w:bidi w:val="0"/>
        <w:rPr>
          <w:rFonts w:hint="eastAsia" w:ascii="Times New Roman" w:hAnsi="Times New Roman" w:eastAsia="黑体" w:cs="Times New Roman"/>
          <w:color w:val="auto"/>
          <w:sz w:val="24"/>
          <w:highlight w:val="yellow"/>
          <w:lang w:val="en-US" w:eastAsia="zh-CN"/>
        </w:rPr>
      </w:pPr>
    </w:p>
    <w:p w14:paraId="09C69505">
      <w:pPr>
        <w:bidi w:val="0"/>
        <w:rPr>
          <w:rFonts w:hint="eastAsia" w:ascii="Times New Roman" w:hAnsi="Times New Roman" w:eastAsia="黑体" w:cs="Times New Roman"/>
          <w:color w:val="auto"/>
          <w:sz w:val="24"/>
          <w:highlight w:val="yellow"/>
          <w:lang w:val="en-US" w:eastAsia="zh-CN"/>
        </w:rPr>
      </w:pPr>
    </w:p>
    <w:p w14:paraId="721FFC8A">
      <w:pPr>
        <w:bidi w:val="0"/>
        <w:rPr>
          <w:rFonts w:hint="eastAsia" w:ascii="Times New Roman" w:hAnsi="Times New Roman" w:eastAsia="黑体" w:cs="Times New Roman"/>
          <w:color w:val="auto"/>
          <w:sz w:val="24"/>
          <w:highlight w:val="yellow"/>
          <w:lang w:val="en-US" w:eastAsia="zh-CN"/>
        </w:rPr>
      </w:pPr>
    </w:p>
    <w:p w14:paraId="138F5558">
      <w:pPr>
        <w:bidi w:val="0"/>
        <w:rPr>
          <w:rFonts w:hint="eastAsia" w:ascii="Times New Roman" w:hAnsi="Times New Roman" w:eastAsia="黑体" w:cs="Times New Roman"/>
          <w:color w:val="auto"/>
          <w:sz w:val="24"/>
          <w:highlight w:val="yellow"/>
          <w:lang w:val="en-US" w:eastAsia="zh-CN"/>
        </w:rPr>
      </w:pPr>
    </w:p>
    <w:p w14:paraId="6B0DDA0E">
      <w:pPr>
        <w:bidi w:val="0"/>
        <w:rPr>
          <w:rFonts w:hint="eastAsia" w:ascii="Times New Roman" w:hAnsi="Times New Roman" w:eastAsia="黑体" w:cs="Times New Roman"/>
          <w:color w:val="auto"/>
          <w:sz w:val="24"/>
          <w:highlight w:val="yellow"/>
          <w:lang w:val="en-US" w:eastAsia="zh-CN"/>
        </w:rPr>
      </w:pPr>
    </w:p>
    <w:p w14:paraId="3C782188">
      <w:pPr>
        <w:bidi w:val="0"/>
        <w:rPr>
          <w:rFonts w:hint="eastAsia" w:ascii="Times New Roman" w:hAnsi="Times New Roman" w:eastAsia="黑体" w:cs="Times New Roman"/>
          <w:color w:val="auto"/>
          <w:sz w:val="24"/>
          <w:highlight w:val="yellow"/>
          <w:lang w:val="en-US" w:eastAsia="zh-CN"/>
        </w:rPr>
      </w:pPr>
    </w:p>
    <w:p w14:paraId="4E0E5850">
      <w:pPr>
        <w:bidi w:val="0"/>
        <w:rPr>
          <w:rFonts w:hint="eastAsia" w:ascii="Times New Roman" w:hAnsi="Times New Roman" w:eastAsia="黑体" w:cs="Times New Roman"/>
          <w:color w:val="auto"/>
          <w:sz w:val="24"/>
          <w:highlight w:val="yellow"/>
          <w:lang w:val="en-US" w:eastAsia="zh-CN"/>
        </w:rPr>
      </w:pPr>
    </w:p>
    <w:p w14:paraId="6253B43B">
      <w:pPr>
        <w:bidi w:val="0"/>
        <w:rPr>
          <w:rFonts w:hint="eastAsia" w:ascii="Times New Roman" w:hAnsi="Times New Roman" w:eastAsia="黑体" w:cs="Times New Roman"/>
          <w:color w:val="auto"/>
          <w:sz w:val="24"/>
          <w:highlight w:val="yellow"/>
          <w:lang w:val="en-US" w:eastAsia="zh-CN"/>
        </w:rPr>
      </w:pPr>
    </w:p>
    <w:p w14:paraId="6D266686">
      <w:pPr>
        <w:bidi w:val="0"/>
        <w:rPr>
          <w:rFonts w:hint="eastAsia" w:ascii="Times New Roman" w:hAnsi="Times New Roman" w:eastAsia="黑体" w:cs="Times New Roman"/>
          <w:color w:val="auto"/>
          <w:sz w:val="24"/>
          <w:highlight w:val="yellow"/>
          <w:lang w:val="en-US" w:eastAsia="zh-CN"/>
        </w:rPr>
      </w:pPr>
    </w:p>
    <w:p w14:paraId="1A66EF40">
      <w:pPr>
        <w:bidi w:val="0"/>
        <w:rPr>
          <w:rFonts w:hint="eastAsia" w:ascii="Times New Roman" w:hAnsi="Times New Roman" w:eastAsia="黑体" w:cs="Times New Roman"/>
          <w:color w:val="auto"/>
          <w:sz w:val="24"/>
          <w:highlight w:val="yellow"/>
          <w:lang w:val="en-US" w:eastAsia="zh-CN"/>
        </w:rPr>
      </w:pPr>
    </w:p>
    <w:p w14:paraId="43601863">
      <w:pPr>
        <w:bidi w:val="0"/>
        <w:rPr>
          <w:rFonts w:hint="eastAsia" w:ascii="Times New Roman" w:hAnsi="Times New Roman" w:eastAsia="黑体" w:cs="Times New Roman"/>
          <w:color w:val="auto"/>
          <w:sz w:val="24"/>
          <w:highlight w:val="yellow"/>
          <w:lang w:val="en-US" w:eastAsia="zh-CN"/>
        </w:rPr>
      </w:pPr>
    </w:p>
    <w:p w14:paraId="506FE7FB">
      <w:pPr>
        <w:bidi w:val="0"/>
        <w:rPr>
          <w:rFonts w:hint="eastAsia" w:ascii="Times New Roman" w:hAnsi="Times New Roman" w:eastAsia="黑体" w:cs="Times New Roman"/>
          <w:color w:val="auto"/>
          <w:sz w:val="24"/>
          <w:highlight w:val="yellow"/>
          <w:lang w:val="en-US" w:eastAsia="zh-CN"/>
        </w:rPr>
      </w:pPr>
    </w:p>
    <w:p w14:paraId="529EA371">
      <w:pPr>
        <w:bidi w:val="0"/>
        <w:rPr>
          <w:rFonts w:hint="eastAsia" w:ascii="Times New Roman" w:hAnsi="Times New Roman" w:eastAsia="黑体" w:cs="Times New Roman"/>
          <w:color w:val="auto"/>
          <w:sz w:val="24"/>
          <w:highlight w:val="yellow"/>
          <w:lang w:val="en-US" w:eastAsia="zh-CN"/>
        </w:rPr>
      </w:pPr>
    </w:p>
    <w:p w14:paraId="59E68C42">
      <w:pPr>
        <w:bidi w:val="0"/>
        <w:rPr>
          <w:rFonts w:hint="eastAsia" w:ascii="Times New Roman" w:hAnsi="Times New Roman" w:eastAsia="黑体" w:cs="Times New Roman"/>
          <w:color w:val="auto"/>
          <w:sz w:val="24"/>
          <w:highlight w:val="yellow"/>
          <w:lang w:val="en-US" w:eastAsia="zh-CN"/>
        </w:rPr>
      </w:pPr>
    </w:p>
    <w:p w14:paraId="292AEBC8">
      <w:pPr>
        <w:bidi w:val="0"/>
        <w:rPr>
          <w:rFonts w:hint="eastAsia" w:ascii="Times New Roman" w:hAnsi="Times New Roman" w:eastAsia="黑体" w:cs="Times New Roman"/>
          <w:color w:val="auto"/>
          <w:sz w:val="24"/>
          <w:highlight w:val="yellow"/>
          <w:lang w:val="en-US" w:eastAsia="zh-CN"/>
        </w:rPr>
      </w:pPr>
    </w:p>
    <w:p w14:paraId="43ACF3C3">
      <w:pPr>
        <w:bidi w:val="0"/>
        <w:rPr>
          <w:rFonts w:hint="eastAsia" w:ascii="Times New Roman" w:hAnsi="Times New Roman" w:eastAsia="黑体" w:cs="Times New Roman"/>
          <w:color w:val="auto"/>
          <w:sz w:val="24"/>
          <w:highlight w:val="yellow"/>
          <w:lang w:val="en-US" w:eastAsia="zh-CN"/>
        </w:rPr>
      </w:pPr>
    </w:p>
    <w:p w14:paraId="1DD65EB4">
      <w:pPr>
        <w:pStyle w:val="2"/>
        <w:rPr>
          <w:rFonts w:hint="eastAsia"/>
          <w:lang w:val="en-US" w:eastAsia="zh-CN"/>
        </w:rPr>
      </w:pPr>
    </w:p>
    <w:p w14:paraId="27F76004">
      <w:pPr>
        <w:bidi w:val="0"/>
        <w:rPr>
          <w:rFonts w:hint="eastAsia" w:ascii="Times New Roman" w:hAnsi="Times New Roman" w:eastAsia="黑体" w:cs="Times New Roman"/>
          <w:color w:val="auto"/>
          <w:sz w:val="24"/>
          <w:highlight w:val="yellow"/>
          <w:lang w:val="en-US" w:eastAsia="zh-CN"/>
        </w:rPr>
      </w:pPr>
    </w:p>
    <w:p w14:paraId="7F42CF63">
      <w:pPr>
        <w:bidi w:val="0"/>
        <w:rPr>
          <w:rFonts w:hint="default" w:ascii="Times New Roman" w:hAnsi="Times New Roman" w:eastAsia="黑体" w:cs="Times New Roman"/>
          <w:color w:val="auto"/>
          <w:sz w:val="24"/>
          <w:highlight w:val="yellow"/>
          <w:lang w:val="en-US" w:eastAsia="zh-CN"/>
        </w:rPr>
      </w:pPr>
    </w:p>
    <w:p w14:paraId="31AB784D">
      <w:pPr>
        <w:bidi w:val="0"/>
        <w:rPr>
          <w:rFonts w:hint="eastAsia"/>
          <w:color w:val="auto"/>
          <w:highlight w:val="none"/>
          <w:lang w:val="en-US" w:eastAsia="zh-CN"/>
        </w:rPr>
      </w:pPr>
    </w:p>
    <w:p w14:paraId="60CF761F">
      <w:pPr>
        <w:spacing w:line="360" w:lineRule="auto"/>
        <w:jc w:val="center"/>
        <w:rPr>
          <w:rFonts w:ascii="宋体" w:hAnsi="宋体"/>
          <w:b/>
          <w:color w:val="auto"/>
          <w:highlight w:val="none"/>
          <w:u w:val="none"/>
        </w:rPr>
        <w:sectPr>
          <w:footerReference r:id="rId20" w:type="default"/>
          <w:pgSz w:w="11906" w:h="16838"/>
          <w:pgMar w:top="1440" w:right="1800" w:bottom="1440" w:left="1800" w:header="851" w:footer="992" w:gutter="0"/>
          <w:pgNumType w:fmt="decimal"/>
          <w:cols w:space="425" w:num="1"/>
          <w:docGrid w:type="lines" w:linePitch="312" w:charSpace="0"/>
        </w:sect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人在采购清单报价表中填写的综合单价应为</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70026314">
      <w:pPr>
        <w:bidi w:val="0"/>
        <w:rPr>
          <w:rFonts w:hint="eastAsia"/>
          <w:color w:val="auto"/>
          <w:highlight w:val="none"/>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2"/>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442"/>
        <w:gridCol w:w="3541"/>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2442" w:type="dxa"/>
            <w:vAlign w:val="center"/>
          </w:tcPr>
          <w:p w14:paraId="70787F35">
            <w:pPr>
              <w:pStyle w:val="20"/>
              <w:keepNext w:val="0"/>
              <w:keepLines w:val="0"/>
              <w:suppressLineNumbers w:val="0"/>
              <w:spacing w:before="0" w:beforeAutospacing="0" w:afterAutospacing="0"/>
              <w:ind w:left="0" w:leftChars="0" w:right="0" w:firstLine="0" w:firstLineChars="0"/>
              <w:jc w:val="center"/>
              <w:rPr>
                <w:rFonts w:hint="default"/>
                <w:color w:val="auto"/>
                <w:highlight w:val="none"/>
                <w:lang w:val="en-US" w:eastAsia="zh-CN"/>
              </w:rPr>
            </w:pPr>
            <w:r>
              <w:rPr>
                <w:rFonts w:hint="eastAsia"/>
                <w:color w:val="auto"/>
                <w:highlight w:val="none"/>
                <w:lang w:val="en-US" w:eastAsia="zh-CN"/>
              </w:rPr>
              <w:t>采购项目</w:t>
            </w:r>
          </w:p>
        </w:tc>
        <w:tc>
          <w:tcPr>
            <w:tcW w:w="3541" w:type="dxa"/>
            <w:vAlign w:val="center"/>
          </w:tcPr>
          <w:p w14:paraId="5D63EC84">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2119" w:type="dxa"/>
            <w:vAlign w:val="center"/>
          </w:tcPr>
          <w:p w14:paraId="2E7D9F42">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442" w:type="dxa"/>
            <w:vAlign w:val="center"/>
          </w:tcPr>
          <w:p w14:paraId="5649D393">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highlight w:val="none"/>
                <w:lang w:val="en-US" w:eastAsia="zh-CN"/>
              </w:rPr>
              <w:t>合计</w:t>
            </w:r>
          </w:p>
        </w:tc>
        <w:tc>
          <w:tcPr>
            <w:tcW w:w="3541" w:type="dxa"/>
            <w:vAlign w:val="center"/>
          </w:tcPr>
          <w:p w14:paraId="7202620A">
            <w:pPr>
              <w:pStyle w:val="20"/>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2119" w:type="dxa"/>
            <w:vAlign w:val="center"/>
          </w:tcPr>
          <w:p w14:paraId="6A4B90EC">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3223" w:type="dxa"/>
            <w:gridSpan w:val="2"/>
            <w:vAlign w:val="center"/>
          </w:tcPr>
          <w:p w14:paraId="7BEBA5EB">
            <w:pPr>
              <w:pStyle w:val="20"/>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5660" w:type="dxa"/>
            <w:gridSpan w:val="2"/>
            <w:vAlign w:val="center"/>
          </w:tcPr>
          <w:p w14:paraId="02585497">
            <w:pPr>
              <w:pStyle w:val="20"/>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bl>
    <w:p w14:paraId="24F56A55">
      <w:pPr>
        <w:pStyle w:val="20"/>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w:t>
      </w:r>
      <w:r>
        <w:rPr>
          <w:rFonts w:hint="eastAsia" w:ascii="宋体" w:hAnsi="宋体"/>
          <w:color w:val="auto"/>
          <w:szCs w:val="21"/>
          <w:highlight w:val="none"/>
          <w:u w:val="none"/>
          <w:lang w:val="en-US" w:eastAsia="zh-CN"/>
        </w:rPr>
        <w:t>单位公章</w:t>
      </w:r>
      <w:r>
        <w:rPr>
          <w:rFonts w:hint="eastAsia" w:ascii="宋体" w:hAnsi="宋体"/>
          <w:color w:val="auto"/>
          <w:szCs w:val="21"/>
          <w:highlight w:val="none"/>
          <w:u w:val="none"/>
        </w:rPr>
        <w:t>）</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法定代表人或</w:t>
      </w:r>
      <w:r>
        <w:rPr>
          <w:rFonts w:hint="eastAsia" w:ascii="宋体" w:hAnsi="宋体"/>
          <w:color w:val="auto"/>
          <w:szCs w:val="21"/>
          <w:highlight w:val="none"/>
          <w:u w:val="none"/>
          <w:lang w:val="en-US" w:eastAsia="zh-CN"/>
        </w:rPr>
        <w:t>委托</w:t>
      </w:r>
      <w:r>
        <w:rPr>
          <w:rFonts w:hint="eastAsia" w:ascii="宋体" w:hAnsi="宋体"/>
          <w:color w:val="auto"/>
          <w:szCs w:val="21"/>
          <w:highlight w:val="none"/>
          <w:u w:val="none"/>
        </w:rPr>
        <w:t>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20"/>
        <w:rPr>
          <w:color w:val="auto"/>
          <w:highlight w:val="none"/>
        </w:rPr>
      </w:pPr>
    </w:p>
    <w:p w14:paraId="1963A718">
      <w:pPr>
        <w:pStyle w:val="20"/>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19"/>
        <w:rPr>
          <w:rFonts w:hint="eastAsia"/>
          <w:color w:val="auto"/>
          <w:highlight w:val="none"/>
          <w:lang w:val="en-US" w:eastAsia="zh-CN"/>
        </w:rPr>
      </w:pPr>
    </w:p>
    <w:p w14:paraId="581676FD">
      <w:pPr>
        <w:pStyle w:val="19"/>
        <w:rPr>
          <w:rFonts w:hint="eastAsia"/>
          <w:color w:val="auto"/>
          <w:highlight w:val="none"/>
          <w:lang w:val="en-US" w:eastAsia="zh-CN"/>
        </w:rPr>
      </w:pPr>
    </w:p>
    <w:p w14:paraId="71D1A16A">
      <w:pPr>
        <w:pStyle w:val="19"/>
        <w:rPr>
          <w:rFonts w:hint="eastAsia"/>
          <w:color w:val="auto"/>
          <w:highlight w:val="none"/>
          <w:lang w:val="en-US" w:eastAsia="zh-CN"/>
        </w:rPr>
      </w:pPr>
    </w:p>
    <w:p w14:paraId="4BB2DBFD">
      <w:pPr>
        <w:pStyle w:val="19"/>
        <w:rPr>
          <w:rFonts w:hint="eastAsia"/>
          <w:color w:val="auto"/>
          <w:highlight w:val="none"/>
          <w:lang w:val="en-US" w:eastAsia="zh-CN"/>
        </w:rPr>
      </w:pPr>
    </w:p>
    <w:p w14:paraId="6579A0A6">
      <w:pPr>
        <w:pStyle w:val="19"/>
        <w:rPr>
          <w:rFonts w:hint="eastAsia"/>
          <w:color w:val="auto"/>
          <w:highlight w:val="none"/>
          <w:lang w:val="en-US" w:eastAsia="zh-CN"/>
        </w:rPr>
      </w:pPr>
    </w:p>
    <w:p w14:paraId="39FF482F">
      <w:pPr>
        <w:pStyle w:val="19"/>
        <w:rPr>
          <w:rFonts w:hint="eastAsia"/>
          <w:color w:val="auto"/>
          <w:highlight w:val="none"/>
          <w:lang w:val="en-US" w:eastAsia="zh-CN"/>
        </w:rPr>
      </w:pPr>
    </w:p>
    <w:p w14:paraId="1222E17D">
      <w:pPr>
        <w:pStyle w:val="19"/>
        <w:rPr>
          <w:rFonts w:hint="eastAsia"/>
          <w:color w:val="auto"/>
          <w:highlight w:val="none"/>
          <w:lang w:val="en-US" w:eastAsia="zh-CN"/>
        </w:rPr>
      </w:pPr>
    </w:p>
    <w:p w14:paraId="36C08017">
      <w:pPr>
        <w:pStyle w:val="19"/>
        <w:rPr>
          <w:rFonts w:hint="eastAsia"/>
          <w:color w:val="auto"/>
          <w:highlight w:val="none"/>
          <w:lang w:val="en-US" w:eastAsia="zh-CN"/>
        </w:rPr>
      </w:pPr>
    </w:p>
    <w:p w14:paraId="06788BEC">
      <w:pPr>
        <w:pStyle w:val="19"/>
        <w:rPr>
          <w:rFonts w:hint="eastAsia"/>
          <w:color w:val="auto"/>
          <w:highlight w:val="none"/>
          <w:lang w:val="en-US" w:eastAsia="zh-CN"/>
        </w:rPr>
      </w:pPr>
    </w:p>
    <w:p w14:paraId="580C0859">
      <w:pPr>
        <w:pStyle w:val="19"/>
        <w:rPr>
          <w:rFonts w:hint="eastAsia"/>
          <w:color w:val="auto"/>
          <w:highlight w:val="none"/>
          <w:lang w:val="en-US" w:eastAsia="zh-CN"/>
        </w:rPr>
      </w:pPr>
    </w:p>
    <w:p w14:paraId="0675DBD4">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b/>
          <w:bCs/>
          <w:color w:val="auto"/>
          <w:kern w:val="2"/>
          <w:sz w:val="21"/>
          <w:szCs w:val="21"/>
          <w:u w:val="none"/>
          <w:lang w:val="en-US" w:eastAsia="zh-CN" w:bidi="ar-SA"/>
        </w:rPr>
        <w:t xml:space="preserve"> 备注：</w:t>
      </w:r>
      <w:r>
        <w:rPr>
          <w:rFonts w:hint="eastAsia" w:ascii="宋体" w:hAnsi="宋体" w:eastAsiaTheme="minorEastAsia" w:cstheme="minorBidi"/>
          <w:color w:val="auto"/>
          <w:kern w:val="2"/>
          <w:sz w:val="21"/>
          <w:szCs w:val="21"/>
          <w:u w:val="none"/>
          <w:lang w:val="en-US" w:eastAsia="zh-CN" w:bidi="ar-SA"/>
        </w:rPr>
        <w:t>1.上述费用包括货物的原材料、生产、包装、运输、保险、卸货叉车费（如有）、人工费、卸车费、利润、税费等相关费用。</w:t>
      </w:r>
    </w:p>
    <w:p w14:paraId="5B75BEDD">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2.最终结算以实际供货数量为准，送货时附带相关检测报告。</w:t>
      </w:r>
    </w:p>
    <w:p w14:paraId="1A366C9D">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3.必须按规定提供全部完整无损、全新的产品。涉及标的物第三方复试费用均由供应商承担（含检测样品），抽检频率和批次按国家、行业标准或甲方要求执行。</w:t>
      </w:r>
    </w:p>
    <w:p w14:paraId="1EE7804B">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4.标的物须在包装外壁醒目位置上永久性标示生产厂家、生产批次、品牌标志、规格型号、唯一性可追溯性编码标识（如二维码）等信息。</w:t>
      </w:r>
    </w:p>
    <w:p w14:paraId="5B5EC393">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5.标的物供货进度应满足采购人工程进度分批次实施的安排和要求，</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人应充分理解并全力配合采购人的标的物采购、进场工作，并承担因送货次数增加而引起的运输成本增加等相应风险。</w:t>
      </w:r>
    </w:p>
    <w:p w14:paraId="324F1C01">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6.</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人对提供的标的物质量负总责，材料进场应按程序履行报验、交接手续；因标的物质量问题，将视作违约，</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人须赔偿由此造成返工的全部工程建设费用及其他一切损失，同时由采购人追究</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人的违约责任，情节严重的，依法追究相关责任。</w:t>
      </w:r>
    </w:p>
    <w:p w14:paraId="282D03A1">
      <w:pPr>
        <w:pStyle w:val="13"/>
        <w:adjustRightInd w:val="0"/>
        <w:snapToGrid w:val="0"/>
        <w:jc w:val="center"/>
        <w:rPr>
          <w:rFonts w:ascii="Times New Roman" w:hAnsi="Times New Roman" w:cs="Times New Roman"/>
          <w:color w:val="auto"/>
          <w:highlight w:val="none"/>
        </w:rPr>
      </w:pPr>
    </w:p>
    <w:p w14:paraId="4D6E4DEF">
      <w:pPr>
        <w:rPr>
          <w:rFonts w:ascii="Times New Roman" w:hAnsi="Times New Roman" w:eastAsia="华文中宋" w:cs="Times New Roman"/>
          <w:b/>
          <w:smallCaps/>
          <w:color w:val="auto"/>
          <w:sz w:val="24"/>
          <w:szCs w:val="24"/>
          <w:highlight w:val="none"/>
        </w:rPr>
      </w:pPr>
      <w:r>
        <w:rPr>
          <w:rFonts w:ascii="Times New Roman" w:hAnsi="Times New Roman" w:eastAsia="华文中宋" w:cs="Times New Roman"/>
          <w:b/>
          <w:smallCaps/>
          <w:color w:val="auto"/>
          <w:sz w:val="24"/>
          <w:szCs w:val="24"/>
          <w:highlight w:val="none"/>
        </w:rPr>
        <w:br w:type="page"/>
      </w:r>
    </w:p>
    <w:p w14:paraId="5D16C7CF">
      <w:pPr>
        <w:pStyle w:val="13"/>
        <w:adjustRightInd w:val="0"/>
        <w:snapToGrid w:val="0"/>
        <w:jc w:val="center"/>
        <w:outlineLvl w:val="1"/>
        <w:rPr>
          <w:rFonts w:ascii="Times New Roman" w:hAnsi="Times New Roman" w:eastAsia="华文中宋" w:cs="Times New Roman"/>
          <w:b/>
          <w:color w:val="auto"/>
          <w:sz w:val="24"/>
          <w:szCs w:val="24"/>
          <w:highlight w:val="none"/>
        </w:rPr>
      </w:pPr>
      <w:r>
        <w:rPr>
          <w:rFonts w:ascii="Times New Roman" w:hAnsi="Times New Roman" w:eastAsia="华文中宋" w:cs="Times New Roman"/>
          <w:b/>
          <w:smallCaps/>
          <w:color w:val="auto"/>
          <w:sz w:val="24"/>
          <w:szCs w:val="24"/>
          <w:highlight w:val="none"/>
        </w:rPr>
        <w:t>三、</w:t>
      </w:r>
      <w:r>
        <w:rPr>
          <w:rFonts w:hint="eastAsia" w:ascii="Times New Roman" w:hAnsi="Times New Roman" w:eastAsia="华文中宋" w:cs="Times New Roman"/>
          <w:b/>
          <w:smallCaps/>
          <w:color w:val="auto"/>
          <w:sz w:val="24"/>
          <w:szCs w:val="24"/>
          <w:highlight w:val="none"/>
          <w:lang w:eastAsia="zh-CN"/>
        </w:rPr>
        <w:t>响应</w:t>
      </w:r>
      <w:r>
        <w:rPr>
          <w:rFonts w:ascii="Times New Roman" w:hAnsi="Times New Roman" w:eastAsia="华文中宋" w:cs="Times New Roman"/>
          <w:b/>
          <w:color w:val="auto"/>
          <w:sz w:val="24"/>
          <w:szCs w:val="24"/>
          <w:highlight w:val="none"/>
        </w:rPr>
        <w:t>报价需要说明的其他资料</w:t>
      </w:r>
    </w:p>
    <w:p w14:paraId="08CAB758">
      <w:pPr>
        <w:adjustRightInd w:val="0"/>
        <w:snapToGrid w:val="0"/>
        <w:ind w:firstLine="480" w:firstLineChars="200"/>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单位认为需对其</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报价进行其他补充说明及证明材料</w:t>
      </w:r>
    </w:p>
    <w:p w14:paraId="34C21B0D">
      <w:pPr>
        <w:pStyle w:val="20"/>
        <w:rPr>
          <w:rFonts w:ascii="Times New Roman" w:hAnsi="Times New Roman" w:cs="Times New Roman"/>
          <w:color w:val="auto"/>
          <w:sz w:val="24"/>
          <w:highlight w:val="none"/>
        </w:rPr>
      </w:pPr>
    </w:p>
    <w:p w14:paraId="5934982E">
      <w:pPr>
        <w:rPr>
          <w:rFonts w:ascii="Times New Roman" w:hAnsi="Times New Roman" w:cs="Times New Roman"/>
          <w:color w:val="auto"/>
          <w:sz w:val="24"/>
          <w:highlight w:val="none"/>
        </w:rPr>
      </w:pPr>
    </w:p>
    <w:p w14:paraId="18EDBFB3">
      <w:pPr>
        <w:pStyle w:val="20"/>
        <w:rPr>
          <w:rFonts w:ascii="Times New Roman" w:hAnsi="Times New Roman" w:cs="Times New Roman"/>
          <w:color w:val="auto"/>
          <w:sz w:val="24"/>
          <w:highlight w:val="none"/>
        </w:rPr>
      </w:pPr>
    </w:p>
    <w:p w14:paraId="1D66B5E8">
      <w:pPr>
        <w:rPr>
          <w:rFonts w:ascii="Times New Roman" w:hAnsi="Times New Roman" w:cs="Times New Roman"/>
          <w:color w:val="auto"/>
          <w:sz w:val="24"/>
          <w:highlight w:val="none"/>
        </w:rPr>
      </w:pPr>
    </w:p>
    <w:p w14:paraId="2ADE3158">
      <w:pPr>
        <w:pStyle w:val="20"/>
        <w:rPr>
          <w:rFonts w:ascii="Times New Roman" w:hAnsi="Times New Roman" w:cs="Times New Roman"/>
          <w:color w:val="auto"/>
          <w:sz w:val="24"/>
          <w:highlight w:val="none"/>
        </w:rPr>
      </w:pPr>
    </w:p>
    <w:p w14:paraId="5EEABA31">
      <w:pPr>
        <w:rPr>
          <w:rFonts w:ascii="Times New Roman" w:hAnsi="Times New Roman" w:cs="Times New Roman"/>
          <w:color w:val="auto"/>
          <w:sz w:val="24"/>
          <w:highlight w:val="none"/>
        </w:rPr>
      </w:pPr>
    </w:p>
    <w:p w14:paraId="41A5DB6C">
      <w:pPr>
        <w:pStyle w:val="20"/>
        <w:rPr>
          <w:rFonts w:ascii="Times New Roman" w:hAnsi="Times New Roman" w:cs="Times New Roman"/>
          <w:color w:val="auto"/>
          <w:sz w:val="24"/>
          <w:highlight w:val="none"/>
        </w:rPr>
      </w:pPr>
    </w:p>
    <w:p w14:paraId="2715B041">
      <w:pPr>
        <w:rPr>
          <w:rFonts w:ascii="Times New Roman" w:hAnsi="Times New Roman" w:cs="Times New Roman"/>
          <w:color w:val="auto"/>
          <w:sz w:val="24"/>
          <w:highlight w:val="none"/>
        </w:rPr>
      </w:pPr>
    </w:p>
    <w:p w14:paraId="334913F0">
      <w:pPr>
        <w:pStyle w:val="34"/>
        <w:rPr>
          <w:rFonts w:ascii="Times New Roman" w:hAnsi="Times New Roman" w:cs="Times New Roman"/>
          <w:color w:val="auto"/>
          <w:sz w:val="24"/>
          <w:highlight w:val="none"/>
        </w:rPr>
      </w:pPr>
    </w:p>
    <w:p w14:paraId="0C1676CE">
      <w:pPr>
        <w:rPr>
          <w:rFonts w:hint="eastAsia"/>
          <w:b/>
          <w:bCs/>
          <w:color w:val="auto"/>
          <w:sz w:val="28"/>
          <w:szCs w:val="28"/>
          <w:highlight w:val="none"/>
          <w:lang w:val="en-US" w:eastAsia="zh-CN"/>
        </w:rPr>
      </w:pPr>
    </w:p>
    <w:p w14:paraId="28FC1CAC">
      <w:pPr>
        <w:pStyle w:val="19"/>
        <w:rPr>
          <w:rFonts w:hint="eastAsia"/>
          <w:color w:val="auto"/>
          <w:highlight w:val="none"/>
          <w:lang w:val="en-US" w:eastAsia="zh-CN"/>
        </w:rPr>
      </w:pPr>
    </w:p>
    <w:sectPr>
      <w:footerReference r:id="rId21"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7816510-19A4-4B79-B19C-E408283FDFF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036690A7-1FBA-46B3-93CE-0D01893A23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0E4974A-4021-4633-98AE-E1C1B69BEFCB}"/>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embedRegular r:id="rId4" w:fontKey="{DD3F823B-D0E8-46B5-A54E-DF021400F20A}"/>
  </w:font>
  <w:font w:name="方正小标宋简体">
    <w:panose1 w:val="03000509000000000000"/>
    <w:charset w:val="86"/>
    <w:family w:val="auto"/>
    <w:pitch w:val="default"/>
    <w:sig w:usb0="00000001" w:usb1="080E0000" w:usb2="00000000" w:usb3="00000000" w:csb0="00040000" w:csb1="00000000"/>
    <w:embedRegular r:id="rId5" w:fontKey="{D9F5DBC4-4539-498B-94D1-20DDBBCF2CA2}"/>
  </w:font>
  <w:font w:name="Wingdings 2">
    <w:panose1 w:val="05020102010507070707"/>
    <w:charset w:val="02"/>
    <w:family w:val="roman"/>
    <w:pitch w:val="default"/>
    <w:sig w:usb0="00000000" w:usb1="00000000" w:usb2="00000000" w:usb3="00000000" w:csb0="80000000" w:csb1="00000000"/>
    <w:embedRegular r:id="rId6" w:fontKey="{7676FE3A-FB83-4266-8903-12FFCD1214ED}"/>
  </w:font>
  <w:font w:name="华文楷体">
    <w:panose1 w:val="02010600040101010101"/>
    <w:charset w:val="86"/>
    <w:family w:val="auto"/>
    <w:pitch w:val="default"/>
    <w:sig w:usb0="00000287" w:usb1="080F0000" w:usb2="00000000" w:usb3="00000000" w:csb0="0004009F" w:csb1="DFD70000"/>
    <w:embedRegular r:id="rId7" w:fontKey="{0534B066-0CB0-41A1-80AB-07401C35D87B}"/>
  </w:font>
  <w:font w:name="仿宋_GB2312">
    <w:panose1 w:val="02010609030101010101"/>
    <w:charset w:val="86"/>
    <w:family w:val="modern"/>
    <w:pitch w:val="default"/>
    <w:sig w:usb0="00000001" w:usb1="080E0000" w:usb2="00000000" w:usb3="00000000" w:csb0="00040000" w:csb1="00000000"/>
    <w:embedRegular r:id="rId8" w:fontKey="{CD77DFCA-28A0-4D99-A102-751B7C011A75}"/>
  </w:font>
  <w:font w:name="楷体">
    <w:panose1 w:val="02010609060101010101"/>
    <w:charset w:val="86"/>
    <w:family w:val="auto"/>
    <w:pitch w:val="default"/>
    <w:sig w:usb0="800002BF" w:usb1="38CF7CFA" w:usb2="00000016" w:usb3="00000000" w:csb0="00040001" w:csb1="00000000"/>
    <w:embedRegular r:id="rId9" w:fontKey="{3B94B6C1-ECE8-4A7B-B3D0-86078FA18F7F}"/>
  </w:font>
  <w:font w:name="华文中宋">
    <w:panose1 w:val="02010600040101010101"/>
    <w:charset w:val="50"/>
    <w:family w:val="auto"/>
    <w:pitch w:val="default"/>
    <w:sig w:usb0="00000287" w:usb1="080F0000" w:usb2="00000000" w:usb3="00000000" w:csb0="0004009F" w:csb1="DFD70000"/>
    <w:embedRegular r:id="rId10" w:fontKey="{120D1647-E961-47A1-AEE1-C6AC005F283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4"/>
      <w:ind w:firstLine="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B6C488">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CB6C488">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4"/>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4"/>
      <w:ind w:firstLine="36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5B1ACA">
                          <w:pPr>
                            <w:pStyle w:val="14"/>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65B1ACA">
                    <w:pPr>
                      <w:pStyle w:val="14"/>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C6295">
    <w:pPr>
      <w:pStyle w:val="14"/>
      <w:ind w:firstLine="360"/>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B33D75">
                          <w:pPr>
                            <w:pStyle w:val="14"/>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9B33D75">
                    <w:pPr>
                      <w:pStyle w:val="14"/>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A9275">
    <w:pPr>
      <w:pStyle w:val="14"/>
      <w:ind w:firstLine="360"/>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F2278">
                          <w:pPr>
                            <w:pStyle w:val="14"/>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9FF2278">
                    <w:pPr>
                      <w:pStyle w:val="14"/>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4"/>
      <w:ind w:firstLine="36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93C98">
                          <w:pPr>
                            <w:pStyle w:val="1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8693C98">
                    <w:pPr>
                      <w:pStyle w:val="1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A0C7666">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25C">
    <w:pPr>
      <w:pStyle w:val="14"/>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F04C94">
                          <w:pPr>
                            <w:pStyle w:val="14"/>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6F04C94">
                    <w:pPr>
                      <w:pStyle w:val="14"/>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2EB9">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CB06B">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CCB06B">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3C57">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4"/>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8D62A">
                          <w:pPr>
                            <w:pStyle w:val="14"/>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428D62A">
                    <w:pPr>
                      <w:pStyle w:val="14"/>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D6CF0">
    <w:pPr>
      <w:pStyle w:val="14"/>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AC848">
                          <w:pPr>
                            <w:pStyle w:val="14"/>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6FAC848">
                    <w:pPr>
                      <w:pStyle w:val="14"/>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5090">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8EA963">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D8EA963">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ED42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76ED">
    <w:pPr>
      <w:pStyle w:val="3"/>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FE8C">
    <w:pPr>
      <w:pStyle w:val="3"/>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E81B">
    <w:pPr>
      <w:pStyle w:val="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3"/>
      <w:rPr>
        <w:rFonts w:hint="default"/>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3F7FE">
    <w:pPr>
      <w:pStyle w:val="3"/>
      <w:rPr>
        <w:rFonts w:hint="default"/>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6F5DB">
    <w:pPr>
      <w:pStyle w:val="3"/>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_x0000_s4098" o:spid="_x0000_s4098" o:spt="136" type="#_x0000_t136" style="position:absolute;left:0pt;height:62.3pt;width:524.95pt;mso-position-horizontal:center;mso-position-horizontal-relative:margin;mso-position-vertical:center;mso-position-vertical-relative:margin;rotation:-2949120f;z-index:-251654144;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D2122">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5"/>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E95D47B"/>
    <w:multiLevelType w:val="singleLevel"/>
    <w:tmpl w:val="2E95D47B"/>
    <w:lvl w:ilvl="0" w:tentative="0">
      <w:start w:val="1"/>
      <w:numFmt w:val="decimal"/>
      <w:pStyle w:val="6"/>
      <w:suff w:val="nothing"/>
      <w:lvlText w:val="%1．"/>
      <w:lvlJc w:val="left"/>
      <w:pPr>
        <w:ind w:left="17" w:firstLine="400"/>
      </w:pPr>
      <w:rPr>
        <w:rFonts w:hint="default"/>
      </w:rPr>
    </w:lvl>
  </w:abstractNum>
  <w:abstractNum w:abstractNumId="2">
    <w:nsid w:val="4D0384C7"/>
    <w:multiLevelType w:val="singleLevel"/>
    <w:tmpl w:val="4D0384C7"/>
    <w:lvl w:ilvl="0" w:tentative="0">
      <w:start w:val="1"/>
      <w:numFmt w:val="chineseCounting"/>
      <w:suff w:val="space"/>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65BAD"/>
    <w:rsid w:val="00675481"/>
    <w:rsid w:val="00691F7C"/>
    <w:rsid w:val="00724BD4"/>
    <w:rsid w:val="007678F7"/>
    <w:rsid w:val="007C6E94"/>
    <w:rsid w:val="00950240"/>
    <w:rsid w:val="009F4C1B"/>
    <w:rsid w:val="00A15DCF"/>
    <w:rsid w:val="00AB7A64"/>
    <w:rsid w:val="00D704DB"/>
    <w:rsid w:val="00E30FAC"/>
    <w:rsid w:val="00E8570D"/>
    <w:rsid w:val="010A3C11"/>
    <w:rsid w:val="010E69FF"/>
    <w:rsid w:val="016035C7"/>
    <w:rsid w:val="017D7CB0"/>
    <w:rsid w:val="01AF70E0"/>
    <w:rsid w:val="01D6466C"/>
    <w:rsid w:val="0211370D"/>
    <w:rsid w:val="0215764D"/>
    <w:rsid w:val="022655F4"/>
    <w:rsid w:val="023E3C6A"/>
    <w:rsid w:val="0286092F"/>
    <w:rsid w:val="028D5673"/>
    <w:rsid w:val="02932C1B"/>
    <w:rsid w:val="02B159B4"/>
    <w:rsid w:val="02C26D91"/>
    <w:rsid w:val="02D346A3"/>
    <w:rsid w:val="02DF3606"/>
    <w:rsid w:val="02F05C02"/>
    <w:rsid w:val="036118B1"/>
    <w:rsid w:val="0371289F"/>
    <w:rsid w:val="038863C7"/>
    <w:rsid w:val="0389136D"/>
    <w:rsid w:val="038A7E04"/>
    <w:rsid w:val="03A9557F"/>
    <w:rsid w:val="03B86BA8"/>
    <w:rsid w:val="03F914B2"/>
    <w:rsid w:val="04230E30"/>
    <w:rsid w:val="042516B9"/>
    <w:rsid w:val="042F2C67"/>
    <w:rsid w:val="045E338A"/>
    <w:rsid w:val="047010F6"/>
    <w:rsid w:val="04701D1E"/>
    <w:rsid w:val="049D76C3"/>
    <w:rsid w:val="04C16A73"/>
    <w:rsid w:val="04E034BC"/>
    <w:rsid w:val="05085F79"/>
    <w:rsid w:val="052851DF"/>
    <w:rsid w:val="0535195E"/>
    <w:rsid w:val="054416D2"/>
    <w:rsid w:val="05AF29EE"/>
    <w:rsid w:val="05BE3D95"/>
    <w:rsid w:val="05D2339D"/>
    <w:rsid w:val="05F62696"/>
    <w:rsid w:val="05F94BA8"/>
    <w:rsid w:val="060774EA"/>
    <w:rsid w:val="06341F34"/>
    <w:rsid w:val="06663933"/>
    <w:rsid w:val="068727A0"/>
    <w:rsid w:val="06E878A2"/>
    <w:rsid w:val="07063EDC"/>
    <w:rsid w:val="070B283F"/>
    <w:rsid w:val="071432F2"/>
    <w:rsid w:val="073835B2"/>
    <w:rsid w:val="076958CF"/>
    <w:rsid w:val="07783EDF"/>
    <w:rsid w:val="07A31864"/>
    <w:rsid w:val="07AF3996"/>
    <w:rsid w:val="07BF556A"/>
    <w:rsid w:val="07C951F6"/>
    <w:rsid w:val="08065E5F"/>
    <w:rsid w:val="080B2B96"/>
    <w:rsid w:val="081D6FC0"/>
    <w:rsid w:val="08412974"/>
    <w:rsid w:val="084F33CB"/>
    <w:rsid w:val="0881185D"/>
    <w:rsid w:val="08907C6B"/>
    <w:rsid w:val="08CA47FF"/>
    <w:rsid w:val="08E57861"/>
    <w:rsid w:val="08E91129"/>
    <w:rsid w:val="09187C60"/>
    <w:rsid w:val="091A677A"/>
    <w:rsid w:val="09210464"/>
    <w:rsid w:val="095E1B17"/>
    <w:rsid w:val="09664FD0"/>
    <w:rsid w:val="096867B1"/>
    <w:rsid w:val="09B13FF7"/>
    <w:rsid w:val="0A2E7496"/>
    <w:rsid w:val="0A407D2C"/>
    <w:rsid w:val="0A466107"/>
    <w:rsid w:val="0A64315D"/>
    <w:rsid w:val="0A8235E3"/>
    <w:rsid w:val="0A941F2B"/>
    <w:rsid w:val="0AAD73BC"/>
    <w:rsid w:val="0AB84C95"/>
    <w:rsid w:val="0AED0915"/>
    <w:rsid w:val="0AF3003D"/>
    <w:rsid w:val="0B286939"/>
    <w:rsid w:val="0B2E4625"/>
    <w:rsid w:val="0B416FFB"/>
    <w:rsid w:val="0B7F3FC7"/>
    <w:rsid w:val="0BA10DDD"/>
    <w:rsid w:val="0BB2614A"/>
    <w:rsid w:val="0BC86369"/>
    <w:rsid w:val="0BCC3D77"/>
    <w:rsid w:val="0BDD422F"/>
    <w:rsid w:val="0C024903"/>
    <w:rsid w:val="0C0B7829"/>
    <w:rsid w:val="0C126BE9"/>
    <w:rsid w:val="0C252478"/>
    <w:rsid w:val="0C425774"/>
    <w:rsid w:val="0C433DD8"/>
    <w:rsid w:val="0C5C5FF7"/>
    <w:rsid w:val="0CA667B4"/>
    <w:rsid w:val="0CB62B1E"/>
    <w:rsid w:val="0CCC4FEA"/>
    <w:rsid w:val="0CD81BE1"/>
    <w:rsid w:val="0D604989"/>
    <w:rsid w:val="0D676CED"/>
    <w:rsid w:val="0DBD0BDC"/>
    <w:rsid w:val="0DC42165"/>
    <w:rsid w:val="0DD26630"/>
    <w:rsid w:val="0DE02F17"/>
    <w:rsid w:val="0E436CA2"/>
    <w:rsid w:val="0E541DD8"/>
    <w:rsid w:val="0EA07AC2"/>
    <w:rsid w:val="0EB14497"/>
    <w:rsid w:val="0EB73ADA"/>
    <w:rsid w:val="0EBA46A3"/>
    <w:rsid w:val="0EBB2DAD"/>
    <w:rsid w:val="0ED411DA"/>
    <w:rsid w:val="0EF05DCE"/>
    <w:rsid w:val="0F4E7639"/>
    <w:rsid w:val="0F515C7A"/>
    <w:rsid w:val="0F531ACB"/>
    <w:rsid w:val="0F5D63CD"/>
    <w:rsid w:val="0F6F4854"/>
    <w:rsid w:val="0F9D4A1B"/>
    <w:rsid w:val="0F9F0794"/>
    <w:rsid w:val="0FB0474F"/>
    <w:rsid w:val="0FB568C1"/>
    <w:rsid w:val="0FB57FB7"/>
    <w:rsid w:val="0FBE1FCA"/>
    <w:rsid w:val="0FD41FBD"/>
    <w:rsid w:val="0FD4370B"/>
    <w:rsid w:val="101902A4"/>
    <w:rsid w:val="101A751A"/>
    <w:rsid w:val="103E486A"/>
    <w:rsid w:val="106D5B52"/>
    <w:rsid w:val="1090350E"/>
    <w:rsid w:val="10944070"/>
    <w:rsid w:val="10A6372F"/>
    <w:rsid w:val="10A97373"/>
    <w:rsid w:val="10DA535D"/>
    <w:rsid w:val="10F20D97"/>
    <w:rsid w:val="10F863AD"/>
    <w:rsid w:val="110D2AFF"/>
    <w:rsid w:val="112131E2"/>
    <w:rsid w:val="11681ED6"/>
    <w:rsid w:val="119C482A"/>
    <w:rsid w:val="11B06C88"/>
    <w:rsid w:val="11C6025A"/>
    <w:rsid w:val="11DF30C9"/>
    <w:rsid w:val="11F528ED"/>
    <w:rsid w:val="11FD4CD5"/>
    <w:rsid w:val="129325F3"/>
    <w:rsid w:val="12983425"/>
    <w:rsid w:val="129A3494"/>
    <w:rsid w:val="12BD1492"/>
    <w:rsid w:val="12FA3B2F"/>
    <w:rsid w:val="1300779B"/>
    <w:rsid w:val="13054DB2"/>
    <w:rsid w:val="131B45D5"/>
    <w:rsid w:val="13431F92"/>
    <w:rsid w:val="13955E86"/>
    <w:rsid w:val="13B567D8"/>
    <w:rsid w:val="13C13BEB"/>
    <w:rsid w:val="13D604FC"/>
    <w:rsid w:val="13E11194"/>
    <w:rsid w:val="13EC1865"/>
    <w:rsid w:val="144A391D"/>
    <w:rsid w:val="145D3899"/>
    <w:rsid w:val="14B7657F"/>
    <w:rsid w:val="14BF5434"/>
    <w:rsid w:val="14CE63E8"/>
    <w:rsid w:val="150E5893"/>
    <w:rsid w:val="15133F2C"/>
    <w:rsid w:val="151B4D60"/>
    <w:rsid w:val="15273705"/>
    <w:rsid w:val="158C044B"/>
    <w:rsid w:val="15AF385B"/>
    <w:rsid w:val="15C3657D"/>
    <w:rsid w:val="15CA4090"/>
    <w:rsid w:val="15ED748E"/>
    <w:rsid w:val="15F1786F"/>
    <w:rsid w:val="160C46A9"/>
    <w:rsid w:val="16201F02"/>
    <w:rsid w:val="163D1F3A"/>
    <w:rsid w:val="16414AC9"/>
    <w:rsid w:val="167C0AF5"/>
    <w:rsid w:val="167C76AF"/>
    <w:rsid w:val="16A14FAE"/>
    <w:rsid w:val="16DE1BA1"/>
    <w:rsid w:val="16FF3D15"/>
    <w:rsid w:val="17024379"/>
    <w:rsid w:val="17263548"/>
    <w:rsid w:val="17755202"/>
    <w:rsid w:val="1776370C"/>
    <w:rsid w:val="17CF3BE0"/>
    <w:rsid w:val="182746B0"/>
    <w:rsid w:val="186C7681"/>
    <w:rsid w:val="18786026"/>
    <w:rsid w:val="188C4113"/>
    <w:rsid w:val="189E5E26"/>
    <w:rsid w:val="18D04606"/>
    <w:rsid w:val="18D70F9E"/>
    <w:rsid w:val="18FA5B52"/>
    <w:rsid w:val="19001DBB"/>
    <w:rsid w:val="19053D5D"/>
    <w:rsid w:val="190D676E"/>
    <w:rsid w:val="191A46EE"/>
    <w:rsid w:val="19315912"/>
    <w:rsid w:val="193D5CAC"/>
    <w:rsid w:val="19600F94"/>
    <w:rsid w:val="19647370"/>
    <w:rsid w:val="19C83B53"/>
    <w:rsid w:val="19DE1C05"/>
    <w:rsid w:val="19EB0A7A"/>
    <w:rsid w:val="1A185E2C"/>
    <w:rsid w:val="1A3C6E09"/>
    <w:rsid w:val="1A58610F"/>
    <w:rsid w:val="1A657CD8"/>
    <w:rsid w:val="1A741F99"/>
    <w:rsid w:val="1AA97D25"/>
    <w:rsid w:val="1AAC1FB7"/>
    <w:rsid w:val="1AF87A50"/>
    <w:rsid w:val="1B1F49AA"/>
    <w:rsid w:val="1B416BA3"/>
    <w:rsid w:val="1B610FF3"/>
    <w:rsid w:val="1B87260E"/>
    <w:rsid w:val="1B9916E8"/>
    <w:rsid w:val="1BF956CF"/>
    <w:rsid w:val="1BFD0D5D"/>
    <w:rsid w:val="1C0C5403"/>
    <w:rsid w:val="1C511068"/>
    <w:rsid w:val="1C7D1E5D"/>
    <w:rsid w:val="1C9D0478"/>
    <w:rsid w:val="1CB03FE0"/>
    <w:rsid w:val="1CB304A3"/>
    <w:rsid w:val="1CD07137"/>
    <w:rsid w:val="1CE76D4F"/>
    <w:rsid w:val="1CF12CD2"/>
    <w:rsid w:val="1D3320C5"/>
    <w:rsid w:val="1D3772E3"/>
    <w:rsid w:val="1D3F5364"/>
    <w:rsid w:val="1D9C6C71"/>
    <w:rsid w:val="1DBF4066"/>
    <w:rsid w:val="1DC0096E"/>
    <w:rsid w:val="1DD02C25"/>
    <w:rsid w:val="1DFB32CC"/>
    <w:rsid w:val="1E085F02"/>
    <w:rsid w:val="1E2F53D8"/>
    <w:rsid w:val="1E304C77"/>
    <w:rsid w:val="1E605592"/>
    <w:rsid w:val="1E764DB5"/>
    <w:rsid w:val="1E7E7378"/>
    <w:rsid w:val="1EEE0DF0"/>
    <w:rsid w:val="1F0529C7"/>
    <w:rsid w:val="1F091FF2"/>
    <w:rsid w:val="1F172B9E"/>
    <w:rsid w:val="1F291E28"/>
    <w:rsid w:val="1F6B68E4"/>
    <w:rsid w:val="1F8615BF"/>
    <w:rsid w:val="1F93095F"/>
    <w:rsid w:val="1FB449F5"/>
    <w:rsid w:val="1FC01B05"/>
    <w:rsid w:val="1FD06747"/>
    <w:rsid w:val="1FE64151"/>
    <w:rsid w:val="1FEA7927"/>
    <w:rsid w:val="1FFE5062"/>
    <w:rsid w:val="20220D88"/>
    <w:rsid w:val="202D724A"/>
    <w:rsid w:val="20432E03"/>
    <w:rsid w:val="20556493"/>
    <w:rsid w:val="20703AC9"/>
    <w:rsid w:val="20CE5700"/>
    <w:rsid w:val="20CE712B"/>
    <w:rsid w:val="20E701EC"/>
    <w:rsid w:val="21366A7E"/>
    <w:rsid w:val="216C51F8"/>
    <w:rsid w:val="21705735"/>
    <w:rsid w:val="218872DA"/>
    <w:rsid w:val="21A659B2"/>
    <w:rsid w:val="21EC1864"/>
    <w:rsid w:val="2211172D"/>
    <w:rsid w:val="222F5C4D"/>
    <w:rsid w:val="22456F98"/>
    <w:rsid w:val="225D5466"/>
    <w:rsid w:val="22694276"/>
    <w:rsid w:val="22853AE2"/>
    <w:rsid w:val="22870E4F"/>
    <w:rsid w:val="22886585"/>
    <w:rsid w:val="22A243CB"/>
    <w:rsid w:val="233E4325"/>
    <w:rsid w:val="23610B8C"/>
    <w:rsid w:val="23623B5A"/>
    <w:rsid w:val="23767E36"/>
    <w:rsid w:val="23D42CAA"/>
    <w:rsid w:val="23DC56BB"/>
    <w:rsid w:val="23E812A0"/>
    <w:rsid w:val="241155A9"/>
    <w:rsid w:val="241D716E"/>
    <w:rsid w:val="244412FB"/>
    <w:rsid w:val="2472524B"/>
    <w:rsid w:val="24AD2EBF"/>
    <w:rsid w:val="24BB5C18"/>
    <w:rsid w:val="253902A6"/>
    <w:rsid w:val="253F05F7"/>
    <w:rsid w:val="25494FD2"/>
    <w:rsid w:val="254A0D4A"/>
    <w:rsid w:val="254B358D"/>
    <w:rsid w:val="25517C49"/>
    <w:rsid w:val="256E6DFD"/>
    <w:rsid w:val="257F09F3"/>
    <w:rsid w:val="25891872"/>
    <w:rsid w:val="25B60EA7"/>
    <w:rsid w:val="25B678EC"/>
    <w:rsid w:val="25B736EC"/>
    <w:rsid w:val="25CC7C14"/>
    <w:rsid w:val="25F767DC"/>
    <w:rsid w:val="25F80363"/>
    <w:rsid w:val="260B0375"/>
    <w:rsid w:val="2613091A"/>
    <w:rsid w:val="26153106"/>
    <w:rsid w:val="26217CFD"/>
    <w:rsid w:val="262D48F3"/>
    <w:rsid w:val="264D0AF2"/>
    <w:rsid w:val="265909F3"/>
    <w:rsid w:val="26B33519"/>
    <w:rsid w:val="26BB5A5B"/>
    <w:rsid w:val="26D7009C"/>
    <w:rsid w:val="26DC3C24"/>
    <w:rsid w:val="26E0066E"/>
    <w:rsid w:val="26E81DCB"/>
    <w:rsid w:val="26FE3B9A"/>
    <w:rsid w:val="273571C2"/>
    <w:rsid w:val="275A75F4"/>
    <w:rsid w:val="275E50DA"/>
    <w:rsid w:val="27621A0B"/>
    <w:rsid w:val="279E7B84"/>
    <w:rsid w:val="27B103DE"/>
    <w:rsid w:val="27CE17BE"/>
    <w:rsid w:val="27DC4161"/>
    <w:rsid w:val="28302479"/>
    <w:rsid w:val="285445B2"/>
    <w:rsid w:val="286A6C87"/>
    <w:rsid w:val="28D24D9C"/>
    <w:rsid w:val="28F25980"/>
    <w:rsid w:val="28FE7045"/>
    <w:rsid w:val="2941798C"/>
    <w:rsid w:val="294C5129"/>
    <w:rsid w:val="295C70D0"/>
    <w:rsid w:val="295E4EA3"/>
    <w:rsid w:val="296E3259"/>
    <w:rsid w:val="296F6FD1"/>
    <w:rsid w:val="29C70BBB"/>
    <w:rsid w:val="29CD4E78"/>
    <w:rsid w:val="29E4351B"/>
    <w:rsid w:val="2A24600D"/>
    <w:rsid w:val="2A305480"/>
    <w:rsid w:val="2A4E6005"/>
    <w:rsid w:val="2A8F70B0"/>
    <w:rsid w:val="2A9C3DF6"/>
    <w:rsid w:val="2AE43776"/>
    <w:rsid w:val="2B06015E"/>
    <w:rsid w:val="2B1D5459"/>
    <w:rsid w:val="2B276CB6"/>
    <w:rsid w:val="2B4F4ECF"/>
    <w:rsid w:val="2B6F284F"/>
    <w:rsid w:val="2BA74026"/>
    <w:rsid w:val="2C2263B3"/>
    <w:rsid w:val="2C825A5F"/>
    <w:rsid w:val="2C9C2F72"/>
    <w:rsid w:val="2CB52F4D"/>
    <w:rsid w:val="2CC15D7F"/>
    <w:rsid w:val="2CD47877"/>
    <w:rsid w:val="2CE83322"/>
    <w:rsid w:val="2D141CF6"/>
    <w:rsid w:val="2D502872"/>
    <w:rsid w:val="2D764930"/>
    <w:rsid w:val="2D984126"/>
    <w:rsid w:val="2DB31BE6"/>
    <w:rsid w:val="2DBE22D5"/>
    <w:rsid w:val="2E0A4375"/>
    <w:rsid w:val="2E0C3040"/>
    <w:rsid w:val="2E0D52BF"/>
    <w:rsid w:val="2E35623B"/>
    <w:rsid w:val="2E4E3659"/>
    <w:rsid w:val="2E505623"/>
    <w:rsid w:val="2E586286"/>
    <w:rsid w:val="2E6740D2"/>
    <w:rsid w:val="2E754C17"/>
    <w:rsid w:val="2E960B5C"/>
    <w:rsid w:val="2EA80FBB"/>
    <w:rsid w:val="2EA8720D"/>
    <w:rsid w:val="2EBA6F40"/>
    <w:rsid w:val="2EC138D2"/>
    <w:rsid w:val="2ED8288A"/>
    <w:rsid w:val="2EE205A6"/>
    <w:rsid w:val="2EEB317F"/>
    <w:rsid w:val="2F18216E"/>
    <w:rsid w:val="2F1E127D"/>
    <w:rsid w:val="2F2969EB"/>
    <w:rsid w:val="2F401502"/>
    <w:rsid w:val="2F462582"/>
    <w:rsid w:val="2F5673B3"/>
    <w:rsid w:val="2F597F13"/>
    <w:rsid w:val="2F714B04"/>
    <w:rsid w:val="2F920A3A"/>
    <w:rsid w:val="2FA15BFA"/>
    <w:rsid w:val="2FED3439"/>
    <w:rsid w:val="2FFB71AB"/>
    <w:rsid w:val="300246FB"/>
    <w:rsid w:val="300458E4"/>
    <w:rsid w:val="30064FDA"/>
    <w:rsid w:val="30212392"/>
    <w:rsid w:val="303773D1"/>
    <w:rsid w:val="30793AE8"/>
    <w:rsid w:val="30B55C11"/>
    <w:rsid w:val="30CB0F91"/>
    <w:rsid w:val="30D77936"/>
    <w:rsid w:val="31165933"/>
    <w:rsid w:val="31342FDA"/>
    <w:rsid w:val="31603DCF"/>
    <w:rsid w:val="316E7428"/>
    <w:rsid w:val="3175714F"/>
    <w:rsid w:val="318555E4"/>
    <w:rsid w:val="319B3695"/>
    <w:rsid w:val="31BF0E0A"/>
    <w:rsid w:val="31D976DD"/>
    <w:rsid w:val="31F14A27"/>
    <w:rsid w:val="32164205"/>
    <w:rsid w:val="322546D1"/>
    <w:rsid w:val="32332253"/>
    <w:rsid w:val="324271A8"/>
    <w:rsid w:val="327A0EC0"/>
    <w:rsid w:val="329D4BAF"/>
    <w:rsid w:val="32B819E9"/>
    <w:rsid w:val="32D10F12"/>
    <w:rsid w:val="331D35FA"/>
    <w:rsid w:val="332C1A8F"/>
    <w:rsid w:val="333B777A"/>
    <w:rsid w:val="333F226C"/>
    <w:rsid w:val="339A2E9C"/>
    <w:rsid w:val="33A51F6D"/>
    <w:rsid w:val="33C26030"/>
    <w:rsid w:val="33C547A5"/>
    <w:rsid w:val="34526CBA"/>
    <w:rsid w:val="345A580A"/>
    <w:rsid w:val="34B22DB1"/>
    <w:rsid w:val="34E42564"/>
    <w:rsid w:val="34EA61B8"/>
    <w:rsid w:val="34F12F90"/>
    <w:rsid w:val="34F82570"/>
    <w:rsid w:val="3518676F"/>
    <w:rsid w:val="35201A23"/>
    <w:rsid w:val="352E500F"/>
    <w:rsid w:val="355434F9"/>
    <w:rsid w:val="35727A6C"/>
    <w:rsid w:val="35843E04"/>
    <w:rsid w:val="35B540D6"/>
    <w:rsid w:val="35BE0BED"/>
    <w:rsid w:val="35C66E2C"/>
    <w:rsid w:val="35CA2312"/>
    <w:rsid w:val="35F76384"/>
    <w:rsid w:val="360F1920"/>
    <w:rsid w:val="361938E0"/>
    <w:rsid w:val="362F5E73"/>
    <w:rsid w:val="36413AA3"/>
    <w:rsid w:val="364C6C07"/>
    <w:rsid w:val="366A124C"/>
    <w:rsid w:val="36B129D7"/>
    <w:rsid w:val="36C144C3"/>
    <w:rsid w:val="36C31D74"/>
    <w:rsid w:val="372633C5"/>
    <w:rsid w:val="377C4EB7"/>
    <w:rsid w:val="385F275A"/>
    <w:rsid w:val="3885411B"/>
    <w:rsid w:val="388C7CC2"/>
    <w:rsid w:val="38B92676"/>
    <w:rsid w:val="38C23C8C"/>
    <w:rsid w:val="38DC28FD"/>
    <w:rsid w:val="390A63CE"/>
    <w:rsid w:val="394D1ECD"/>
    <w:rsid w:val="3951224F"/>
    <w:rsid w:val="396A50BF"/>
    <w:rsid w:val="39B20761"/>
    <w:rsid w:val="39D37108"/>
    <w:rsid w:val="39F257E0"/>
    <w:rsid w:val="39F94DC1"/>
    <w:rsid w:val="3A1C1BAF"/>
    <w:rsid w:val="3A1F1997"/>
    <w:rsid w:val="3A282A5D"/>
    <w:rsid w:val="3A7129B2"/>
    <w:rsid w:val="3A777A93"/>
    <w:rsid w:val="3AD4138A"/>
    <w:rsid w:val="3AE758D2"/>
    <w:rsid w:val="3AF61300"/>
    <w:rsid w:val="3AF8151D"/>
    <w:rsid w:val="3B096510"/>
    <w:rsid w:val="3B2E0A9A"/>
    <w:rsid w:val="3B3377A5"/>
    <w:rsid w:val="3B361C73"/>
    <w:rsid w:val="3B414529"/>
    <w:rsid w:val="3B47240E"/>
    <w:rsid w:val="3B5A188F"/>
    <w:rsid w:val="3B7C2F21"/>
    <w:rsid w:val="3B895CD0"/>
    <w:rsid w:val="3B8A41D3"/>
    <w:rsid w:val="3BC00DC4"/>
    <w:rsid w:val="3C243C4B"/>
    <w:rsid w:val="3C4D6CFE"/>
    <w:rsid w:val="3C651D50"/>
    <w:rsid w:val="3C8666FD"/>
    <w:rsid w:val="3CA523B3"/>
    <w:rsid w:val="3CAF79B9"/>
    <w:rsid w:val="3CF7310E"/>
    <w:rsid w:val="3CFD709B"/>
    <w:rsid w:val="3D000214"/>
    <w:rsid w:val="3D0870C9"/>
    <w:rsid w:val="3D3103CE"/>
    <w:rsid w:val="3D4041F2"/>
    <w:rsid w:val="3D6F7148"/>
    <w:rsid w:val="3D734E8A"/>
    <w:rsid w:val="3D805368"/>
    <w:rsid w:val="3D820C29"/>
    <w:rsid w:val="3DB57993"/>
    <w:rsid w:val="3DC01751"/>
    <w:rsid w:val="3DF132CA"/>
    <w:rsid w:val="3E103B9E"/>
    <w:rsid w:val="3E2829E9"/>
    <w:rsid w:val="3E3C527C"/>
    <w:rsid w:val="3E5113D8"/>
    <w:rsid w:val="3E832EAB"/>
    <w:rsid w:val="3EBE76C5"/>
    <w:rsid w:val="3ECC22A5"/>
    <w:rsid w:val="3EDB2CE7"/>
    <w:rsid w:val="3F1E0E25"/>
    <w:rsid w:val="3F324E7C"/>
    <w:rsid w:val="3F3917BB"/>
    <w:rsid w:val="3F3E1D92"/>
    <w:rsid w:val="3F3E3276"/>
    <w:rsid w:val="3F8C3FE1"/>
    <w:rsid w:val="3FA70E1B"/>
    <w:rsid w:val="3FB452E6"/>
    <w:rsid w:val="3FB5178A"/>
    <w:rsid w:val="3FF744E4"/>
    <w:rsid w:val="40077B0C"/>
    <w:rsid w:val="40290860"/>
    <w:rsid w:val="40297A82"/>
    <w:rsid w:val="403D54CD"/>
    <w:rsid w:val="406D41CF"/>
    <w:rsid w:val="407707ED"/>
    <w:rsid w:val="408028ED"/>
    <w:rsid w:val="40C7284E"/>
    <w:rsid w:val="40D95004"/>
    <w:rsid w:val="40F13E3D"/>
    <w:rsid w:val="40FB5C66"/>
    <w:rsid w:val="41212AAF"/>
    <w:rsid w:val="4148218A"/>
    <w:rsid w:val="41597EF3"/>
    <w:rsid w:val="4178455B"/>
    <w:rsid w:val="41864339"/>
    <w:rsid w:val="41A41AB6"/>
    <w:rsid w:val="41B0748D"/>
    <w:rsid w:val="41B873F1"/>
    <w:rsid w:val="41BB6E00"/>
    <w:rsid w:val="41CF3C5E"/>
    <w:rsid w:val="41E874E1"/>
    <w:rsid w:val="41FB71FC"/>
    <w:rsid w:val="423257B2"/>
    <w:rsid w:val="42440BA3"/>
    <w:rsid w:val="424D3EFC"/>
    <w:rsid w:val="4253528A"/>
    <w:rsid w:val="425D1BF0"/>
    <w:rsid w:val="426A68F1"/>
    <w:rsid w:val="426B29F2"/>
    <w:rsid w:val="426D375C"/>
    <w:rsid w:val="42754E3B"/>
    <w:rsid w:val="42815953"/>
    <w:rsid w:val="42A35E1F"/>
    <w:rsid w:val="42B6714C"/>
    <w:rsid w:val="42E414A5"/>
    <w:rsid w:val="42ED38B0"/>
    <w:rsid w:val="430239C6"/>
    <w:rsid w:val="430C466C"/>
    <w:rsid w:val="435F025C"/>
    <w:rsid w:val="43676230"/>
    <w:rsid w:val="442716E3"/>
    <w:rsid w:val="442A3DC9"/>
    <w:rsid w:val="44316131"/>
    <w:rsid w:val="443A04B0"/>
    <w:rsid w:val="445B0426"/>
    <w:rsid w:val="44623B29"/>
    <w:rsid w:val="448259B3"/>
    <w:rsid w:val="44AC6153"/>
    <w:rsid w:val="44C24001"/>
    <w:rsid w:val="44CB7E92"/>
    <w:rsid w:val="44D37FBC"/>
    <w:rsid w:val="44D53D34"/>
    <w:rsid w:val="44D81267"/>
    <w:rsid w:val="44DD1721"/>
    <w:rsid w:val="45014B29"/>
    <w:rsid w:val="45260A34"/>
    <w:rsid w:val="452D3B70"/>
    <w:rsid w:val="45303661"/>
    <w:rsid w:val="4551727C"/>
    <w:rsid w:val="45653B06"/>
    <w:rsid w:val="45675307"/>
    <w:rsid w:val="4574425A"/>
    <w:rsid w:val="457C0654"/>
    <w:rsid w:val="458B0897"/>
    <w:rsid w:val="458D6DA1"/>
    <w:rsid w:val="458F2670"/>
    <w:rsid w:val="45E82159"/>
    <w:rsid w:val="45ED0F61"/>
    <w:rsid w:val="45FB77CB"/>
    <w:rsid w:val="460C19D8"/>
    <w:rsid w:val="465A0995"/>
    <w:rsid w:val="46767799"/>
    <w:rsid w:val="46B5206F"/>
    <w:rsid w:val="46CA0775"/>
    <w:rsid w:val="46D53D73"/>
    <w:rsid w:val="471825FE"/>
    <w:rsid w:val="4727514F"/>
    <w:rsid w:val="473548A2"/>
    <w:rsid w:val="47451645"/>
    <w:rsid w:val="474D1F95"/>
    <w:rsid w:val="475036EC"/>
    <w:rsid w:val="476304E5"/>
    <w:rsid w:val="48221986"/>
    <w:rsid w:val="483D1893"/>
    <w:rsid w:val="4840005F"/>
    <w:rsid w:val="48407E8B"/>
    <w:rsid w:val="48492B5E"/>
    <w:rsid w:val="48550969"/>
    <w:rsid w:val="485633DE"/>
    <w:rsid w:val="486A70F8"/>
    <w:rsid w:val="48941C0A"/>
    <w:rsid w:val="48D016B1"/>
    <w:rsid w:val="48EB621C"/>
    <w:rsid w:val="48EF63BC"/>
    <w:rsid w:val="48F03833"/>
    <w:rsid w:val="49143FE3"/>
    <w:rsid w:val="49410045"/>
    <w:rsid w:val="497B5EAF"/>
    <w:rsid w:val="49BB5BEF"/>
    <w:rsid w:val="49E550B8"/>
    <w:rsid w:val="4A0F1D6B"/>
    <w:rsid w:val="4A304D72"/>
    <w:rsid w:val="4ABD50B2"/>
    <w:rsid w:val="4ADA08DD"/>
    <w:rsid w:val="4AEE5B50"/>
    <w:rsid w:val="4AF53CDA"/>
    <w:rsid w:val="4B2B0B52"/>
    <w:rsid w:val="4B302190"/>
    <w:rsid w:val="4B316AE7"/>
    <w:rsid w:val="4B4B4D50"/>
    <w:rsid w:val="4B8D7117"/>
    <w:rsid w:val="4B920BD1"/>
    <w:rsid w:val="4BC863A1"/>
    <w:rsid w:val="4BCD1E1A"/>
    <w:rsid w:val="4C0D05F0"/>
    <w:rsid w:val="4C2F01CE"/>
    <w:rsid w:val="4C327CBE"/>
    <w:rsid w:val="4C336232"/>
    <w:rsid w:val="4C4D68A6"/>
    <w:rsid w:val="4C5440D8"/>
    <w:rsid w:val="4C5B1CC0"/>
    <w:rsid w:val="4C6063F0"/>
    <w:rsid w:val="4CDE25B8"/>
    <w:rsid w:val="4D031C9B"/>
    <w:rsid w:val="4D237C5B"/>
    <w:rsid w:val="4D4C4DB0"/>
    <w:rsid w:val="4D567F0A"/>
    <w:rsid w:val="4D6E195B"/>
    <w:rsid w:val="4D882C83"/>
    <w:rsid w:val="4DB33731"/>
    <w:rsid w:val="4DB34E9F"/>
    <w:rsid w:val="4DD45985"/>
    <w:rsid w:val="4DDE57A5"/>
    <w:rsid w:val="4DE4323A"/>
    <w:rsid w:val="4DED5CE9"/>
    <w:rsid w:val="4E015B9A"/>
    <w:rsid w:val="4E040F77"/>
    <w:rsid w:val="4E0D2791"/>
    <w:rsid w:val="4E2528C4"/>
    <w:rsid w:val="4E323FA5"/>
    <w:rsid w:val="4E381FE7"/>
    <w:rsid w:val="4E3E294A"/>
    <w:rsid w:val="4E4361B3"/>
    <w:rsid w:val="4E7D3760"/>
    <w:rsid w:val="4EF15C0F"/>
    <w:rsid w:val="4F0478A8"/>
    <w:rsid w:val="4F0E4A13"/>
    <w:rsid w:val="4F245FE4"/>
    <w:rsid w:val="4F304989"/>
    <w:rsid w:val="4F570614"/>
    <w:rsid w:val="4F7A3E56"/>
    <w:rsid w:val="4F7E3AF1"/>
    <w:rsid w:val="4FAB67F2"/>
    <w:rsid w:val="4FC81DBA"/>
    <w:rsid w:val="4FE062C8"/>
    <w:rsid w:val="4FF260E2"/>
    <w:rsid w:val="50083210"/>
    <w:rsid w:val="501047BA"/>
    <w:rsid w:val="50236B06"/>
    <w:rsid w:val="50493828"/>
    <w:rsid w:val="5051384E"/>
    <w:rsid w:val="50792360"/>
    <w:rsid w:val="507C1E50"/>
    <w:rsid w:val="508D7BB9"/>
    <w:rsid w:val="50932863"/>
    <w:rsid w:val="509347E3"/>
    <w:rsid w:val="50A92418"/>
    <w:rsid w:val="50C64757"/>
    <w:rsid w:val="50E04186"/>
    <w:rsid w:val="50FD6AED"/>
    <w:rsid w:val="511A7AB0"/>
    <w:rsid w:val="512E2388"/>
    <w:rsid w:val="51801680"/>
    <w:rsid w:val="51AE428B"/>
    <w:rsid w:val="51CF2578"/>
    <w:rsid w:val="51D44165"/>
    <w:rsid w:val="51D82289"/>
    <w:rsid w:val="51E101BC"/>
    <w:rsid w:val="522600D8"/>
    <w:rsid w:val="5230624E"/>
    <w:rsid w:val="524B7D2C"/>
    <w:rsid w:val="525E7F64"/>
    <w:rsid w:val="528B597C"/>
    <w:rsid w:val="52A031D1"/>
    <w:rsid w:val="52A92912"/>
    <w:rsid w:val="52B24B47"/>
    <w:rsid w:val="52B3031A"/>
    <w:rsid w:val="52BA1516"/>
    <w:rsid w:val="52D33D8B"/>
    <w:rsid w:val="52DD4E28"/>
    <w:rsid w:val="52E361B6"/>
    <w:rsid w:val="52EF06B7"/>
    <w:rsid w:val="531039DD"/>
    <w:rsid w:val="53180D32"/>
    <w:rsid w:val="53807F59"/>
    <w:rsid w:val="53966D81"/>
    <w:rsid w:val="53C77F81"/>
    <w:rsid w:val="5422686A"/>
    <w:rsid w:val="543C3DD0"/>
    <w:rsid w:val="54931516"/>
    <w:rsid w:val="549A6B3D"/>
    <w:rsid w:val="549C03CB"/>
    <w:rsid w:val="54C469B0"/>
    <w:rsid w:val="54E35FFA"/>
    <w:rsid w:val="54F71AA5"/>
    <w:rsid w:val="551254D1"/>
    <w:rsid w:val="55164621"/>
    <w:rsid w:val="55184EF2"/>
    <w:rsid w:val="557F5C64"/>
    <w:rsid w:val="55BD4A9D"/>
    <w:rsid w:val="55CE5FAF"/>
    <w:rsid w:val="55D65B5E"/>
    <w:rsid w:val="55FF50B5"/>
    <w:rsid w:val="56026953"/>
    <w:rsid w:val="563E671E"/>
    <w:rsid w:val="5647080A"/>
    <w:rsid w:val="565079AB"/>
    <w:rsid w:val="56695122"/>
    <w:rsid w:val="566B44F9"/>
    <w:rsid w:val="56777341"/>
    <w:rsid w:val="567C6706"/>
    <w:rsid w:val="568D4A8B"/>
    <w:rsid w:val="56AD68BF"/>
    <w:rsid w:val="56E322E1"/>
    <w:rsid w:val="56F72C39"/>
    <w:rsid w:val="57265724"/>
    <w:rsid w:val="5741059C"/>
    <w:rsid w:val="57821C5F"/>
    <w:rsid w:val="5787376C"/>
    <w:rsid w:val="57A1017F"/>
    <w:rsid w:val="57C2283E"/>
    <w:rsid w:val="57EC71D5"/>
    <w:rsid w:val="581A249A"/>
    <w:rsid w:val="58340631"/>
    <w:rsid w:val="58810003"/>
    <w:rsid w:val="588621CE"/>
    <w:rsid w:val="588927B2"/>
    <w:rsid w:val="58A14202"/>
    <w:rsid w:val="58A43CF2"/>
    <w:rsid w:val="58AC03AC"/>
    <w:rsid w:val="58B3037A"/>
    <w:rsid w:val="5906675A"/>
    <w:rsid w:val="593212FE"/>
    <w:rsid w:val="593432C8"/>
    <w:rsid w:val="59350DEE"/>
    <w:rsid w:val="596A327B"/>
    <w:rsid w:val="598F3C15"/>
    <w:rsid w:val="59A44AE5"/>
    <w:rsid w:val="59C43179"/>
    <w:rsid w:val="59E21F44"/>
    <w:rsid w:val="59EF7044"/>
    <w:rsid w:val="59FB5B93"/>
    <w:rsid w:val="5A1256BA"/>
    <w:rsid w:val="5A1B2694"/>
    <w:rsid w:val="5A736D06"/>
    <w:rsid w:val="5AB51CCA"/>
    <w:rsid w:val="5AB57322"/>
    <w:rsid w:val="5AB70E71"/>
    <w:rsid w:val="5AB86B82"/>
    <w:rsid w:val="5ABC62B9"/>
    <w:rsid w:val="5ADF7263"/>
    <w:rsid w:val="5AED4C1B"/>
    <w:rsid w:val="5B2D4472"/>
    <w:rsid w:val="5BA52831"/>
    <w:rsid w:val="5BB029AE"/>
    <w:rsid w:val="5BB52E07"/>
    <w:rsid w:val="5BC0596D"/>
    <w:rsid w:val="5BE5635E"/>
    <w:rsid w:val="5BE74621"/>
    <w:rsid w:val="5C03587B"/>
    <w:rsid w:val="5C082ED9"/>
    <w:rsid w:val="5C453255"/>
    <w:rsid w:val="5C4750C0"/>
    <w:rsid w:val="5C4805D9"/>
    <w:rsid w:val="5C482D1B"/>
    <w:rsid w:val="5C7236C4"/>
    <w:rsid w:val="5C8C4DD7"/>
    <w:rsid w:val="5C8E7193"/>
    <w:rsid w:val="5CAD7A90"/>
    <w:rsid w:val="5CB82BDC"/>
    <w:rsid w:val="5CBA0A27"/>
    <w:rsid w:val="5CCC1A69"/>
    <w:rsid w:val="5CE24F97"/>
    <w:rsid w:val="5CEC3B27"/>
    <w:rsid w:val="5D047455"/>
    <w:rsid w:val="5D656145"/>
    <w:rsid w:val="5D804893"/>
    <w:rsid w:val="5DA53F1B"/>
    <w:rsid w:val="5DA54794"/>
    <w:rsid w:val="5DC63FF9"/>
    <w:rsid w:val="5E2A45AB"/>
    <w:rsid w:val="5E80017B"/>
    <w:rsid w:val="5E96232F"/>
    <w:rsid w:val="5F13397F"/>
    <w:rsid w:val="5F384BC9"/>
    <w:rsid w:val="5F4571B2"/>
    <w:rsid w:val="5F4F2373"/>
    <w:rsid w:val="5F6A078D"/>
    <w:rsid w:val="5F93061C"/>
    <w:rsid w:val="5F9A7BFD"/>
    <w:rsid w:val="5FA23A48"/>
    <w:rsid w:val="5FB36CBE"/>
    <w:rsid w:val="5FC627A0"/>
    <w:rsid w:val="5FD076A0"/>
    <w:rsid w:val="5FD07ABA"/>
    <w:rsid w:val="5FDE7373"/>
    <w:rsid w:val="5FEA0B84"/>
    <w:rsid w:val="5FED36FB"/>
    <w:rsid w:val="60561D75"/>
    <w:rsid w:val="606F72DB"/>
    <w:rsid w:val="60A32AE1"/>
    <w:rsid w:val="60B834A6"/>
    <w:rsid w:val="60BC5E8F"/>
    <w:rsid w:val="60C170FF"/>
    <w:rsid w:val="60CC0666"/>
    <w:rsid w:val="610E27AB"/>
    <w:rsid w:val="611511C3"/>
    <w:rsid w:val="61393910"/>
    <w:rsid w:val="614F1476"/>
    <w:rsid w:val="61710A64"/>
    <w:rsid w:val="61750921"/>
    <w:rsid w:val="61880111"/>
    <w:rsid w:val="61C111BB"/>
    <w:rsid w:val="61D05B58"/>
    <w:rsid w:val="61D84352"/>
    <w:rsid w:val="61DA4AD9"/>
    <w:rsid w:val="61F335F4"/>
    <w:rsid w:val="622F0AD0"/>
    <w:rsid w:val="623D3E1F"/>
    <w:rsid w:val="62626313"/>
    <w:rsid w:val="629D4803"/>
    <w:rsid w:val="62AE498D"/>
    <w:rsid w:val="62ED1A72"/>
    <w:rsid w:val="636742AF"/>
    <w:rsid w:val="637F5A87"/>
    <w:rsid w:val="638048A2"/>
    <w:rsid w:val="638A2399"/>
    <w:rsid w:val="63D57455"/>
    <w:rsid w:val="63E84212"/>
    <w:rsid w:val="63EF2CB1"/>
    <w:rsid w:val="63EF49BB"/>
    <w:rsid w:val="63F74842"/>
    <w:rsid w:val="63FF44D2"/>
    <w:rsid w:val="64030466"/>
    <w:rsid w:val="64077840"/>
    <w:rsid w:val="641504F8"/>
    <w:rsid w:val="64601415"/>
    <w:rsid w:val="64774677"/>
    <w:rsid w:val="64AB0CD1"/>
    <w:rsid w:val="64B4350F"/>
    <w:rsid w:val="64C96613"/>
    <w:rsid w:val="64D84E1A"/>
    <w:rsid w:val="65312DB1"/>
    <w:rsid w:val="6548252F"/>
    <w:rsid w:val="6558033E"/>
    <w:rsid w:val="656606E0"/>
    <w:rsid w:val="65675ED4"/>
    <w:rsid w:val="657C03FE"/>
    <w:rsid w:val="658C2053"/>
    <w:rsid w:val="65EB11B2"/>
    <w:rsid w:val="66576847"/>
    <w:rsid w:val="66672543"/>
    <w:rsid w:val="6683497C"/>
    <w:rsid w:val="669B2BD8"/>
    <w:rsid w:val="66B21CD0"/>
    <w:rsid w:val="66CD13E8"/>
    <w:rsid w:val="66E872A7"/>
    <w:rsid w:val="676E5CC7"/>
    <w:rsid w:val="67E14BAB"/>
    <w:rsid w:val="67EE0AE5"/>
    <w:rsid w:val="67F71E56"/>
    <w:rsid w:val="683A3D2B"/>
    <w:rsid w:val="684C44B3"/>
    <w:rsid w:val="68880F3A"/>
    <w:rsid w:val="690F1726"/>
    <w:rsid w:val="691922CA"/>
    <w:rsid w:val="6942765C"/>
    <w:rsid w:val="696E0130"/>
    <w:rsid w:val="69D8608D"/>
    <w:rsid w:val="69EC54F9"/>
    <w:rsid w:val="6A260A0B"/>
    <w:rsid w:val="6A2D5CB0"/>
    <w:rsid w:val="6A4D2110"/>
    <w:rsid w:val="6A663992"/>
    <w:rsid w:val="6A7D0A56"/>
    <w:rsid w:val="6AB10CF8"/>
    <w:rsid w:val="6ABA6C3B"/>
    <w:rsid w:val="6B4078AA"/>
    <w:rsid w:val="6B4663C9"/>
    <w:rsid w:val="6B7B7F55"/>
    <w:rsid w:val="6B916358"/>
    <w:rsid w:val="6B981494"/>
    <w:rsid w:val="6BA57CEF"/>
    <w:rsid w:val="6BB90159"/>
    <w:rsid w:val="6BCC3834"/>
    <w:rsid w:val="6BD84130"/>
    <w:rsid w:val="6BF1329A"/>
    <w:rsid w:val="6C111246"/>
    <w:rsid w:val="6C124248"/>
    <w:rsid w:val="6C661592"/>
    <w:rsid w:val="6C6B059F"/>
    <w:rsid w:val="6C6B6BA9"/>
    <w:rsid w:val="6C8E6D3B"/>
    <w:rsid w:val="6C9555FE"/>
    <w:rsid w:val="6C97605D"/>
    <w:rsid w:val="6C9F4AA4"/>
    <w:rsid w:val="6CA00B62"/>
    <w:rsid w:val="6CBD4F2A"/>
    <w:rsid w:val="6CFE27E3"/>
    <w:rsid w:val="6D274D94"/>
    <w:rsid w:val="6D7B2E1B"/>
    <w:rsid w:val="6D8C026B"/>
    <w:rsid w:val="6D955447"/>
    <w:rsid w:val="6D9E0D2D"/>
    <w:rsid w:val="6D9E2EF6"/>
    <w:rsid w:val="6DAD3879"/>
    <w:rsid w:val="6DD01AB0"/>
    <w:rsid w:val="6DD16EDF"/>
    <w:rsid w:val="6DD857F0"/>
    <w:rsid w:val="6DE94229"/>
    <w:rsid w:val="6DEB139F"/>
    <w:rsid w:val="6DF350A8"/>
    <w:rsid w:val="6E160D96"/>
    <w:rsid w:val="6E3336F6"/>
    <w:rsid w:val="6E4A3AA9"/>
    <w:rsid w:val="6E557B10"/>
    <w:rsid w:val="6E62222D"/>
    <w:rsid w:val="6E741A47"/>
    <w:rsid w:val="6E846891"/>
    <w:rsid w:val="6E8B3FD1"/>
    <w:rsid w:val="6E9D5013"/>
    <w:rsid w:val="6E9E14B7"/>
    <w:rsid w:val="6EB34837"/>
    <w:rsid w:val="6EC73382"/>
    <w:rsid w:val="6EDB181C"/>
    <w:rsid w:val="6F0843FC"/>
    <w:rsid w:val="6F0B01CF"/>
    <w:rsid w:val="6F0C014F"/>
    <w:rsid w:val="6F0D11E7"/>
    <w:rsid w:val="6F1D644C"/>
    <w:rsid w:val="6F4D02A4"/>
    <w:rsid w:val="6F793947"/>
    <w:rsid w:val="6FC83DE4"/>
    <w:rsid w:val="6FD9651F"/>
    <w:rsid w:val="6FDB7D0C"/>
    <w:rsid w:val="6FDC23B5"/>
    <w:rsid w:val="705D0EFE"/>
    <w:rsid w:val="7060279C"/>
    <w:rsid w:val="706B3710"/>
    <w:rsid w:val="706B4417"/>
    <w:rsid w:val="70784F6A"/>
    <w:rsid w:val="70AD066D"/>
    <w:rsid w:val="70B2470E"/>
    <w:rsid w:val="70B46822"/>
    <w:rsid w:val="70D77260"/>
    <w:rsid w:val="70E17439"/>
    <w:rsid w:val="710377E1"/>
    <w:rsid w:val="711F61B4"/>
    <w:rsid w:val="713117D3"/>
    <w:rsid w:val="713F23B2"/>
    <w:rsid w:val="715F2A54"/>
    <w:rsid w:val="716B764B"/>
    <w:rsid w:val="71817101"/>
    <w:rsid w:val="71943263"/>
    <w:rsid w:val="71A10531"/>
    <w:rsid w:val="71B80224"/>
    <w:rsid w:val="71CF7BDA"/>
    <w:rsid w:val="71DE09E8"/>
    <w:rsid w:val="71F4427A"/>
    <w:rsid w:val="720B21A0"/>
    <w:rsid w:val="72231CD3"/>
    <w:rsid w:val="72404633"/>
    <w:rsid w:val="72414B2C"/>
    <w:rsid w:val="725956F5"/>
    <w:rsid w:val="72771820"/>
    <w:rsid w:val="72775B5D"/>
    <w:rsid w:val="72CC6418"/>
    <w:rsid w:val="72E163D5"/>
    <w:rsid w:val="73010267"/>
    <w:rsid w:val="730651BF"/>
    <w:rsid w:val="732C1100"/>
    <w:rsid w:val="73400A3E"/>
    <w:rsid w:val="734D2E7F"/>
    <w:rsid w:val="735D7E91"/>
    <w:rsid w:val="737A5923"/>
    <w:rsid w:val="7395275D"/>
    <w:rsid w:val="73CF6471"/>
    <w:rsid w:val="73F118A1"/>
    <w:rsid w:val="74024296"/>
    <w:rsid w:val="74257DF3"/>
    <w:rsid w:val="748A428C"/>
    <w:rsid w:val="74956EB9"/>
    <w:rsid w:val="7496678D"/>
    <w:rsid w:val="749E5641"/>
    <w:rsid w:val="74EE7509"/>
    <w:rsid w:val="75143EEA"/>
    <w:rsid w:val="751540E3"/>
    <w:rsid w:val="75157FF9"/>
    <w:rsid w:val="757762DF"/>
    <w:rsid w:val="75D91027"/>
    <w:rsid w:val="75E17719"/>
    <w:rsid w:val="76085468"/>
    <w:rsid w:val="76183CDA"/>
    <w:rsid w:val="764861AD"/>
    <w:rsid w:val="764C0E19"/>
    <w:rsid w:val="76570D9E"/>
    <w:rsid w:val="765A1D4D"/>
    <w:rsid w:val="766308F1"/>
    <w:rsid w:val="76B55A6D"/>
    <w:rsid w:val="772B58B2"/>
    <w:rsid w:val="772F009D"/>
    <w:rsid w:val="777E3905"/>
    <w:rsid w:val="777F6544"/>
    <w:rsid w:val="77813724"/>
    <w:rsid w:val="77822AD2"/>
    <w:rsid w:val="779A33A8"/>
    <w:rsid w:val="78263FA6"/>
    <w:rsid w:val="783E7867"/>
    <w:rsid w:val="7846297D"/>
    <w:rsid w:val="7859644F"/>
    <w:rsid w:val="78941235"/>
    <w:rsid w:val="78B13B95"/>
    <w:rsid w:val="78E40FA3"/>
    <w:rsid w:val="78F543CA"/>
    <w:rsid w:val="791E0B39"/>
    <w:rsid w:val="79442C5B"/>
    <w:rsid w:val="79487052"/>
    <w:rsid w:val="79586707"/>
    <w:rsid w:val="79941F77"/>
    <w:rsid w:val="79BE0C60"/>
    <w:rsid w:val="79C218C0"/>
    <w:rsid w:val="79E06FD9"/>
    <w:rsid w:val="79F006ED"/>
    <w:rsid w:val="79F53437"/>
    <w:rsid w:val="7A052A13"/>
    <w:rsid w:val="7A144B1A"/>
    <w:rsid w:val="7A2B3BCE"/>
    <w:rsid w:val="7A7430CC"/>
    <w:rsid w:val="7A80169B"/>
    <w:rsid w:val="7A9502A9"/>
    <w:rsid w:val="7AAE735F"/>
    <w:rsid w:val="7AC1208A"/>
    <w:rsid w:val="7AC3206E"/>
    <w:rsid w:val="7AC51215"/>
    <w:rsid w:val="7AE446F6"/>
    <w:rsid w:val="7AFF6ACD"/>
    <w:rsid w:val="7B0326A2"/>
    <w:rsid w:val="7B0F54EB"/>
    <w:rsid w:val="7B436E21"/>
    <w:rsid w:val="7B54666E"/>
    <w:rsid w:val="7B5B0429"/>
    <w:rsid w:val="7B615E02"/>
    <w:rsid w:val="7B6B795B"/>
    <w:rsid w:val="7BB02A82"/>
    <w:rsid w:val="7BBC6B0F"/>
    <w:rsid w:val="7BEC1388"/>
    <w:rsid w:val="7BF00E78"/>
    <w:rsid w:val="7BF1357F"/>
    <w:rsid w:val="7C4A2065"/>
    <w:rsid w:val="7C796F1F"/>
    <w:rsid w:val="7C855349"/>
    <w:rsid w:val="7CAA6238"/>
    <w:rsid w:val="7CFE65CC"/>
    <w:rsid w:val="7D085F7C"/>
    <w:rsid w:val="7D0C3A90"/>
    <w:rsid w:val="7D2D6627"/>
    <w:rsid w:val="7D404FB3"/>
    <w:rsid w:val="7D4A7FD6"/>
    <w:rsid w:val="7D8C349D"/>
    <w:rsid w:val="7D8C697F"/>
    <w:rsid w:val="7DA02855"/>
    <w:rsid w:val="7DC73E5B"/>
    <w:rsid w:val="7DC73F51"/>
    <w:rsid w:val="7DE70059"/>
    <w:rsid w:val="7DF32EA2"/>
    <w:rsid w:val="7E0B1DFF"/>
    <w:rsid w:val="7E134C71"/>
    <w:rsid w:val="7E2352CD"/>
    <w:rsid w:val="7E2A3C98"/>
    <w:rsid w:val="7E5043EB"/>
    <w:rsid w:val="7E604231"/>
    <w:rsid w:val="7E7E6C0F"/>
    <w:rsid w:val="7EA61CC2"/>
    <w:rsid w:val="7EB34E00"/>
    <w:rsid w:val="7EE23E9C"/>
    <w:rsid w:val="7EF2571C"/>
    <w:rsid w:val="7F107F87"/>
    <w:rsid w:val="7F210F90"/>
    <w:rsid w:val="7F3405C5"/>
    <w:rsid w:val="7F361298"/>
    <w:rsid w:val="7F837A13"/>
    <w:rsid w:val="7F9F2560"/>
    <w:rsid w:val="7FA24979"/>
    <w:rsid w:val="7FC40652"/>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6">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7">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8">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header"/>
    <w:basedOn w:val="1"/>
    <w:next w:val="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4">
    <w:name w:val="Quote"/>
    <w:basedOn w:val="1"/>
    <w:next w:val="1"/>
    <w:unhideWhenUsed/>
    <w:qFormat/>
    <w:uiPriority w:val="99"/>
    <w:pPr>
      <w:ind w:left="864" w:right="864"/>
      <w:jc w:val="center"/>
    </w:pPr>
    <w:rPr>
      <w:rFonts w:ascii="Times New Roman" w:hAnsi="Times New Roman"/>
      <w:i/>
      <w:iCs/>
      <w:color w:val="404040"/>
      <w:szCs w:val="21"/>
    </w:rPr>
  </w:style>
  <w:style w:type="paragraph" w:styleId="9">
    <w:name w:val="List 3"/>
    <w:basedOn w:val="1"/>
    <w:qFormat/>
    <w:uiPriority w:val="0"/>
    <w:pPr>
      <w:spacing w:line="240" w:lineRule="auto"/>
      <w:ind w:firstLine="0" w:firstLineChars="0"/>
    </w:pPr>
    <w:rPr>
      <w:szCs w:val="20"/>
    </w:rPr>
  </w:style>
  <w:style w:type="paragraph" w:styleId="10">
    <w:name w:val="annotation text"/>
    <w:basedOn w:val="1"/>
    <w:qFormat/>
    <w:uiPriority w:val="0"/>
    <w:pPr>
      <w:jc w:val="left"/>
    </w:pPr>
  </w:style>
  <w:style w:type="paragraph" w:styleId="11">
    <w:name w:val="Body Text Indent"/>
    <w:basedOn w:val="1"/>
    <w:next w:val="12"/>
    <w:link w:val="40"/>
    <w:qFormat/>
    <w:uiPriority w:val="0"/>
    <w:pPr>
      <w:spacing w:after="120"/>
      <w:ind w:left="420" w:leftChars="200"/>
    </w:pPr>
  </w:style>
  <w:style w:type="paragraph" w:styleId="12">
    <w:name w:val="envelope return"/>
    <w:basedOn w:val="1"/>
    <w:unhideWhenUsed/>
    <w:qFormat/>
    <w:uiPriority w:val="99"/>
    <w:pPr>
      <w:snapToGrid w:val="0"/>
      <w:ind w:firstLine="200"/>
    </w:pPr>
    <w:rPr>
      <w:rFonts w:ascii="Arial" w:hAnsi="Arial" w:cs="Arial"/>
      <w:szCs w:val="20"/>
    </w:rPr>
  </w:style>
  <w:style w:type="paragraph" w:styleId="13">
    <w:name w:val="Plain Text"/>
    <w:basedOn w:val="1"/>
    <w:link w:val="41"/>
    <w:qFormat/>
    <w:uiPriority w:val="0"/>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2"/>
    <w:qFormat/>
    <w:uiPriority w:val="99"/>
    <w:pPr>
      <w:ind w:firstLine="420" w:firstLineChars="100"/>
    </w:pPr>
  </w:style>
  <w:style w:type="paragraph" w:styleId="20">
    <w:name w:val="Body Text First Indent 2"/>
    <w:basedOn w:val="11"/>
    <w:next w:val="1"/>
    <w:qFormat/>
    <w:uiPriority w:val="0"/>
    <w:pPr>
      <w:ind w:firstLine="420" w:firstLineChars="200"/>
    </w:pPr>
    <w:rPr>
      <w:rFonts w:ascii="Calibri" w:hAnsi="Calibri"/>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FollowedHyperlink"/>
    <w:basedOn w:val="23"/>
    <w:qFormat/>
    <w:uiPriority w:val="0"/>
    <w:rPr>
      <w:color w:val="555555"/>
      <w:u w:val="none"/>
    </w:rPr>
  </w:style>
  <w:style w:type="character" w:styleId="27">
    <w:name w:val="Emphasis"/>
    <w:basedOn w:val="23"/>
    <w:qFormat/>
    <w:uiPriority w:val="0"/>
  </w:style>
  <w:style w:type="character" w:styleId="28">
    <w:name w:val="HTML Definition"/>
    <w:basedOn w:val="23"/>
    <w:qFormat/>
    <w:uiPriority w:val="0"/>
  </w:style>
  <w:style w:type="character" w:styleId="29">
    <w:name w:val="HTML Variable"/>
    <w:basedOn w:val="23"/>
    <w:qFormat/>
    <w:uiPriority w:val="0"/>
  </w:style>
  <w:style w:type="character" w:styleId="30">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1">
    <w:name w:val="HTML Cite"/>
    <w:basedOn w:val="23"/>
    <w:qFormat/>
    <w:uiPriority w:val="0"/>
  </w:style>
  <w:style w:type="character" w:styleId="32">
    <w:name w:val="footnote reference"/>
    <w:unhideWhenUsed/>
    <w:qFormat/>
    <w:uiPriority w:val="0"/>
    <w:rPr>
      <w:vertAlign w:val="superscript"/>
    </w:rPr>
  </w:style>
  <w:style w:type="paragraph" w:customStyle="1" w:styleId="33">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4">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5">
    <w:name w:val="WPSOffice手动目录 1"/>
    <w:qFormat/>
    <w:uiPriority w:val="0"/>
    <w:rPr>
      <w:rFonts w:asciiTheme="minorHAnsi" w:hAnsiTheme="minorHAnsi" w:eastAsiaTheme="minorEastAsia" w:cstheme="minorBidi"/>
      <w:lang w:val="en-US" w:eastAsia="zh-CN" w:bidi="ar-SA"/>
    </w:rPr>
  </w:style>
  <w:style w:type="character" w:customStyle="1" w:styleId="36">
    <w:name w:val="font61"/>
    <w:basedOn w:val="23"/>
    <w:qFormat/>
    <w:uiPriority w:val="0"/>
    <w:rPr>
      <w:rFonts w:hint="eastAsia" w:ascii="宋体" w:hAnsi="宋体" w:eastAsia="宋体" w:cs="宋体"/>
      <w:color w:val="000000"/>
      <w:sz w:val="20"/>
      <w:szCs w:val="20"/>
      <w:u w:val="none"/>
    </w:rPr>
  </w:style>
  <w:style w:type="character" w:customStyle="1" w:styleId="37">
    <w:name w:val="font141"/>
    <w:basedOn w:val="23"/>
    <w:qFormat/>
    <w:uiPriority w:val="0"/>
    <w:rPr>
      <w:rFonts w:hint="eastAsia" w:ascii="宋体" w:hAnsi="宋体" w:eastAsia="宋体" w:cs="宋体"/>
      <w:color w:val="000000"/>
      <w:sz w:val="24"/>
      <w:szCs w:val="24"/>
      <w:u w:val="none"/>
      <w:vertAlign w:val="superscript"/>
    </w:rPr>
  </w:style>
  <w:style w:type="paragraph" w:customStyle="1" w:styleId="38">
    <w:name w:val="样式 标题 2 + Times New Roman 四号 非加粗 段前: 5 磅 段后: 0 磅 行距: 固定值 20..."/>
    <w:basedOn w:val="6"/>
    <w:qFormat/>
    <w:uiPriority w:val="0"/>
    <w:pPr>
      <w:spacing w:before="100" w:line="400" w:lineRule="exact"/>
    </w:pPr>
    <w:rPr>
      <w:rFonts w:ascii="Times New Roman" w:hAnsi="Times New Roman" w:eastAsia="黑体" w:cs="宋体"/>
      <w:b w:val="0"/>
      <w:bCs w:val="0"/>
      <w:kern w:val="0"/>
      <w:szCs w:val="20"/>
    </w:rPr>
  </w:style>
  <w:style w:type="paragraph" w:customStyle="1" w:styleId="39">
    <w:name w:val="List Paragraph"/>
    <w:basedOn w:val="1"/>
    <w:qFormat/>
    <w:uiPriority w:val="1"/>
    <w:pPr>
      <w:ind w:left="235" w:hanging="527"/>
    </w:pPr>
    <w:rPr>
      <w:rFonts w:ascii="宋体" w:hAnsi="宋体" w:eastAsia="宋体" w:cs="宋体"/>
      <w:lang w:val="zh-CN" w:eastAsia="zh-CN" w:bidi="zh-CN"/>
    </w:rPr>
  </w:style>
  <w:style w:type="character" w:customStyle="1" w:styleId="40">
    <w:name w:val="正文文本缩进 Char"/>
    <w:link w:val="11"/>
    <w:qFormat/>
    <w:uiPriority w:val="0"/>
  </w:style>
  <w:style w:type="character" w:customStyle="1" w:styleId="41">
    <w:name w:val="纯文本 Char"/>
    <w:link w:val="13"/>
    <w:qFormat/>
    <w:uiPriority w:val="0"/>
    <w:rPr>
      <w:rFonts w:ascii="宋体" w:hAnsi="Courier New"/>
      <w:szCs w:val="20"/>
    </w:rPr>
  </w:style>
  <w:style w:type="paragraph" w:customStyle="1" w:styleId="42">
    <w:name w:val="Table Paragraph"/>
    <w:basedOn w:val="1"/>
    <w:qFormat/>
    <w:uiPriority w:val="1"/>
    <w:rPr>
      <w:rFonts w:ascii="宋体" w:hAnsi="宋体" w:eastAsia="宋体" w:cs="宋体"/>
    </w:rPr>
  </w:style>
  <w:style w:type="table" w:customStyle="1" w:styleId="43">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4">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5">
    <w:name w:val="font41"/>
    <w:basedOn w:val="23"/>
    <w:qFormat/>
    <w:uiPriority w:val="0"/>
    <w:rPr>
      <w:rFonts w:hint="eastAsia" w:ascii="宋体" w:hAnsi="宋体" w:eastAsia="宋体" w:cs="宋体"/>
      <w:color w:val="000000"/>
      <w:sz w:val="22"/>
      <w:szCs w:val="22"/>
      <w:u w:val="none"/>
    </w:rPr>
  </w:style>
  <w:style w:type="character" w:customStyle="1" w:styleId="46">
    <w:name w:val="font51"/>
    <w:basedOn w:val="23"/>
    <w:qFormat/>
    <w:uiPriority w:val="0"/>
    <w:rPr>
      <w:rFonts w:hint="eastAsia" w:ascii="宋体" w:hAnsi="宋体" w:eastAsia="宋体" w:cs="宋体"/>
      <w:color w:val="000000"/>
      <w:sz w:val="22"/>
      <w:szCs w:val="22"/>
      <w:u w:val="none"/>
    </w:rPr>
  </w:style>
  <w:style w:type="character" w:customStyle="1" w:styleId="47">
    <w:name w:val="font91"/>
    <w:basedOn w:val="23"/>
    <w:qFormat/>
    <w:uiPriority w:val="0"/>
    <w:rPr>
      <w:rFonts w:ascii="Arial" w:hAnsi="Arial" w:cs="Arial"/>
      <w:color w:val="000000"/>
      <w:sz w:val="22"/>
      <w:szCs w:val="22"/>
      <w:u w:val="none"/>
    </w:rPr>
  </w:style>
  <w:style w:type="character" w:customStyle="1" w:styleId="48">
    <w:name w:val="font121"/>
    <w:autoRedefine/>
    <w:qFormat/>
    <w:uiPriority w:val="0"/>
    <w:rPr>
      <w:rFonts w:hint="default" w:ascii="Calibri" w:hAnsi="Calibri" w:cs="Calibri"/>
      <w:color w:val="000000"/>
      <w:sz w:val="24"/>
      <w:szCs w:val="24"/>
      <w:u w:val="none"/>
    </w:rPr>
  </w:style>
  <w:style w:type="character" w:customStyle="1" w:styleId="49">
    <w:name w:val="font11"/>
    <w:basedOn w:val="23"/>
    <w:qFormat/>
    <w:uiPriority w:val="0"/>
    <w:rPr>
      <w:rFonts w:ascii="Arial" w:hAnsi="Arial" w:cs="Arial"/>
      <w:color w:val="000000"/>
      <w:sz w:val="20"/>
      <w:szCs w:val="20"/>
      <w:u w:val="none"/>
    </w:rPr>
  </w:style>
  <w:style w:type="character" w:customStyle="1" w:styleId="50">
    <w:name w:val="font21"/>
    <w:basedOn w:val="23"/>
    <w:qFormat/>
    <w:uiPriority w:val="0"/>
    <w:rPr>
      <w:rFonts w:hint="eastAsia" w:ascii="宋体" w:hAnsi="宋体" w:eastAsia="宋体" w:cs="宋体"/>
      <w:color w:val="000000"/>
      <w:sz w:val="20"/>
      <w:szCs w:val="20"/>
      <w:u w:val="none"/>
    </w:rPr>
  </w:style>
  <w:style w:type="character" w:customStyle="1" w:styleId="51">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4857</Words>
  <Characters>5245</Characters>
  <Lines>1</Lines>
  <Paragraphs>1</Paragraphs>
  <TotalTime>35</TotalTime>
  <ScaleCrop>false</ScaleCrop>
  <LinksUpToDate>false</LinksUpToDate>
  <CharactersWithSpaces>5444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2025-06-15T02:39:00Z</cp:lastPrinted>
  <dcterms:modified xsi:type="dcterms:W3CDTF">2025-08-17T08:26:57Z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3ECB3DEC1A354A7AB19C2EFB18C402DD_13</vt:lpwstr>
  </property>
  <property fmtid="{D5CDD505-2E9C-101B-9397-08002B2CF9AE}" pid="4" name="KSOTemplateDocerSaveRecord">
    <vt:lpwstr>eyJoZGlkIjoiN2YzNjBkOTgyNWQ1YTMxYzM3MzMwNWFiODNmOWIzYWMiLCJ1c2VySWQiOiI0MDU4NDYwODgifQ==</vt:lpwstr>
  </property>
</Properties>
</file>