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C98B9">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p>
    <w:p w14:paraId="3EB9E7D3">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合肥市包河区BH202437号地块防火门</w:t>
      </w:r>
      <w:bookmarkStart w:id="149" w:name="_GoBack"/>
      <w:bookmarkEnd w:id="149"/>
    </w:p>
    <w:p w14:paraId="332C392A">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采购及安装项目</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highlight w:val="none"/>
        </w:rPr>
      </w:pPr>
    </w:p>
    <w:p w14:paraId="6B3871F8">
      <w:pPr>
        <w:rPr>
          <w:color w:val="auto"/>
          <w:highlight w:val="none"/>
        </w:rPr>
      </w:pPr>
    </w:p>
    <w:p w14:paraId="28B17120">
      <w:pPr>
        <w:pStyle w:val="8"/>
        <w:rPr>
          <w:rFonts w:ascii="Times New Roman" w:hAnsi="Times New Roman" w:cs="Times New Roman"/>
          <w:color w:val="auto"/>
          <w:szCs w:val="21"/>
          <w:highlight w:val="none"/>
        </w:rPr>
      </w:pPr>
    </w:p>
    <w:p w14:paraId="3E23AC69">
      <w:pPr>
        <w:pStyle w:val="8"/>
        <w:rPr>
          <w:rFonts w:ascii="Times New Roman" w:hAnsi="Times New Roman" w:cs="Times New Roman"/>
          <w:color w:val="auto"/>
          <w:szCs w:val="21"/>
          <w:highlight w:val="none"/>
        </w:rPr>
      </w:pPr>
    </w:p>
    <w:p w14:paraId="33EC8FBC">
      <w:pPr>
        <w:pStyle w:val="13"/>
        <w:rPr>
          <w:rFonts w:ascii="Times New Roman" w:hAnsi="Times New Roman" w:cs="Times New Roman"/>
          <w:color w:val="auto"/>
          <w:szCs w:val="21"/>
          <w:highlight w:val="none"/>
        </w:rPr>
      </w:pPr>
    </w:p>
    <w:p w14:paraId="66600C50">
      <w:pPr>
        <w:jc w:val="center"/>
        <w:rPr>
          <w:rFonts w:hint="eastAsia" w:ascii="Times New Roman" w:hAnsi="Times New Roman" w:eastAsia="黑体" w:cs="Times New Roman"/>
          <w:color w:val="auto"/>
          <w:sz w:val="72"/>
          <w:szCs w:val="72"/>
          <w:highlight w:val="none"/>
          <w:lang w:eastAsia="zh-CN"/>
        </w:rPr>
      </w:pPr>
      <w:r>
        <w:rPr>
          <w:rFonts w:ascii="Times New Roman" w:hAnsi="Times New Roman" w:eastAsia="黑体" w:cs="Times New Roman"/>
          <w:color w:val="auto"/>
          <w:sz w:val="72"/>
          <w:szCs w:val="72"/>
          <w:highlight w:val="none"/>
        </w:rPr>
        <w:t>询  比  文  件</w:t>
      </w:r>
    </w:p>
    <w:p w14:paraId="29855586">
      <w:pPr>
        <w:spacing w:line="540" w:lineRule="exact"/>
        <w:ind w:firstLine="420"/>
        <w:rPr>
          <w:rFonts w:ascii="Times New Roman" w:hAnsi="Times New Roman" w:cs="Times New Roman"/>
          <w:color w:val="auto"/>
          <w:szCs w:val="21"/>
          <w:highlight w:val="none"/>
        </w:rPr>
      </w:pPr>
    </w:p>
    <w:p w14:paraId="49468AB4">
      <w:pPr>
        <w:spacing w:line="540" w:lineRule="exact"/>
        <w:ind w:firstLine="420"/>
        <w:rPr>
          <w:rFonts w:ascii="Times New Roman" w:hAnsi="Times New Roman" w:cs="Times New Roman"/>
          <w:color w:val="auto"/>
          <w:szCs w:val="21"/>
          <w:highlight w:val="none"/>
        </w:rPr>
      </w:pPr>
    </w:p>
    <w:p w14:paraId="349D569A">
      <w:pPr>
        <w:spacing w:line="540" w:lineRule="exact"/>
        <w:ind w:firstLine="420"/>
        <w:rPr>
          <w:rFonts w:ascii="Times New Roman" w:hAnsi="Times New Roman" w:cs="Times New Roman"/>
          <w:color w:val="auto"/>
          <w:szCs w:val="21"/>
          <w:highlight w:val="none"/>
        </w:rPr>
      </w:pPr>
    </w:p>
    <w:p w14:paraId="3A05B35C">
      <w:pPr>
        <w:spacing w:line="540" w:lineRule="exact"/>
        <w:ind w:firstLine="420"/>
        <w:rPr>
          <w:rFonts w:ascii="Times New Roman" w:hAnsi="Times New Roman" w:cs="Times New Roman"/>
          <w:color w:val="auto"/>
          <w:szCs w:val="21"/>
          <w:highlight w:val="none"/>
        </w:rPr>
      </w:pPr>
    </w:p>
    <w:p w14:paraId="46AEBA11">
      <w:pPr>
        <w:spacing w:line="540" w:lineRule="exact"/>
        <w:ind w:firstLine="420"/>
        <w:rPr>
          <w:rFonts w:ascii="Times New Roman" w:hAnsi="Times New Roman" w:cs="Times New Roman"/>
          <w:color w:val="auto"/>
          <w:szCs w:val="21"/>
          <w:highlight w:val="none"/>
        </w:rPr>
      </w:pPr>
    </w:p>
    <w:p w14:paraId="424D0981">
      <w:pPr>
        <w:spacing w:line="540" w:lineRule="exact"/>
        <w:rPr>
          <w:rFonts w:ascii="Times New Roman" w:hAnsi="Times New Roman" w:cs="Times New Roman"/>
          <w:color w:val="auto"/>
          <w:szCs w:val="21"/>
          <w:highlight w:val="none"/>
        </w:rPr>
      </w:pPr>
    </w:p>
    <w:p w14:paraId="07A1887D">
      <w:pPr>
        <w:spacing w:line="540" w:lineRule="exact"/>
        <w:ind w:firstLine="420"/>
        <w:rPr>
          <w:rFonts w:ascii="Times New Roman" w:hAnsi="Times New Roman" w:cs="Times New Roman"/>
          <w:color w:val="auto"/>
          <w:szCs w:val="21"/>
          <w:highlight w:val="none"/>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highlight w:val="none"/>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highlight w:val="none"/>
          <w:u w:val="single"/>
          <w:lang w:eastAsia="zh-CN"/>
        </w:rPr>
      </w:pPr>
      <w:r>
        <w:rPr>
          <w:rFonts w:hint="eastAsia" w:ascii="黑体" w:hAnsi="黑体" w:eastAsia="黑体" w:cs="黑体"/>
          <w:color w:val="auto"/>
          <w:sz w:val="32"/>
          <w:szCs w:val="32"/>
          <w:highlight w:val="none"/>
        </w:rPr>
        <w:t>采</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购</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人：</w:t>
      </w:r>
      <w:r>
        <w:rPr>
          <w:rFonts w:hint="eastAsia" w:ascii="黑体" w:hAnsi="黑体" w:eastAsia="黑体" w:cs="黑体"/>
          <w:color w:val="auto"/>
          <w:sz w:val="32"/>
          <w:szCs w:val="32"/>
          <w:highlight w:val="none"/>
          <w:u w:val="single"/>
          <w:lang w:eastAsia="zh-CN"/>
        </w:rPr>
        <w:t>安徽省经工物资有限公司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日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 xml:space="preserve"> 6</w:t>
      </w:r>
      <w:r>
        <w:rPr>
          <w:rFonts w:hint="eastAsia" w:ascii="黑体" w:hAnsi="黑体" w:eastAsia="黑体" w:cs="黑体"/>
          <w:color w:val="auto"/>
          <w:sz w:val="32"/>
          <w:szCs w:val="32"/>
          <w:highlight w:val="none"/>
        </w:rPr>
        <w:t>月</w:t>
      </w:r>
    </w:p>
    <w:sdt>
      <w:sdtPr>
        <w:rPr>
          <w:rFonts w:ascii="宋体" w:hAnsi="宋体" w:eastAsia="宋体" w:cstheme="minorBidi"/>
          <w:color w:val="auto"/>
          <w:kern w:val="2"/>
          <w:sz w:val="32"/>
          <w:szCs w:val="40"/>
          <w:highlight w:val="none"/>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highlight w:val="none"/>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highlight w:val="none"/>
            </w:rPr>
          </w:pPr>
          <w:r>
            <w:rPr>
              <w:rFonts w:ascii="宋体" w:hAnsi="宋体" w:eastAsia="宋体"/>
              <w:b/>
              <w:bCs/>
              <w:color w:val="auto"/>
              <w:sz w:val="32"/>
              <w:szCs w:val="40"/>
              <w:highlight w:val="none"/>
            </w:rPr>
            <w:t>目</w:t>
          </w:r>
          <w:r>
            <w:rPr>
              <w:rFonts w:hint="eastAsia" w:ascii="宋体" w:hAnsi="宋体" w:eastAsia="宋体"/>
              <w:b/>
              <w:bCs/>
              <w:color w:val="auto"/>
              <w:sz w:val="32"/>
              <w:szCs w:val="40"/>
              <w:highlight w:val="none"/>
              <w:lang w:val="en-US" w:eastAsia="zh-CN"/>
            </w:rPr>
            <w:t xml:space="preserve"> </w:t>
          </w:r>
          <w:r>
            <w:rPr>
              <w:rFonts w:ascii="宋体" w:hAnsi="宋体" w:eastAsia="宋体"/>
              <w:b/>
              <w:bCs/>
              <w:color w:val="auto"/>
              <w:sz w:val="32"/>
              <w:szCs w:val="40"/>
              <w:highlight w:val="none"/>
            </w:rPr>
            <w:t>录</w:t>
          </w:r>
        </w:p>
        <w:p w14:paraId="2D6C6371">
          <w:pPr>
            <w:pStyle w:val="15"/>
            <w:tabs>
              <w:tab w:val="right" w:leader="dot" w:pos="8312"/>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_Toc5782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highlight w:val="none"/>
            </w:rPr>
            <w:t>采购公告</w:t>
          </w:r>
          <w:r>
            <w:tab/>
          </w:r>
          <w:r>
            <w:fldChar w:fldCharType="begin"/>
          </w:r>
          <w:r>
            <w:instrText xml:space="preserve"> PAGEREF _Toc5782 \h </w:instrText>
          </w:r>
          <w:r>
            <w:fldChar w:fldCharType="separate"/>
          </w:r>
          <w:r>
            <w:t>3</w:t>
          </w:r>
          <w:r>
            <w:fldChar w:fldCharType="end"/>
          </w:r>
          <w:r>
            <w:rPr>
              <w:rFonts w:hint="eastAsia" w:ascii="宋体" w:hAnsi="宋体" w:eastAsia="宋体" w:cs="宋体"/>
              <w:color w:val="auto"/>
              <w:szCs w:val="24"/>
              <w:highlight w:val="none"/>
            </w:rPr>
            <w:fldChar w:fldCharType="end"/>
          </w:r>
        </w:p>
        <w:p w14:paraId="6E6BD931">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_Toc17710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highlight w:val="none"/>
            </w:rPr>
            <w:t>供应商须知</w:t>
          </w:r>
          <w:r>
            <w:tab/>
          </w:r>
          <w:r>
            <w:fldChar w:fldCharType="begin"/>
          </w:r>
          <w:r>
            <w:instrText xml:space="preserve"> PAGEREF _Toc17710 \h </w:instrText>
          </w:r>
          <w:r>
            <w:fldChar w:fldCharType="separate"/>
          </w:r>
          <w:r>
            <w:t>6</w:t>
          </w:r>
          <w:r>
            <w:fldChar w:fldCharType="end"/>
          </w:r>
          <w:r>
            <w:rPr>
              <w:rFonts w:hint="eastAsia" w:ascii="宋体" w:hAnsi="宋体" w:eastAsia="宋体" w:cs="宋体"/>
              <w:color w:val="auto"/>
              <w:szCs w:val="24"/>
              <w:highlight w:val="none"/>
            </w:rPr>
            <w:fldChar w:fldCharType="end"/>
          </w:r>
        </w:p>
        <w:p w14:paraId="295DB47F">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_Toc27798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highlight w:val="none"/>
            </w:rPr>
            <w:t>评审办法</w:t>
          </w:r>
          <w:r>
            <w:tab/>
          </w:r>
          <w:r>
            <w:fldChar w:fldCharType="begin"/>
          </w:r>
          <w:r>
            <w:instrText xml:space="preserve"> PAGEREF _Toc27798 \h </w:instrText>
          </w:r>
          <w:r>
            <w:fldChar w:fldCharType="separate"/>
          </w:r>
          <w:r>
            <w:t>17</w:t>
          </w:r>
          <w:r>
            <w:fldChar w:fldCharType="end"/>
          </w:r>
          <w:r>
            <w:rPr>
              <w:rFonts w:hint="eastAsia" w:ascii="宋体" w:hAnsi="宋体" w:eastAsia="宋体" w:cs="宋体"/>
              <w:color w:val="auto"/>
              <w:szCs w:val="24"/>
              <w:highlight w:val="none"/>
            </w:rPr>
            <w:fldChar w:fldCharType="end"/>
          </w:r>
        </w:p>
        <w:p w14:paraId="04E1E14A">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_Toc10047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 xml:space="preserve">第四章 </w:t>
          </w:r>
          <w:r>
            <w:rPr>
              <w:rFonts w:ascii="Times New Roman" w:hAnsi="Times New Roman" w:eastAsia="宋体" w:cs="Times New Roman"/>
              <w:highlight w:val="none"/>
            </w:rPr>
            <w:t>合同内容</w:t>
          </w:r>
          <w:r>
            <w:tab/>
          </w:r>
          <w:r>
            <w:fldChar w:fldCharType="begin"/>
          </w:r>
          <w:r>
            <w:instrText xml:space="preserve"> PAGEREF _Toc10047 \h </w:instrText>
          </w:r>
          <w:r>
            <w:fldChar w:fldCharType="separate"/>
          </w:r>
          <w:r>
            <w:t>24</w:t>
          </w:r>
          <w:r>
            <w:fldChar w:fldCharType="end"/>
          </w:r>
          <w:r>
            <w:rPr>
              <w:rFonts w:hint="eastAsia" w:ascii="宋体" w:hAnsi="宋体" w:eastAsia="宋体" w:cs="宋体"/>
              <w:color w:val="auto"/>
              <w:szCs w:val="24"/>
              <w:highlight w:val="none"/>
            </w:rPr>
            <w:fldChar w:fldCharType="end"/>
          </w:r>
        </w:p>
        <w:p w14:paraId="04D09AC4">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_Toc17748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第五章 采购需求及清单</w:t>
          </w:r>
          <w:r>
            <w:tab/>
          </w:r>
          <w:r>
            <w:fldChar w:fldCharType="begin"/>
          </w:r>
          <w:r>
            <w:instrText xml:space="preserve"> PAGEREF _Toc17748 \h </w:instrText>
          </w:r>
          <w:r>
            <w:fldChar w:fldCharType="separate"/>
          </w:r>
          <w:r>
            <w:t>38</w:t>
          </w:r>
          <w:r>
            <w:fldChar w:fldCharType="end"/>
          </w:r>
          <w:r>
            <w:rPr>
              <w:rFonts w:hint="eastAsia" w:ascii="宋体" w:hAnsi="宋体" w:eastAsia="宋体" w:cs="宋体"/>
              <w:color w:val="auto"/>
              <w:szCs w:val="24"/>
              <w:highlight w:val="none"/>
            </w:rPr>
            <w:fldChar w:fldCharType="end"/>
          </w:r>
        </w:p>
        <w:p w14:paraId="4D7E4545">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_Toc7895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 xml:space="preserve">第六章 </w:t>
          </w:r>
          <w:r>
            <w:rPr>
              <w:rFonts w:hint="eastAsia" w:ascii="Times New Roman" w:hAnsi="Times New Roman" w:eastAsia="宋体" w:cs="Times New Roman"/>
              <w:highlight w:val="none"/>
            </w:rPr>
            <w:t>响应文件格式</w:t>
          </w:r>
          <w:r>
            <w:tab/>
          </w:r>
          <w:r>
            <w:fldChar w:fldCharType="begin"/>
          </w:r>
          <w:r>
            <w:instrText xml:space="preserve"> PAGEREF _Toc7895 \h </w:instrText>
          </w:r>
          <w:r>
            <w:fldChar w:fldCharType="separate"/>
          </w:r>
          <w:r>
            <w:t>39</w:t>
          </w:r>
          <w:r>
            <w:fldChar w:fldCharType="end"/>
          </w:r>
          <w:r>
            <w:rPr>
              <w:rFonts w:hint="eastAsia" w:ascii="宋体" w:hAnsi="宋体" w:eastAsia="宋体" w:cs="宋体"/>
              <w:color w:val="auto"/>
              <w:szCs w:val="24"/>
              <w:highlight w:val="none"/>
            </w:rPr>
            <w:fldChar w:fldCharType="end"/>
          </w:r>
        </w:p>
        <w:p w14:paraId="122B68A8">
          <w:pPr>
            <w:pStyle w:val="15"/>
            <w:tabs>
              <w:tab w:val="right" w:leader="dot" w:pos="8312"/>
            </w:tabs>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highlight w:val="none"/>
            </w:rPr>
          </w:pPr>
          <w:r>
            <w:rPr>
              <w:rFonts w:hint="eastAsia" w:ascii="宋体" w:hAnsi="宋体" w:eastAsia="宋体" w:cs="宋体"/>
              <w:color w:val="auto"/>
              <w:szCs w:val="24"/>
              <w:highlight w:val="none"/>
            </w:rPr>
            <w:fldChar w:fldCharType="end"/>
          </w:r>
        </w:p>
      </w:sdtContent>
    </w:sdt>
    <w:p w14:paraId="3BF787A3">
      <w:pPr>
        <w:jc w:val="center"/>
        <w:rPr>
          <w:rFonts w:ascii="宋体" w:hAnsi="宋体" w:eastAsia="宋体"/>
          <w:color w:val="auto"/>
          <w:highlight w:val="none"/>
        </w:rPr>
      </w:pPr>
    </w:p>
    <w:p w14:paraId="46EE0C31">
      <w:pPr>
        <w:jc w:val="center"/>
        <w:rPr>
          <w:rFonts w:ascii="宋体" w:hAnsi="宋体" w:eastAsia="宋体"/>
          <w:color w:val="auto"/>
          <w:highlight w:val="none"/>
        </w:rPr>
      </w:pPr>
    </w:p>
    <w:p w14:paraId="30FB8451">
      <w:pPr>
        <w:pStyle w:val="2"/>
        <w:spacing w:before="312" w:after="312"/>
        <w:rPr>
          <w:rFonts w:ascii="Times New Roman" w:hAnsi="Times New Roman" w:eastAsia="宋体" w:cs="Times New Roman"/>
          <w:color w:val="auto"/>
          <w:highlight w:val="none"/>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highlight w:val="none"/>
        </w:rPr>
      </w:pPr>
      <w:bookmarkStart w:id="0" w:name="_Toc5782"/>
      <w:r>
        <w:rPr>
          <w:rFonts w:ascii="Times New Roman" w:hAnsi="Times New Roman" w:eastAsia="宋体" w:cs="Times New Roman"/>
          <w:color w:val="auto"/>
          <w:highlight w:val="none"/>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13871"/>
      <w:bookmarkStart w:id="2" w:name="_Toc12765"/>
      <w:bookmarkStart w:id="3" w:name="_Toc24354_WPSOffice_Level2"/>
      <w:bookmarkStart w:id="4" w:name="_Toc10395_WPSOffice_Level2"/>
      <w:bookmarkStart w:id="5" w:name="_Toc6496_WPSOffice_Level2"/>
      <w:bookmarkStart w:id="6" w:name="_Toc525632585"/>
      <w:bookmarkStart w:id="7" w:name="_Toc4489_WPSOffice_Level2"/>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合肥市包河区BH202437号地块防火门采购及安装项目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w:t>
      </w:r>
      <w:r>
        <w:rPr>
          <w:rFonts w:hint="eastAsia" w:ascii="Times New Roman" w:hAnsi="Times New Roman" w:eastAsia="宋体" w:cs="Times New Roman"/>
          <w:color w:val="auto"/>
          <w:sz w:val="21"/>
          <w:szCs w:val="21"/>
          <w:highlight w:val="none"/>
          <w:u w:val="single"/>
          <w:lang w:eastAsia="zh-CN"/>
        </w:rPr>
        <w:t>安徽省经工物资有限公司</w:t>
      </w:r>
      <w:r>
        <w:rPr>
          <w:rFonts w:hint="default" w:ascii="Times New Roman" w:hAnsi="Times New Roman" w:eastAsia="宋体" w:cs="Times New Roman"/>
          <w:color w:val="auto"/>
          <w:sz w:val="21"/>
          <w:szCs w:val="21"/>
          <w:highlight w:val="none"/>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 项目概况：</w:t>
      </w:r>
      <w:r>
        <w:rPr>
          <w:rFonts w:hint="eastAsia" w:ascii="Times New Roman" w:hAnsi="Times New Roman" w:eastAsia="宋体" w:cs="Times New Roman"/>
          <w:color w:val="auto"/>
          <w:sz w:val="21"/>
          <w:szCs w:val="21"/>
          <w:highlight w:val="none"/>
          <w:u w:val="single"/>
          <w:lang w:val="en-US" w:eastAsia="zh-CN"/>
        </w:rPr>
        <w:t>合肥市包河区BH202437号地块防火门采购及安装</w:t>
      </w:r>
      <w:r>
        <w:rPr>
          <w:rFonts w:hint="default" w:ascii="Times New Roman" w:hAnsi="Times New Roman" w:eastAsia="宋体" w:cs="Times New Roman"/>
          <w:color w:val="auto"/>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17858_WPSOffice_Level2"/>
      <w:bookmarkStart w:id="9" w:name="_Toc10274"/>
      <w:bookmarkStart w:id="10" w:name="_Toc8128_WPSOffice_Level2"/>
      <w:bookmarkStart w:id="11" w:name="_Toc525632586"/>
      <w:bookmarkStart w:id="12" w:name="_Toc23266_WPSOffice_Level2"/>
      <w:bookmarkStart w:id="13" w:name="_Toc18453"/>
      <w:bookmarkStart w:id="14" w:name="_Toc18367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r>
        <w:rPr>
          <w:rFonts w:hint="eastAsia" w:ascii="Times New Roman" w:hAnsi="Times New Roman" w:eastAsia="黑体" w:cs="Times New Roman"/>
          <w:b w:val="0"/>
          <w:bCs/>
          <w:color w:val="auto"/>
          <w:sz w:val="22"/>
          <w:szCs w:val="15"/>
          <w:highlight w:val="none"/>
          <w:lang w:val="en-US" w:eastAsia="zh-CN"/>
        </w:rPr>
        <w:t>.</w:t>
      </w:r>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eastAsia" w:ascii="宋体" w:hAnsi="宋体" w:eastAsia="宋体" w:cs="宋体"/>
          <w:color w:val="auto"/>
          <w:szCs w:val="21"/>
          <w:highlight w:val="none"/>
          <w:u w:val="single"/>
          <w:lang w:val="en-US" w:eastAsia="zh-CN"/>
        </w:rPr>
        <w:t xml:space="preserve">产品品牌及参数详见材料品牌推荐表及采购清单。 </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cs="Times New Roman"/>
          <w:color w:val="auto"/>
          <w:szCs w:val="22"/>
          <w:highlight w:val="none"/>
          <w:u w:val="single"/>
          <w:lang w:val="en-US" w:eastAsia="zh-CN"/>
        </w:rPr>
        <w:t>人民币38.2万元</w:t>
      </w:r>
      <w:r>
        <w:rPr>
          <w:rFonts w:hint="eastAsia" w:ascii="宋体" w:hAnsi="宋体" w:eastAsia="宋体" w:cs="宋体"/>
          <w:b w:val="0"/>
          <w:bCs w:val="0"/>
          <w:color w:val="auto"/>
          <w:szCs w:val="21"/>
          <w:highlight w:val="none"/>
          <w:u w:val="single"/>
          <w:lang w:val="en-US" w:eastAsia="zh-CN"/>
        </w:rPr>
        <w:t>。</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none"/>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color w:val="auto"/>
          <w:sz w:val="21"/>
          <w:szCs w:val="21"/>
          <w:highlight w:val="yellow"/>
          <w:u w:val="single"/>
          <w:lang w:val="en-US" w:eastAsia="zh-CN"/>
        </w:rPr>
        <w:t>在接到甲方通知之日起，25天内防火门交货进场，进场后7天安装完成</w:t>
      </w:r>
      <w:r>
        <w:rPr>
          <w:rFonts w:hint="eastAsia" w:ascii="宋体" w:hAnsi="宋体" w:eastAsia="宋体" w:cs="宋体"/>
          <w:color w:val="auto"/>
          <w:kern w:val="0"/>
          <w:sz w:val="21"/>
          <w:szCs w:val="21"/>
          <w:highlight w:val="none"/>
          <w:u w:val="single"/>
          <w:lang w:val="en-US" w:eastAsia="zh-CN"/>
        </w:rPr>
        <w:t>（具体根据实际情况安排进度）</w:t>
      </w:r>
      <w:r>
        <w:rPr>
          <w:rFonts w:hint="eastAsia" w:ascii="宋体" w:hAnsi="宋体" w:eastAsia="宋体" w:cs="宋体"/>
          <w:color w:val="auto"/>
          <w:kern w:val="0"/>
          <w:sz w:val="21"/>
          <w:szCs w:val="21"/>
          <w:highlight w:val="none"/>
          <w:u w:val="none"/>
          <w:lang w:eastAsia="zh-CN"/>
        </w:rPr>
        <w:t>。</w:t>
      </w:r>
      <w:r>
        <w:rPr>
          <w:rFonts w:hint="eastAsia" w:ascii="宋体" w:hAnsi="宋体" w:eastAsia="宋体" w:cs="宋体"/>
          <w:szCs w:val="21"/>
          <w:highlight w:val="none"/>
          <w:u w:val="none"/>
          <w:lang w:val="en-US" w:eastAsia="zh-CN"/>
        </w:rPr>
        <w:t xml:space="preserve"> </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b w:val="0"/>
          <w:bCs w:val="0"/>
          <w:color w:val="auto"/>
          <w:szCs w:val="21"/>
          <w:highlight w:val="none"/>
          <w:u w:val="single"/>
          <w:lang w:val="en-US" w:eastAsia="zh-CN"/>
        </w:rPr>
        <w:t>安徽省合肥市包河区黄河路以北、庐州大道两侧，具体详细交货地点根据实际情况安排</w:t>
      </w:r>
      <w:r>
        <w:rPr>
          <w:rFonts w:hint="eastAsia" w:ascii="Times New Roman" w:hAnsi="Times New Roman" w:eastAsia="宋体" w:cs="Times New Roman"/>
          <w:color w:val="auto"/>
          <w:szCs w:val="21"/>
          <w:highlight w:val="none"/>
          <w:u w:val="none"/>
          <w:lang w:val="en-US" w:eastAsia="zh-CN"/>
        </w:rPr>
        <w:t>。</w:t>
      </w:r>
      <w:r>
        <w:rPr>
          <w:rFonts w:hint="eastAsia" w:ascii="Times New Roman" w:hAnsi="Times New Roman" w:eastAsia="宋体" w:cs="Times New Roman"/>
          <w:color w:val="auto"/>
          <w:szCs w:val="21"/>
          <w:highlight w:val="none"/>
          <w:lang w:val="en-US" w:eastAsia="zh-CN"/>
        </w:rPr>
        <w:t xml:space="preserve">           </w:t>
      </w:r>
    </w:p>
    <w:p w14:paraId="22830808">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p>
    <w:p w14:paraId="71F8C970">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highlight w:val="yellow"/>
        </w:rPr>
      </w:pPr>
      <w:r>
        <w:rPr>
          <w:rFonts w:hint="eastAsia" w:ascii="Times New Roman" w:hAnsi="Times New Roman"/>
          <w:color w:val="auto"/>
          <w:sz w:val="21"/>
          <w:szCs w:val="22"/>
          <w:highlight w:val="yellow"/>
        </w:rPr>
        <w:t>（1）</w:t>
      </w:r>
      <w:r>
        <w:rPr>
          <w:rFonts w:hint="eastAsia" w:ascii="宋体" w:hAnsi="宋体" w:cs="宋体"/>
          <w:color w:val="auto"/>
          <w:sz w:val="21"/>
          <w:szCs w:val="22"/>
          <w:highlight w:val="yellow"/>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highlight w:val="none"/>
          <w:lang w:val="en-US" w:eastAsia="zh-CN"/>
        </w:rPr>
      </w:pPr>
      <w:r>
        <w:rPr>
          <w:rFonts w:hint="eastAsia" w:ascii="宋体" w:hAnsi="宋体" w:cs="宋体"/>
          <w:color w:val="auto"/>
          <w:sz w:val="21"/>
          <w:szCs w:val="22"/>
          <w:highlight w:val="none"/>
        </w:rPr>
        <w:t xml:space="preserve">具备独立法人资格，持有有效的营业执照。 </w:t>
      </w:r>
      <w:r>
        <w:rPr>
          <w:rFonts w:hint="eastAsia" w:ascii="宋体" w:hAnsi="宋体" w:cs="宋体"/>
          <w:color w:val="auto"/>
          <w:sz w:val="21"/>
          <w:szCs w:val="22"/>
          <w:highlight w:val="none"/>
          <w:lang w:val="en-US" w:eastAsia="zh-CN"/>
        </w:rPr>
        <w:t xml:space="preserve"> </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yellow"/>
          <w:lang w:eastAsia="zh-CN"/>
        </w:rPr>
        <w:t>（</w:t>
      </w:r>
      <w:r>
        <w:rPr>
          <w:rFonts w:hint="default" w:ascii="Times New Roman" w:hAnsi="Times New Roman" w:cs="Times New Roman" w:eastAsiaTheme="minorEastAsia"/>
          <w:color w:val="auto"/>
          <w:szCs w:val="22"/>
          <w:highlight w:val="yellow"/>
          <w:lang w:val="en-US" w:eastAsia="zh-CN"/>
        </w:rPr>
        <w:t>2</w:t>
      </w:r>
      <w:r>
        <w:rPr>
          <w:rFonts w:hint="default" w:ascii="Times New Roman" w:hAnsi="Times New Roman" w:cs="Times New Roman" w:eastAsiaTheme="minorEastAsia"/>
          <w:color w:val="auto"/>
          <w:szCs w:val="22"/>
          <w:highlight w:val="yellow"/>
          <w:lang w:eastAsia="zh-CN"/>
        </w:rPr>
        <w:t>）</w:t>
      </w:r>
      <w:r>
        <w:rPr>
          <w:rFonts w:hint="default" w:ascii="Times New Roman" w:hAnsi="Times New Roman" w:cs="Times New Roman" w:eastAsiaTheme="minorEastAsia"/>
          <w:color w:val="auto"/>
          <w:szCs w:val="22"/>
          <w:highlight w:val="yellow"/>
        </w:rPr>
        <w:t>业绩最低要求</w:t>
      </w:r>
      <w:r>
        <w:rPr>
          <w:rFonts w:hint="default" w:ascii="Times New Roman" w:hAnsi="Times New Roman" w:cs="Times New Roman" w:eastAsiaTheme="minorEastAsia"/>
          <w:color w:val="auto"/>
          <w:szCs w:val="22"/>
          <w:highlight w:val="none"/>
        </w:rPr>
        <w:t>：</w:t>
      </w:r>
    </w:p>
    <w:p w14:paraId="4CFF6869">
      <w:pPr>
        <w:pStyle w:val="8"/>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至少提供1个自202</w:t>
      </w:r>
      <w:r>
        <w:rPr>
          <w:rFonts w:hint="eastAsia" w:ascii="Times New Roman" w:hAnsi="Times New Roman" w:cs="Times New Roman"/>
          <w:b w:val="0"/>
          <w:bCs w:val="0"/>
          <w:color w:val="auto"/>
          <w:highlight w:val="none"/>
          <w:u w:val="single"/>
          <w:lang w:val="en-US" w:eastAsia="zh-CN"/>
        </w:rPr>
        <w:t>2</w:t>
      </w:r>
      <w:r>
        <w:rPr>
          <w:rFonts w:hint="default" w:ascii="Times New Roman" w:hAnsi="Times New Roman" w:cs="Times New Roman" w:eastAsiaTheme="minorEastAsia"/>
          <w:b w:val="0"/>
          <w:bCs w:val="0"/>
          <w:color w:val="auto"/>
          <w:highlight w:val="none"/>
          <w:u w:val="single"/>
          <w:lang w:val="en-US" w:eastAsia="zh-CN"/>
        </w:rPr>
        <w:t>年1月1日以来，单项合同额不低于</w:t>
      </w:r>
      <w:r>
        <w:rPr>
          <w:rFonts w:hint="eastAsia" w:ascii="Times New Roman" w:hAnsi="Times New Roman" w:cs="Times New Roman"/>
          <w:b w:val="0"/>
          <w:bCs w:val="0"/>
          <w:color w:val="auto"/>
          <w:highlight w:val="none"/>
          <w:u w:val="single"/>
          <w:lang w:val="en-US" w:eastAsia="zh-CN"/>
        </w:rPr>
        <w:t>30</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防火门</w:t>
      </w:r>
      <w:r>
        <w:rPr>
          <w:rFonts w:hint="default" w:ascii="Times New Roman" w:hAnsi="Times New Roman" w:cs="Times New Roman" w:eastAsiaTheme="minorEastAsia"/>
          <w:b w:val="0"/>
          <w:bCs w:val="0"/>
          <w:color w:val="auto"/>
          <w:highlight w:val="none"/>
          <w:u w:val="single"/>
          <w:lang w:val="en-US" w:eastAsia="zh-CN"/>
        </w:rPr>
        <w:t>供应</w:t>
      </w:r>
      <w:r>
        <w:rPr>
          <w:rFonts w:hint="eastAsia" w:ascii="Times New Roman" w:hAnsi="Times New Roman" w:cs="Times New Roman"/>
          <w:b w:val="0"/>
          <w:bCs w:val="0"/>
          <w:color w:val="auto"/>
          <w:highlight w:val="none"/>
          <w:u w:val="single"/>
          <w:lang w:val="en-US" w:eastAsia="zh-CN"/>
        </w:rPr>
        <w:t>及安装</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每个业绩至少提供不低于合同金额50%的增值税发票或收到业主转账的收款凭证，未提供，该业绩无效</w:t>
      </w:r>
      <w:r>
        <w:rPr>
          <w:rFonts w:hint="default" w:ascii="Times New Roman" w:hAnsi="Times New Roman" w:cs="Times New Roman" w:eastAsiaTheme="minorEastAsia"/>
          <w:b w:val="0"/>
          <w:bCs w:val="0"/>
          <w:color w:val="auto"/>
          <w:szCs w:val="21"/>
          <w:highlight w:val="none"/>
          <w:u w:val="single"/>
          <w:lang w:val="en-US" w:eastAsia="zh-CN"/>
        </w:rPr>
        <w:t>）</w:t>
      </w:r>
      <w:r>
        <w:rPr>
          <w:rFonts w:hint="eastAsia" w:ascii="Times New Roman" w:hAnsi="Times New Roman" w:cs="Times New Roman"/>
          <w:b w:val="0"/>
          <w:bCs w:val="0"/>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业绩证明材料要求：</w:t>
      </w:r>
    </w:p>
    <w:p w14:paraId="7DE2D19D">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①合同协议书复印件；</w:t>
      </w:r>
    </w:p>
    <w:p w14:paraId="3FCCA2B9">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20"/>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lang w:eastAsia="zh-CN"/>
        </w:rPr>
      </w:pPr>
      <w:r>
        <w:rPr>
          <w:rFonts w:hint="default" w:ascii="Times New Roman" w:hAnsi="Times New Roman" w:cs="Times New Roman" w:eastAsiaTheme="minorEastAsia"/>
          <w:color w:val="auto"/>
          <w:szCs w:val="22"/>
          <w:highlight w:val="none"/>
        </w:rPr>
        <w:t>（</w:t>
      </w:r>
      <w:r>
        <w:rPr>
          <w:rFonts w:hint="default" w:ascii="Times New Roman" w:hAnsi="Times New Roman" w:cs="Times New Roman" w:eastAsiaTheme="minorEastAsia"/>
          <w:color w:val="auto"/>
          <w:szCs w:val="22"/>
          <w:highlight w:val="none"/>
          <w:lang w:val="en-US" w:eastAsia="zh-CN"/>
        </w:rPr>
        <w:t>3</w:t>
      </w:r>
      <w:r>
        <w:rPr>
          <w:rFonts w:hint="default" w:ascii="Times New Roman" w:hAnsi="Times New Roman" w:cs="Times New Roman" w:eastAsiaTheme="minorEastAsia"/>
          <w:color w:val="auto"/>
          <w:szCs w:val="22"/>
          <w:highlight w:val="none"/>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Cs w:val="22"/>
          <w:highlight w:val="none"/>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如有</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⑥其他要求：</w:t>
      </w:r>
      <w:r>
        <w:rPr>
          <w:rFonts w:hint="default" w:ascii="Times New Roman" w:hAnsi="Times New Roman" w:cs="Times New Roman" w:eastAsiaTheme="minorEastAsia"/>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eastAsiaTheme="minorEastAsia"/>
          <w:color w:val="auto"/>
          <w:highlight w:val="none"/>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4109_WPSOffice_Level2"/>
      <w:bookmarkStart w:id="19" w:name="_Toc25666_WPSOffice_Level2"/>
      <w:bookmarkStart w:id="20" w:name="_Toc4751"/>
      <w:bookmarkStart w:id="21" w:name="_Toc29452_WPSOffice_Level2"/>
      <w:bookmarkStart w:id="22" w:name="_Toc2996_WPSOffice_Level2"/>
      <w:bookmarkStart w:id="23" w:name="_Toc525632588"/>
      <w:bookmarkStart w:id="24" w:name="_Toc1994"/>
      <w:r>
        <w:rPr>
          <w:rFonts w:hint="default" w:ascii="Times New Roman" w:hAnsi="Times New Roman" w:eastAsia="黑体" w:cs="Times New Roman"/>
          <w:b w:val="0"/>
          <w:bCs/>
          <w:color w:val="auto"/>
          <w:sz w:val="22"/>
          <w:szCs w:val="15"/>
          <w:highlight w:val="none"/>
          <w:lang w:val="en-US" w:eastAsia="zh-CN"/>
        </w:rPr>
        <w:t>询比文件的获取</w:t>
      </w:r>
      <w:bookmarkEnd w:id="18"/>
      <w:bookmarkEnd w:id="19"/>
      <w:bookmarkEnd w:id="20"/>
      <w:bookmarkEnd w:id="21"/>
      <w:bookmarkEnd w:id="22"/>
      <w:bookmarkEnd w:id="23"/>
      <w:bookmarkEnd w:id="24"/>
    </w:p>
    <w:p w14:paraId="56E2CBF5">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highlight w:val="none"/>
        </w:rPr>
      </w:pPr>
      <w:bookmarkStart w:id="25" w:name="_Toc726"/>
      <w:bookmarkStart w:id="26" w:name="_Toc525632589"/>
      <w:r>
        <w:rPr>
          <w:rFonts w:hint="eastAsia" w:ascii="Times New Roman" w:hAnsi="Times New Roman"/>
          <w:color w:val="auto"/>
          <w:sz w:val="21"/>
          <w:szCs w:val="22"/>
          <w:highlight w:val="none"/>
        </w:rPr>
        <w:t>供应商须在“</w:t>
      </w:r>
      <w:r>
        <w:rPr>
          <w:rFonts w:hint="eastAsia" w:ascii="Times New Roman" w:hAnsi="Times New Roman"/>
          <w:color w:val="auto"/>
          <w:sz w:val="21"/>
          <w:szCs w:val="22"/>
          <w:highlight w:val="none"/>
          <w:lang w:val="en-US" w:eastAsia="zh-CN"/>
        </w:rPr>
        <w:t>安徽交控建设工程集团有限公司</w:t>
      </w:r>
      <w:r>
        <w:rPr>
          <w:rFonts w:hint="eastAsia" w:ascii="Times New Roman" w:hAnsi="Times New Roman"/>
          <w:color w:val="auto"/>
          <w:sz w:val="21"/>
          <w:szCs w:val="22"/>
          <w:highlight w:val="none"/>
        </w:rPr>
        <w:t>”（网址：http://www.ahjggroup.com）“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27" w:name="_Toc22719"/>
      <w:bookmarkStart w:id="28" w:name="_Toc525632591"/>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none"/>
          <w:u w:val="single"/>
          <w:lang w:val="en-US" w:eastAsia="zh-CN" w:bidi="ar-SA"/>
        </w:rPr>
        <w:t xml:space="preserve"> 2025 </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 xml:space="preserve"> 6 </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 xml:space="preserve"> 24 </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 xml:space="preserve"> 14 </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 xml:space="preserve"> 30 </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安徽省合肥市包河区西藏路1588号高速时代广场C1栋10楼10</w:t>
      </w:r>
      <w:r>
        <w:rPr>
          <w:rFonts w:hint="eastAsia" w:ascii="Times New Roman" w:hAnsi="Times New Roman" w:eastAsia="宋体" w:cs="Times New Roman"/>
          <w:color w:val="auto"/>
          <w:kern w:val="2"/>
          <w:sz w:val="21"/>
          <w:szCs w:val="21"/>
          <w:highlight w:val="none"/>
          <w:u w:val="single"/>
          <w:lang w:val="en-US" w:eastAsia="zh-CN" w:bidi="ar-SA"/>
        </w:rPr>
        <w:t>08</w:t>
      </w:r>
      <w:r>
        <w:rPr>
          <w:rFonts w:hint="default" w:ascii="Times New Roman" w:hAnsi="Times New Roman" w:eastAsia="宋体" w:cs="Times New Roman"/>
          <w:color w:val="auto"/>
          <w:kern w:val="2"/>
          <w:sz w:val="21"/>
          <w:szCs w:val="21"/>
          <w:highlight w:val="none"/>
          <w:u w:val="single"/>
          <w:lang w:val="en-US" w:eastAsia="zh-CN" w:bidi="ar-SA"/>
        </w:rPr>
        <w:t>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szCs w:val="22"/>
          <w:highlight w:val="yellow"/>
        </w:rPr>
        <w:t>供应商的法定代表人应携带本人身份证原件及法定代表人身份证明书；如由授权代理人出席，则需携带本人身份证原件及授权委托书准时参加启封会议。</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响应保证金的金额：</w:t>
      </w:r>
    </w:p>
    <w:p w14:paraId="46250A5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yellow"/>
          <w:lang w:val="en-US" w:eastAsia="zh-CN" w:bidi="ar-SA"/>
        </w:rPr>
      </w:pPr>
      <w:r>
        <w:rPr>
          <w:rFonts w:hint="default" w:ascii="Times New Roman" w:hAnsi="Times New Roman" w:eastAsia="宋体" w:cs="Times New Roman"/>
          <w:b/>
          <w:bCs/>
          <w:color w:val="auto"/>
          <w:kern w:val="2"/>
          <w:sz w:val="21"/>
          <w:szCs w:val="21"/>
          <w:highlight w:val="yellow"/>
          <w:lang w:val="en-US" w:eastAsia="zh-CN" w:bidi="ar-SA"/>
        </w:rPr>
        <w:t>本项目响应保证金：</w:t>
      </w:r>
      <w:r>
        <w:rPr>
          <w:rFonts w:hint="eastAsia" w:ascii="Times New Roman" w:hAnsi="Times New Roman" w:eastAsia="宋体" w:cs="Times New Roman"/>
          <w:b/>
          <w:bCs/>
          <w:color w:val="auto"/>
          <w:kern w:val="2"/>
          <w:sz w:val="21"/>
          <w:szCs w:val="21"/>
          <w:highlight w:val="yellow"/>
          <w:u w:val="single"/>
          <w:lang w:val="en-US" w:eastAsia="zh-CN" w:bidi="ar-SA"/>
        </w:rPr>
        <w:t xml:space="preserve"> 2000  </w:t>
      </w:r>
      <w:r>
        <w:rPr>
          <w:rFonts w:hint="eastAsia" w:ascii="Times New Roman" w:hAnsi="Times New Roman" w:eastAsia="宋体" w:cs="Times New Roman"/>
          <w:b/>
          <w:bCs/>
          <w:color w:val="auto"/>
          <w:kern w:val="2"/>
          <w:sz w:val="21"/>
          <w:szCs w:val="21"/>
          <w:highlight w:val="yellow"/>
          <w:lang w:val="en-US" w:eastAsia="zh-CN" w:bidi="ar-SA"/>
        </w:rPr>
        <w:t>元（大写：</w:t>
      </w:r>
      <w:r>
        <w:rPr>
          <w:rFonts w:hint="eastAsia" w:ascii="Times New Roman" w:hAnsi="Times New Roman" w:eastAsia="宋体" w:cs="Times New Roman"/>
          <w:b/>
          <w:bCs/>
          <w:color w:val="auto"/>
          <w:kern w:val="2"/>
          <w:sz w:val="21"/>
          <w:szCs w:val="21"/>
          <w:highlight w:val="yellow"/>
          <w:u w:val="single"/>
          <w:lang w:val="en-US" w:eastAsia="zh-CN" w:bidi="ar-SA"/>
        </w:rPr>
        <w:t xml:space="preserve">  贰仟元整</w:t>
      </w:r>
      <w:r>
        <w:rPr>
          <w:rFonts w:hint="eastAsia" w:ascii="Times New Roman" w:hAnsi="Times New Roman" w:eastAsia="宋体" w:cs="Times New Roman"/>
          <w:b/>
          <w:bCs/>
          <w:color w:val="auto"/>
          <w:kern w:val="2"/>
          <w:sz w:val="21"/>
          <w:szCs w:val="21"/>
          <w:highlight w:val="yellow"/>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若采用电汇（转账）形式，响应保证金必须由供应商的</w:t>
      </w:r>
      <w:r>
        <w:rPr>
          <w:rFonts w:hint="eastAsia" w:ascii="宋体" w:hAnsi="宋体" w:cs="宋体"/>
          <w:color w:val="auto"/>
          <w:sz w:val="21"/>
          <w:szCs w:val="21"/>
          <w:highlight w:val="none"/>
          <w:lang w:val="en-US" w:eastAsia="zh-CN" w:bidi="ar"/>
        </w:rPr>
        <w:t>银行</w:t>
      </w:r>
      <w:r>
        <w:rPr>
          <w:rFonts w:hint="eastAsia" w:ascii="宋体" w:hAnsi="宋体" w:cs="宋体"/>
          <w:color w:val="auto"/>
          <w:sz w:val="21"/>
          <w:szCs w:val="21"/>
          <w:highlight w:val="none"/>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响应保证金的账户信息：</w:t>
      </w:r>
    </w:p>
    <w:p w14:paraId="737C81BC">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户</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名：</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开户银行：</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工行合肥蜀山支行</w:t>
      </w:r>
    </w:p>
    <w:p w14:paraId="036ABDAF">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账</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号：</w:t>
      </w:r>
      <w:r>
        <w:rPr>
          <w:rFonts w:hint="default" w:ascii="Times New Roman" w:hAnsi="Times New Roman"/>
          <w:color w:val="auto"/>
          <w:sz w:val="21"/>
          <w:szCs w:val="21"/>
          <w:highlight w:val="none"/>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付款备注：防火门响应保证金</w:t>
      </w:r>
    </w:p>
    <w:p w14:paraId="0687E177">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备注：</w:t>
      </w:r>
    </w:p>
    <w:p w14:paraId="5E74587D">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w:t>
      </w:r>
      <w:r>
        <w:rPr>
          <w:rFonts w:hint="default" w:ascii="Times New Roman" w:hAnsi="Times New Roman"/>
          <w:color w:val="auto"/>
          <w:sz w:val="21"/>
          <w:szCs w:val="21"/>
          <w:highlight w:val="none"/>
          <w:lang w:bidi="ar"/>
        </w:rPr>
        <w:t>1</w:t>
      </w:r>
      <w:r>
        <w:rPr>
          <w:rFonts w:hint="eastAsia" w:ascii="宋体" w:hAnsi="宋体" w:cs="宋体"/>
          <w:color w:val="auto"/>
          <w:sz w:val="21"/>
          <w:szCs w:val="21"/>
          <w:highlight w:val="none"/>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①响应保证金的到账截止时间：响应</w:t>
      </w:r>
      <w:r>
        <w:rPr>
          <w:rFonts w:hint="eastAsia" w:ascii="宋体" w:hAnsi="宋体" w:cs="宋体"/>
          <w:color w:val="auto"/>
          <w:sz w:val="21"/>
          <w:szCs w:val="21"/>
          <w:highlight w:val="none"/>
          <w:lang w:val="en-US" w:eastAsia="zh-CN" w:bidi="ar"/>
        </w:rPr>
        <w:t>文件递交</w:t>
      </w:r>
      <w:r>
        <w:rPr>
          <w:rFonts w:hint="eastAsia" w:ascii="宋体" w:hAnsi="宋体" w:cs="宋体"/>
          <w:color w:val="auto"/>
          <w:sz w:val="21"/>
          <w:szCs w:val="21"/>
          <w:highlight w:val="none"/>
          <w:lang w:bidi="ar"/>
        </w:rPr>
        <w:t>截止时间。</w:t>
      </w:r>
    </w:p>
    <w:p w14:paraId="22D83E34">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②供应商账户汇入到上述账户，采购人不接受以个人名义或以现金形式提交的响应保证金。</w:t>
      </w:r>
    </w:p>
    <w:p w14:paraId="6AF987E4">
      <w:pPr>
        <w:spacing w:beforeLines="0" w:afterLines="0" w:line="440" w:lineRule="exact"/>
        <w:ind w:firstLine="420"/>
        <w:rPr>
          <w:rFonts w:hint="eastAsia" w:ascii="宋体" w:hAnsi="宋体" w:eastAsia="宋体" w:cs="宋体"/>
          <w:szCs w:val="21"/>
        </w:rPr>
      </w:pPr>
      <w:r>
        <w:rPr>
          <w:rFonts w:hint="eastAsia" w:ascii="宋体" w:hAnsi="宋体" w:cs="宋体"/>
          <w:b/>
          <w:color w:val="auto"/>
          <w:sz w:val="21"/>
          <w:szCs w:val="21"/>
          <w:highlight w:val="none"/>
          <w:lang w:bidi="ar"/>
        </w:rPr>
        <w:t>（</w:t>
      </w:r>
      <w:r>
        <w:rPr>
          <w:rFonts w:hint="default" w:ascii="Times New Roman" w:hAnsi="Times New Roman"/>
          <w:b/>
          <w:color w:val="auto"/>
          <w:sz w:val="21"/>
          <w:szCs w:val="21"/>
          <w:highlight w:val="none"/>
          <w:lang w:bidi="ar"/>
        </w:rPr>
        <w:t>2</w:t>
      </w:r>
      <w:r>
        <w:rPr>
          <w:rFonts w:hint="eastAsia" w:ascii="宋体" w:hAnsi="宋体" w:cs="宋体"/>
          <w:b/>
          <w:color w:val="auto"/>
          <w:sz w:val="21"/>
          <w:szCs w:val="21"/>
          <w:highlight w:val="none"/>
          <w:lang w:bidi="ar"/>
        </w:rPr>
        <w:t>）</w:t>
      </w:r>
      <w:r>
        <w:rPr>
          <w:rFonts w:hint="eastAsia" w:ascii="宋体" w:hAnsi="宋体" w:cs="宋体"/>
          <w:b/>
          <w:color w:val="auto"/>
          <w:sz w:val="21"/>
          <w:szCs w:val="21"/>
          <w:highlight w:val="yellow"/>
          <w:lang w:val="en-US" w:eastAsia="zh-CN" w:bidi="ar"/>
        </w:rPr>
        <w:t>中标公示</w:t>
      </w:r>
      <w:r>
        <w:rPr>
          <w:rFonts w:hint="eastAsia" w:ascii="宋体" w:hAnsi="宋体" w:cs="宋体"/>
          <w:b/>
          <w:color w:val="auto"/>
          <w:sz w:val="21"/>
          <w:szCs w:val="21"/>
          <w:highlight w:val="yellow"/>
          <w:lang w:bidi="ar"/>
        </w:rPr>
        <w:t>后，</w:t>
      </w:r>
      <w:r>
        <w:rPr>
          <w:rFonts w:hint="eastAsia" w:ascii="宋体" w:hAnsi="宋体" w:cs="宋体"/>
          <w:b/>
          <w:color w:val="auto"/>
          <w:sz w:val="21"/>
          <w:szCs w:val="21"/>
          <w:highlight w:val="yellow"/>
          <w:lang w:eastAsia="zh-CN" w:bidi="ar"/>
        </w:rPr>
        <w:t>在</w:t>
      </w:r>
      <w:r>
        <w:rPr>
          <w:rFonts w:hint="eastAsia" w:ascii="宋体" w:hAnsi="宋体" w:cs="宋体"/>
          <w:b/>
          <w:color w:val="auto"/>
          <w:sz w:val="21"/>
          <w:szCs w:val="21"/>
          <w:highlight w:val="yellow"/>
          <w:lang w:val="en-US" w:eastAsia="zh-CN" w:bidi="ar"/>
        </w:rPr>
        <w:t>合同签订前，乙方需向甲方支付合同总价2%的</w:t>
      </w:r>
      <w:r>
        <w:rPr>
          <w:rFonts w:hint="eastAsia" w:ascii="宋体" w:hAnsi="宋体" w:cs="宋体"/>
          <w:b/>
          <w:color w:val="auto"/>
          <w:sz w:val="21"/>
          <w:szCs w:val="21"/>
          <w:highlight w:val="yellow"/>
          <w:lang w:bidi="ar"/>
        </w:rPr>
        <w:t>履约保证金</w:t>
      </w:r>
      <w:r>
        <w:rPr>
          <w:rFonts w:hint="eastAsia" w:ascii="宋体" w:hAnsi="宋体" w:cs="宋体"/>
          <w:b/>
          <w:color w:val="auto"/>
          <w:sz w:val="21"/>
          <w:szCs w:val="21"/>
          <w:highlight w:val="yellow"/>
          <w:lang w:val="en-US" w:eastAsia="zh-CN" w:bidi="ar"/>
        </w:rPr>
        <w:t>或提供合同总价5%的银行保函</w:t>
      </w:r>
      <w:r>
        <w:rPr>
          <w:rFonts w:hint="eastAsia" w:ascii="宋体" w:hAnsi="宋体" w:cs="宋体"/>
          <w:b/>
          <w:color w:val="auto"/>
          <w:sz w:val="21"/>
          <w:szCs w:val="21"/>
          <w:highlight w:val="yellow"/>
          <w:lang w:bidi="ar"/>
        </w:rPr>
        <w:t>。</w:t>
      </w:r>
      <w:r>
        <w:rPr>
          <w:rFonts w:hint="eastAsia" w:ascii="宋体" w:hAnsi="宋体" w:eastAsia="宋体" w:cs="宋体"/>
          <w:szCs w:val="21"/>
        </w:rPr>
        <w:t xml:space="preserve">  </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highlight w:val="none"/>
        </w:rPr>
      </w:pPr>
      <w:bookmarkStart w:id="29" w:name="_Toc8501"/>
      <w:bookmarkStart w:id="30" w:name="_Toc26829"/>
      <w:bookmarkStart w:id="31" w:name="_Toc20572_WPSOffice_Level2"/>
      <w:bookmarkStart w:id="32" w:name="_Toc321_WPSOffice_Level2"/>
      <w:bookmarkStart w:id="33" w:name="_Toc28571_WPSOffice_Level2"/>
      <w:bookmarkStart w:id="34" w:name="_Toc525632592"/>
      <w:bookmarkStart w:id="35" w:name="_Toc14943_WPSOffice_Level2"/>
      <w:r>
        <w:rPr>
          <w:rFonts w:hint="eastAsia" w:ascii="Times New Roman" w:hAnsi="Times New Roman"/>
          <w:color w:val="auto"/>
          <w:sz w:val="21"/>
          <w:szCs w:val="22"/>
          <w:highlight w:val="none"/>
        </w:rPr>
        <w:t xml:space="preserve">本次采购公告在“ </w:t>
      </w:r>
      <w:r>
        <w:rPr>
          <w:rFonts w:hint="eastAsia" w:ascii="Times New Roman" w:hAnsi="Times New Roman"/>
          <w:color w:val="auto"/>
          <w:sz w:val="21"/>
          <w:szCs w:val="22"/>
          <w:highlight w:val="none"/>
          <w:lang w:val="en-US" w:eastAsia="zh-CN"/>
        </w:rPr>
        <w:t>安徽交控建设工程集团有限公司</w:t>
      </w:r>
      <w:r>
        <w:rPr>
          <w:rFonts w:hint="eastAsia" w:ascii="Times New Roman" w:hAnsi="Times New Roman"/>
          <w:color w:val="auto"/>
          <w:sz w:val="21"/>
          <w:szCs w:val="22"/>
          <w:highlight w:val="none"/>
        </w:rPr>
        <w:t>”（网址：http://www.ahjggroup.com）“招标公告”栏目中发布。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采 购 人：</w:t>
      </w:r>
      <w:r>
        <w:rPr>
          <w:rFonts w:hint="eastAsia" w:ascii="Times New Roman" w:hAnsi="Times New Roman" w:eastAsia="宋体" w:cs="Times New Roman"/>
          <w:color w:val="auto"/>
          <w:sz w:val="21"/>
          <w:szCs w:val="21"/>
          <w:highlight w:val="none"/>
          <w:lang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kern w:val="2"/>
          <w:sz w:val="21"/>
          <w:szCs w:val="21"/>
          <w:highlight w:val="none"/>
        </w:rPr>
        <w:t>安徽省合肥市包河区西藏路1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号高速时代广场C1栋</w:t>
      </w:r>
      <w:r>
        <w:rPr>
          <w:rFonts w:hint="default" w:ascii="Times New Roman" w:hAnsi="Times New Roman" w:eastAsia="宋体" w:cs="Times New Roman"/>
          <w:color w:val="auto"/>
          <w:kern w:val="2"/>
          <w:sz w:val="21"/>
          <w:szCs w:val="21"/>
          <w:highlight w:val="none"/>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67DD1B2B">
      <w:pPr>
        <w:pStyle w:val="3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4EB2EA2">
      <w:pPr>
        <w:pStyle w:val="2"/>
        <w:spacing w:before="312" w:after="312"/>
        <w:rPr>
          <w:rFonts w:ascii="Times New Roman" w:hAnsi="Times New Roman" w:eastAsia="宋体" w:cs="Times New Roman"/>
          <w:color w:val="auto"/>
          <w:highlight w:val="none"/>
        </w:rPr>
      </w:pPr>
      <w:bookmarkStart w:id="36" w:name="_Toc17710"/>
      <w:r>
        <w:rPr>
          <w:rFonts w:ascii="Times New Roman" w:hAnsi="Times New Roman" w:eastAsia="宋体" w:cs="Times New Roman"/>
          <w:color w:val="auto"/>
          <w:highlight w:val="none"/>
        </w:rPr>
        <w:t>供应商须知</w:t>
      </w:r>
      <w:bookmarkEnd w:id="36"/>
    </w:p>
    <w:p w14:paraId="75B22214">
      <w:pPr>
        <w:spacing w:line="440" w:lineRule="exact"/>
        <w:jc w:val="center"/>
        <w:outlineLvl w:val="1"/>
        <w:rPr>
          <w:rFonts w:ascii="Times New Roman" w:hAnsi="Times New Roman" w:eastAsia="黑体" w:cs="Times New Roman"/>
          <w:color w:val="auto"/>
          <w:sz w:val="28"/>
          <w:szCs w:val="28"/>
          <w:highlight w:val="none"/>
        </w:rPr>
      </w:pPr>
      <w:bookmarkStart w:id="37" w:name="_Toc19501"/>
      <w:bookmarkStart w:id="38" w:name="_Toc16069"/>
      <w:bookmarkStart w:id="39" w:name="_Toc26656928"/>
      <w:bookmarkStart w:id="40" w:name="_Toc55466811"/>
      <w:bookmarkStart w:id="41" w:name="_Toc29381_WPSOffice_Level2"/>
      <w:r>
        <w:rPr>
          <w:rFonts w:ascii="Times New Roman" w:hAnsi="Times New Roman" w:eastAsia="黑体" w:cs="Times New Roman"/>
          <w:color w:val="auto"/>
          <w:sz w:val="28"/>
          <w:szCs w:val="28"/>
          <w:highlight w:val="none"/>
        </w:rPr>
        <w:t>供应商须知前附表</w:t>
      </w:r>
      <w:bookmarkEnd w:id="37"/>
      <w:bookmarkEnd w:id="38"/>
      <w:bookmarkEnd w:id="39"/>
      <w:bookmarkEnd w:id="40"/>
      <w:bookmarkEnd w:id="41"/>
    </w:p>
    <w:tbl>
      <w:tblPr>
        <w:tblStyle w:val="21"/>
        <w:tblW w:w="9181" w:type="dxa"/>
        <w:tblInd w:w="0" w:type="dxa"/>
        <w:tblLayout w:type="fixed"/>
        <w:tblCellMar>
          <w:top w:w="0" w:type="dxa"/>
          <w:left w:w="108" w:type="dxa"/>
          <w:bottom w:w="0" w:type="dxa"/>
          <w:right w:w="108" w:type="dxa"/>
        </w:tblCellMar>
      </w:tblPr>
      <w:tblGrid>
        <w:gridCol w:w="1000"/>
        <w:gridCol w:w="2572"/>
        <w:gridCol w:w="5609"/>
      </w:tblGrid>
      <w:tr w14:paraId="75466201">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503EC23C">
            <w:pPr>
              <w:spacing w:before="156" w:beforeLines="50" w:after="156" w:afterLines="50" w:line="480" w:lineRule="exact"/>
              <w:jc w:val="center"/>
              <w:rPr>
                <w:rFonts w:ascii="Times New Roman" w:hAnsi="Times New Roman" w:eastAsia="宋体" w:cs="Times New Roman"/>
                <w:b/>
                <w:szCs w:val="21"/>
              </w:rPr>
            </w:pPr>
            <w:bookmarkStart w:id="42" w:name="_Toc26656938"/>
            <w:bookmarkStart w:id="43" w:name="_Toc9067720"/>
            <w:bookmarkStart w:id="44" w:name="_Toc14201207"/>
            <w:r>
              <w:rPr>
                <w:rFonts w:ascii="Times New Roman" w:hAnsi="Times New Roman" w:eastAsia="宋体" w:cs="Times New Roman"/>
                <w:b/>
                <w:szCs w:val="21"/>
              </w:rPr>
              <w:t>条款号</w:t>
            </w:r>
          </w:p>
        </w:tc>
        <w:tc>
          <w:tcPr>
            <w:tcW w:w="2572" w:type="dxa"/>
            <w:tcBorders>
              <w:top w:val="single" w:color="auto" w:sz="4" w:space="0"/>
              <w:left w:val="single" w:color="auto" w:sz="4" w:space="0"/>
              <w:bottom w:val="single" w:color="auto" w:sz="4" w:space="0"/>
              <w:right w:val="single" w:color="auto" w:sz="4" w:space="0"/>
            </w:tcBorders>
            <w:vAlign w:val="center"/>
          </w:tcPr>
          <w:p w14:paraId="12AE6AE4">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条  款  名  称</w:t>
            </w:r>
          </w:p>
        </w:tc>
        <w:tc>
          <w:tcPr>
            <w:tcW w:w="5609" w:type="dxa"/>
            <w:tcBorders>
              <w:top w:val="single" w:color="auto" w:sz="4" w:space="0"/>
              <w:left w:val="single" w:color="auto" w:sz="4" w:space="0"/>
              <w:bottom w:val="single" w:color="auto" w:sz="4" w:space="0"/>
              <w:right w:val="single" w:color="auto" w:sz="4" w:space="0"/>
            </w:tcBorders>
            <w:vAlign w:val="center"/>
          </w:tcPr>
          <w:p w14:paraId="4847604E">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编  列  内  容</w:t>
            </w:r>
          </w:p>
        </w:tc>
      </w:tr>
      <w:tr w14:paraId="6373CF1B">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82AC01E">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1</w:t>
            </w:r>
          </w:p>
        </w:tc>
        <w:tc>
          <w:tcPr>
            <w:tcW w:w="2572" w:type="dxa"/>
            <w:tcBorders>
              <w:top w:val="single" w:color="auto" w:sz="4" w:space="0"/>
              <w:left w:val="single" w:color="auto" w:sz="4" w:space="0"/>
              <w:bottom w:val="single" w:color="auto" w:sz="4" w:space="0"/>
              <w:right w:val="single" w:color="auto" w:sz="4" w:space="0"/>
            </w:tcBorders>
            <w:vAlign w:val="center"/>
          </w:tcPr>
          <w:p w14:paraId="0B190D34">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质量要求</w:t>
            </w:r>
          </w:p>
        </w:tc>
        <w:tc>
          <w:tcPr>
            <w:tcW w:w="5609" w:type="dxa"/>
            <w:tcBorders>
              <w:top w:val="single" w:color="auto" w:sz="4" w:space="0"/>
              <w:left w:val="single" w:color="auto" w:sz="4" w:space="0"/>
              <w:bottom w:val="single" w:color="auto" w:sz="4" w:space="0"/>
              <w:right w:val="single" w:color="auto" w:sz="4" w:space="0"/>
            </w:tcBorders>
            <w:vAlign w:val="center"/>
          </w:tcPr>
          <w:p w14:paraId="5B1C303F">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color w:val="000000" w:themeColor="text1"/>
                <w:kern w:val="0"/>
                <w:szCs w:val="21"/>
                <w14:textFill>
                  <w14:solidFill>
                    <w14:schemeClr w14:val="tx1"/>
                  </w14:solidFill>
                </w14:textFill>
              </w:rPr>
              <w:t>满足国家最新颁布的质量技术标准和本项目的特殊要求。</w:t>
            </w:r>
          </w:p>
        </w:tc>
      </w:tr>
      <w:tr w14:paraId="11184ADD">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6CDD2010">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1.2.2</w:t>
            </w:r>
          </w:p>
        </w:tc>
        <w:tc>
          <w:tcPr>
            <w:tcW w:w="2572" w:type="dxa"/>
            <w:tcBorders>
              <w:top w:val="single" w:color="auto" w:sz="4" w:space="0"/>
              <w:left w:val="single" w:color="auto" w:sz="4" w:space="0"/>
              <w:bottom w:val="single" w:color="auto" w:sz="4" w:space="0"/>
              <w:right w:val="single" w:color="auto" w:sz="4" w:space="0"/>
            </w:tcBorders>
            <w:vAlign w:val="center"/>
          </w:tcPr>
          <w:p w14:paraId="7A23FD2C">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供应商其他资格要求</w:t>
            </w:r>
          </w:p>
        </w:tc>
        <w:tc>
          <w:tcPr>
            <w:tcW w:w="5609" w:type="dxa"/>
            <w:tcBorders>
              <w:top w:val="single" w:color="auto" w:sz="4" w:space="0"/>
              <w:left w:val="single" w:color="auto" w:sz="4" w:space="0"/>
              <w:bottom w:val="single" w:color="auto" w:sz="4" w:space="0"/>
              <w:right w:val="single" w:color="auto" w:sz="4" w:space="0"/>
            </w:tcBorders>
            <w:vAlign w:val="center"/>
          </w:tcPr>
          <w:p w14:paraId="51B46876">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见第一章 采购公告/采购邀请书要求。</w:t>
            </w:r>
          </w:p>
        </w:tc>
      </w:tr>
      <w:tr w14:paraId="45C8BE14">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6BFCCB83">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1.2.3</w:t>
            </w:r>
          </w:p>
        </w:tc>
        <w:tc>
          <w:tcPr>
            <w:tcW w:w="2572" w:type="dxa"/>
            <w:tcBorders>
              <w:top w:val="single" w:color="auto" w:sz="4" w:space="0"/>
              <w:left w:val="single" w:color="auto" w:sz="4" w:space="0"/>
              <w:bottom w:val="single" w:color="auto" w:sz="4" w:space="0"/>
              <w:right w:val="single" w:color="auto" w:sz="4" w:space="0"/>
            </w:tcBorders>
            <w:vAlign w:val="center"/>
          </w:tcPr>
          <w:p w14:paraId="5C184884">
            <w:pPr>
              <w:ind w:left="105" w:leftChars="50"/>
              <w:jc w:val="center"/>
              <w:rPr>
                <w:rFonts w:ascii="Times New Roman" w:hAnsi="Times New Roman" w:eastAsia="宋体" w:cs="Times New Roman"/>
                <w:szCs w:val="21"/>
              </w:rPr>
            </w:pPr>
            <w:r>
              <w:rPr>
                <w:rFonts w:hint="eastAsia" w:ascii="Times New Roman" w:hAnsi="Times New Roman" w:eastAsia="宋体" w:cs="Times New Roman"/>
                <w:szCs w:val="21"/>
              </w:rPr>
              <w:t>供应商资质条件、能力、信誉</w:t>
            </w:r>
          </w:p>
        </w:tc>
        <w:tc>
          <w:tcPr>
            <w:tcW w:w="5609" w:type="dxa"/>
            <w:tcBorders>
              <w:top w:val="single" w:color="auto" w:sz="4" w:space="0"/>
              <w:left w:val="single" w:color="auto" w:sz="4" w:space="0"/>
              <w:bottom w:val="single" w:color="auto" w:sz="4" w:space="0"/>
              <w:right w:val="single" w:color="auto" w:sz="4" w:space="0"/>
            </w:tcBorders>
            <w:vAlign w:val="center"/>
          </w:tcPr>
          <w:p w14:paraId="2AA2C765">
            <w:pPr>
              <w:widowControl/>
              <w:spacing w:line="480" w:lineRule="exact"/>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资质条件：见附录1</w:t>
            </w:r>
          </w:p>
          <w:p w14:paraId="41C8468E">
            <w:pPr>
              <w:widowControl/>
              <w:spacing w:line="480" w:lineRule="exact"/>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业绩要求：见附录2</w:t>
            </w:r>
          </w:p>
          <w:p w14:paraId="3B479FC3">
            <w:pPr>
              <w:widowControl/>
              <w:spacing w:line="480" w:lineRule="exact"/>
              <w:jc w:val="left"/>
              <w:rPr>
                <w:rFonts w:ascii="Times New Roman" w:hAnsi="Times New Roman" w:eastAsia="宋体" w:cs="Times New Roman"/>
                <w:kern w:val="0"/>
                <w:szCs w:val="21"/>
              </w:rPr>
            </w:pPr>
            <w:r>
              <w:rPr>
                <w:rFonts w:ascii="Times New Roman" w:hAnsi="Times New Roman" w:eastAsia="宋体" w:cs="Times New Roman"/>
                <w:color w:val="000000" w:themeColor="text1"/>
                <w:kern w:val="0"/>
                <w:szCs w:val="21"/>
                <w14:textFill>
                  <w14:solidFill>
                    <w14:schemeClr w14:val="tx1"/>
                  </w14:solidFill>
                </w14:textFill>
              </w:rPr>
              <w:t>信誉要求：见附录3</w:t>
            </w:r>
          </w:p>
        </w:tc>
      </w:tr>
      <w:tr w14:paraId="1C1AC285">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4130CE9F">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1.2.4</w:t>
            </w:r>
          </w:p>
        </w:tc>
        <w:tc>
          <w:tcPr>
            <w:tcW w:w="2572" w:type="dxa"/>
            <w:tcBorders>
              <w:top w:val="single" w:color="auto" w:sz="4" w:space="0"/>
              <w:left w:val="single" w:color="auto" w:sz="4" w:space="0"/>
              <w:bottom w:val="single" w:color="auto" w:sz="4" w:space="0"/>
              <w:right w:val="single" w:color="auto" w:sz="4" w:space="0"/>
            </w:tcBorders>
            <w:vAlign w:val="center"/>
          </w:tcPr>
          <w:p w14:paraId="08737CF0">
            <w:pPr>
              <w:jc w:val="center"/>
              <w:rPr>
                <w:rFonts w:ascii="Times New Roman" w:hAnsi="Times New Roman" w:eastAsia="宋体" w:cs="Times New Roman"/>
                <w:szCs w:val="21"/>
              </w:rPr>
            </w:pPr>
            <w:r>
              <w:rPr>
                <w:rFonts w:hint="eastAsia" w:ascii="Times New Roman" w:hAnsi="Times New Roman" w:eastAsia="宋体" w:cs="Times New Roman"/>
                <w:szCs w:val="21"/>
              </w:rPr>
              <w:t>是否接受联合体投标</w:t>
            </w:r>
          </w:p>
        </w:tc>
        <w:tc>
          <w:tcPr>
            <w:tcW w:w="5609" w:type="dxa"/>
            <w:tcBorders>
              <w:top w:val="single" w:color="auto" w:sz="4" w:space="0"/>
              <w:left w:val="single" w:color="auto" w:sz="4" w:space="0"/>
              <w:bottom w:val="single" w:color="auto" w:sz="4" w:space="0"/>
              <w:right w:val="single" w:color="auto" w:sz="4" w:space="0"/>
            </w:tcBorders>
            <w:vAlign w:val="center"/>
          </w:tcPr>
          <w:p w14:paraId="518CA820">
            <w:pPr>
              <w:ind w:left="42" w:leftChars="20" w:right="42" w:rightChars="20"/>
              <w:rPr>
                <w:rFonts w:ascii="Times New Roman" w:hAnsi="Times New Roman" w:eastAsia="宋体" w:cs="Times New Roman"/>
                <w:kern w:val="0"/>
                <w:szCs w:val="21"/>
              </w:rPr>
            </w:pPr>
            <w:r>
              <w:rPr>
                <w:rFonts w:hint="eastAsia" w:ascii="Times New Roman" w:hAnsi="Times New Roman" w:eastAsia="宋体" w:cs="Times New Roman"/>
                <w:szCs w:val="21"/>
              </w:rPr>
              <w:t>不接受</w:t>
            </w:r>
          </w:p>
        </w:tc>
      </w:tr>
      <w:tr w14:paraId="26D3348A">
        <w:tblPrEx>
          <w:tblCellMar>
            <w:top w:w="0" w:type="dxa"/>
            <w:left w:w="108" w:type="dxa"/>
            <w:bottom w:w="0" w:type="dxa"/>
            <w:right w:w="108" w:type="dxa"/>
          </w:tblCellMar>
        </w:tblPrEx>
        <w:trPr>
          <w:trHeight w:val="572" w:hRule="atLeast"/>
        </w:trPr>
        <w:tc>
          <w:tcPr>
            <w:tcW w:w="1000" w:type="dxa"/>
            <w:tcBorders>
              <w:top w:val="single" w:color="auto" w:sz="4" w:space="0"/>
              <w:left w:val="single" w:color="auto" w:sz="4" w:space="0"/>
              <w:bottom w:val="single" w:color="auto" w:sz="4" w:space="0"/>
              <w:right w:val="single" w:color="auto" w:sz="4" w:space="0"/>
            </w:tcBorders>
            <w:vAlign w:val="center"/>
          </w:tcPr>
          <w:p w14:paraId="49A53B90">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3.1</w:t>
            </w:r>
          </w:p>
        </w:tc>
        <w:tc>
          <w:tcPr>
            <w:tcW w:w="2572" w:type="dxa"/>
            <w:tcBorders>
              <w:top w:val="single" w:color="auto" w:sz="4" w:space="0"/>
              <w:left w:val="single" w:color="auto" w:sz="4" w:space="0"/>
              <w:bottom w:val="single" w:color="auto" w:sz="4" w:space="0"/>
              <w:right w:val="single" w:color="auto" w:sz="4" w:space="0"/>
            </w:tcBorders>
            <w:vAlign w:val="center"/>
          </w:tcPr>
          <w:p w14:paraId="62EAD595">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响应文件其他材料要求</w:t>
            </w:r>
          </w:p>
        </w:tc>
        <w:tc>
          <w:tcPr>
            <w:tcW w:w="5609" w:type="dxa"/>
            <w:tcBorders>
              <w:top w:val="single" w:color="auto" w:sz="4" w:space="0"/>
              <w:left w:val="single" w:color="auto" w:sz="4" w:space="0"/>
              <w:bottom w:val="single" w:color="auto" w:sz="4" w:space="0"/>
              <w:right w:val="single" w:color="auto" w:sz="4" w:space="0"/>
            </w:tcBorders>
            <w:vAlign w:val="center"/>
          </w:tcPr>
          <w:p w14:paraId="66109FE6">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无</w:t>
            </w:r>
          </w:p>
        </w:tc>
      </w:tr>
      <w:tr w14:paraId="26C4216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F9360E3">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3.2.</w:t>
            </w:r>
            <w:r>
              <w:rPr>
                <w:rFonts w:hint="eastAsia" w:ascii="Times New Roman" w:hAnsi="Times New Roman" w:eastAsia="宋体" w:cs="Times New Roman"/>
                <w:szCs w:val="21"/>
              </w:rPr>
              <w:t>4</w:t>
            </w:r>
          </w:p>
        </w:tc>
        <w:tc>
          <w:tcPr>
            <w:tcW w:w="2572" w:type="dxa"/>
            <w:tcBorders>
              <w:top w:val="single" w:color="auto" w:sz="4" w:space="0"/>
              <w:left w:val="single" w:color="auto" w:sz="4" w:space="0"/>
              <w:bottom w:val="single" w:color="auto" w:sz="4" w:space="0"/>
              <w:right w:val="single" w:color="auto" w:sz="4" w:space="0"/>
            </w:tcBorders>
            <w:vAlign w:val="center"/>
          </w:tcPr>
          <w:p w14:paraId="23F89445">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报价方式</w:t>
            </w:r>
          </w:p>
        </w:tc>
        <w:tc>
          <w:tcPr>
            <w:tcW w:w="5609" w:type="dxa"/>
            <w:tcBorders>
              <w:top w:val="single" w:color="auto" w:sz="4" w:space="0"/>
              <w:left w:val="single" w:color="auto" w:sz="4" w:space="0"/>
              <w:bottom w:val="single" w:color="auto" w:sz="4" w:space="0"/>
              <w:right w:val="single" w:color="auto" w:sz="4" w:space="0"/>
            </w:tcBorders>
            <w:vAlign w:val="center"/>
          </w:tcPr>
          <w:p w14:paraId="125CF090">
            <w:pPr>
              <w:spacing w:line="480" w:lineRule="exact"/>
              <w:rPr>
                <w:rFonts w:ascii="Times New Roman" w:hAnsi="Times New Roman" w:eastAsia="宋体" w:cs="Times New Roman"/>
                <w:szCs w:val="21"/>
              </w:rPr>
            </w:pPr>
            <w:r>
              <w:rPr>
                <w:rFonts w:hint="eastAsia"/>
              </w:rPr>
              <w:t>☑</w:t>
            </w:r>
            <w:r>
              <w:rPr>
                <w:rFonts w:hint="eastAsia" w:ascii="Times New Roman" w:hAnsi="Times New Roman" w:eastAsia="宋体" w:cs="Times New Roman"/>
                <w:szCs w:val="21"/>
              </w:rPr>
              <w:t>固定</w:t>
            </w:r>
            <w:r>
              <w:rPr>
                <w:rFonts w:ascii="Times New Roman" w:hAnsi="Times New Roman" w:eastAsia="宋体" w:cs="Times New Roman"/>
                <w:szCs w:val="21"/>
              </w:rPr>
              <w:t>单价</w:t>
            </w:r>
          </w:p>
          <w:p w14:paraId="12858175">
            <w:pPr>
              <w:spacing w:line="480" w:lineRule="exact"/>
              <w:rPr>
                <w:rFonts w:ascii="Times New Roman" w:hAnsi="Times New Roman" w:eastAsia="宋体" w:cs="Times New Roman"/>
                <w:szCs w:val="21"/>
              </w:rPr>
            </w:pPr>
            <w:r>
              <w:rPr>
                <w:rFonts w:hint="eastAsia"/>
              </w:rPr>
              <w:t>□</w:t>
            </w:r>
            <w:r>
              <w:rPr>
                <w:rFonts w:hint="eastAsia" w:ascii="Times New Roman" w:hAnsi="Times New Roman" w:eastAsia="宋体" w:cs="Times New Roman"/>
                <w:szCs w:val="21"/>
              </w:rPr>
              <w:t>固定</w:t>
            </w:r>
            <w:r>
              <w:rPr>
                <w:rFonts w:ascii="Times New Roman" w:hAnsi="Times New Roman" w:eastAsia="宋体" w:cs="Times New Roman"/>
                <w:szCs w:val="21"/>
              </w:rPr>
              <w:t>总价</w:t>
            </w:r>
          </w:p>
        </w:tc>
      </w:tr>
      <w:tr w14:paraId="37B7E9F2">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4D41185F">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3.2.</w:t>
            </w:r>
            <w:r>
              <w:rPr>
                <w:rFonts w:hint="eastAsia" w:ascii="Times New Roman" w:hAnsi="Times New Roman" w:eastAsia="宋体" w:cs="Times New Roman"/>
                <w:szCs w:val="21"/>
              </w:rPr>
              <w:t>5</w:t>
            </w:r>
          </w:p>
        </w:tc>
        <w:tc>
          <w:tcPr>
            <w:tcW w:w="2572" w:type="dxa"/>
            <w:tcBorders>
              <w:top w:val="single" w:color="auto" w:sz="4" w:space="0"/>
              <w:left w:val="single" w:color="auto" w:sz="4" w:space="0"/>
              <w:bottom w:val="single" w:color="auto" w:sz="4" w:space="0"/>
              <w:right w:val="single" w:color="auto" w:sz="4" w:space="0"/>
            </w:tcBorders>
            <w:vAlign w:val="center"/>
          </w:tcPr>
          <w:p w14:paraId="5550CCB4">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报价的其他要求</w:t>
            </w:r>
          </w:p>
        </w:tc>
        <w:tc>
          <w:tcPr>
            <w:tcW w:w="5609" w:type="dxa"/>
            <w:tcBorders>
              <w:top w:val="single" w:color="auto" w:sz="4" w:space="0"/>
              <w:left w:val="single" w:color="auto" w:sz="4" w:space="0"/>
              <w:bottom w:val="single" w:color="auto" w:sz="4" w:space="0"/>
              <w:right w:val="single" w:color="auto" w:sz="4" w:space="0"/>
            </w:tcBorders>
            <w:vAlign w:val="center"/>
          </w:tcPr>
          <w:p w14:paraId="17C9E737">
            <w:pPr>
              <w:spacing w:line="480" w:lineRule="exact"/>
              <w:rPr>
                <w:rFonts w:ascii="Times New Roman" w:hAnsi="Times New Roman" w:eastAsia="宋体" w:cs="Times New Roman"/>
                <w:szCs w:val="21"/>
              </w:rPr>
            </w:pPr>
            <w:r>
              <w:rPr>
                <w:rFonts w:hint="eastAsia" w:ascii="Times New Roman" w:hAnsi="Times New Roman" w:eastAsia="宋体" w:cs="Times New Roman"/>
                <w:szCs w:val="21"/>
              </w:rPr>
              <w:t>无</w:t>
            </w:r>
          </w:p>
        </w:tc>
      </w:tr>
      <w:tr w14:paraId="6792FFC6">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596AEE6">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3.4.4</w:t>
            </w:r>
            <w:r>
              <w:rPr>
                <w:rFonts w:hint="eastAsia" w:ascii="Times New Roman" w:hAnsi="Times New Roman" w:eastAsia="宋体" w:cs="Times New Roman"/>
                <w:szCs w:val="21"/>
              </w:rPr>
              <w:t>（3）</w:t>
            </w:r>
          </w:p>
        </w:tc>
        <w:tc>
          <w:tcPr>
            <w:tcW w:w="2572" w:type="dxa"/>
            <w:tcBorders>
              <w:top w:val="single" w:color="auto" w:sz="4" w:space="0"/>
              <w:left w:val="single" w:color="auto" w:sz="4" w:space="0"/>
              <w:bottom w:val="single" w:color="auto" w:sz="4" w:space="0"/>
              <w:right w:val="single" w:color="auto" w:sz="4" w:space="0"/>
            </w:tcBorders>
            <w:vAlign w:val="center"/>
          </w:tcPr>
          <w:p w14:paraId="20C07A0F">
            <w:pPr>
              <w:spacing w:line="480" w:lineRule="exact"/>
              <w:jc w:val="center"/>
              <w:rPr>
                <w:rFonts w:ascii="Times New Roman" w:hAnsi="Times New Roman" w:eastAsia="宋体" w:cs="Times New Roman"/>
                <w:szCs w:val="21"/>
              </w:rPr>
            </w:pPr>
            <w:r>
              <w:rPr>
                <w:rFonts w:ascii="Times New Roman" w:hAnsi="Times New Roman" w:cs="Times New Roman"/>
              </w:rPr>
              <w:t>其他不予退还响应保证金的情形</w:t>
            </w:r>
          </w:p>
        </w:tc>
        <w:tc>
          <w:tcPr>
            <w:tcW w:w="5609" w:type="dxa"/>
            <w:tcBorders>
              <w:top w:val="single" w:color="auto" w:sz="4" w:space="0"/>
              <w:left w:val="single" w:color="auto" w:sz="4" w:space="0"/>
              <w:bottom w:val="single" w:color="auto" w:sz="4" w:space="0"/>
              <w:right w:val="single" w:color="auto" w:sz="4" w:space="0"/>
            </w:tcBorders>
            <w:vAlign w:val="center"/>
          </w:tcPr>
          <w:p w14:paraId="13175663">
            <w:pPr>
              <w:pStyle w:val="8"/>
              <w:spacing w:after="0" w:line="440" w:lineRule="exact"/>
              <w:rPr>
                <w:rFonts w:hint="eastAsia" w:ascii="宋体" w:hAnsi="宋体" w:eastAsia="宋体" w:cs="宋体"/>
                <w:szCs w:val="21"/>
              </w:rPr>
            </w:pPr>
            <w:r>
              <w:rPr>
                <w:rFonts w:hint="eastAsia" w:ascii="宋体" w:hAnsi="宋体" w:eastAsia="宋体" w:cs="宋体"/>
                <w:sz w:val="22"/>
                <w:szCs w:val="22"/>
              </w:rPr>
              <w:t>报</w:t>
            </w:r>
            <w:r>
              <w:rPr>
                <w:rFonts w:hint="eastAsia" w:ascii="宋体" w:hAnsi="宋体" w:eastAsia="宋体" w:cs="宋体"/>
                <w:szCs w:val="21"/>
              </w:rPr>
              <w:t>价方出现以下情形的，其询价响应保证金将不予退还：</w:t>
            </w:r>
          </w:p>
          <w:p w14:paraId="0159CBA4">
            <w:pPr>
              <w:pStyle w:val="8"/>
              <w:spacing w:after="0" w:line="440" w:lineRule="exact"/>
              <w:rPr>
                <w:rFonts w:hint="eastAsia" w:ascii="宋体" w:hAnsi="宋体" w:eastAsia="宋体" w:cs="宋体"/>
                <w:szCs w:val="21"/>
              </w:rPr>
            </w:pPr>
            <w:r>
              <w:rPr>
                <w:rFonts w:ascii="Times New Roman" w:hAnsi="Times New Roman" w:eastAsia="宋体" w:cs="Times New Roman"/>
                <w:szCs w:val="21"/>
              </w:rPr>
              <w:t>（1）</w:t>
            </w:r>
            <w:r>
              <w:rPr>
                <w:rFonts w:hint="eastAsia" w:ascii="宋体" w:hAnsi="宋体" w:eastAsia="宋体" w:cs="宋体"/>
                <w:szCs w:val="21"/>
              </w:rPr>
              <w:t>报价方在规定的响应有效期内撤销其响应文件。</w:t>
            </w:r>
          </w:p>
          <w:p w14:paraId="6CE6047A">
            <w:pPr>
              <w:pStyle w:val="8"/>
              <w:spacing w:after="0" w:line="440" w:lineRule="exact"/>
              <w:rPr>
                <w:rFonts w:hint="eastAsia" w:ascii="宋体" w:hAnsi="宋体" w:eastAsia="宋体" w:cs="宋体"/>
                <w:szCs w:val="21"/>
              </w:rPr>
            </w:pPr>
            <w:r>
              <w:rPr>
                <w:rFonts w:ascii="Times New Roman" w:hAnsi="Times New Roman" w:eastAsia="宋体" w:cs="Times New Roman"/>
                <w:szCs w:val="21"/>
              </w:rPr>
              <w:t>（2）</w:t>
            </w:r>
            <w:r>
              <w:rPr>
                <w:rFonts w:hint="eastAsia" w:ascii="宋体" w:hAnsi="宋体" w:eastAsia="宋体" w:cs="宋体"/>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14:paraId="4F46BB79">
            <w:pPr>
              <w:pStyle w:val="8"/>
              <w:spacing w:after="0" w:line="440" w:lineRule="exact"/>
              <w:rPr>
                <w:rFonts w:ascii="Times New Roman" w:hAnsi="Times New Roman" w:eastAsia="宋体" w:cs="Times New Roman"/>
                <w:szCs w:val="21"/>
              </w:rPr>
            </w:pPr>
            <w:r>
              <w:rPr>
                <w:rFonts w:ascii="Times New Roman" w:hAnsi="Times New Roman" w:eastAsia="宋体" w:cs="Times New Roman"/>
                <w:szCs w:val="21"/>
              </w:rPr>
              <w:t>（3）</w:t>
            </w:r>
            <w:r>
              <w:rPr>
                <w:rFonts w:hint="eastAsia" w:ascii="宋体" w:hAnsi="宋体" w:eastAsia="宋体" w:cs="宋体"/>
                <w:szCs w:val="21"/>
              </w:rPr>
              <w:t>供应商存在以他人名义报价、与他人串通报价、以行贿手段谋取成交、弄虚作假等行为。</w:t>
            </w:r>
          </w:p>
        </w:tc>
      </w:tr>
      <w:tr w14:paraId="6B29A29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D6B4193">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3.6.3（2）</w:t>
            </w:r>
          </w:p>
        </w:tc>
        <w:tc>
          <w:tcPr>
            <w:tcW w:w="2572" w:type="dxa"/>
            <w:tcBorders>
              <w:top w:val="single" w:color="auto" w:sz="4" w:space="0"/>
              <w:left w:val="single" w:color="auto" w:sz="4" w:space="0"/>
              <w:bottom w:val="single" w:color="auto" w:sz="4" w:space="0"/>
              <w:right w:val="single" w:color="auto" w:sz="4" w:space="0"/>
            </w:tcBorders>
            <w:vAlign w:val="center"/>
          </w:tcPr>
          <w:p w14:paraId="66BF546E">
            <w:pPr>
              <w:spacing w:line="480" w:lineRule="exact"/>
              <w:jc w:val="center"/>
              <w:rPr>
                <w:rFonts w:ascii="Times New Roman" w:hAnsi="Times New Roman" w:cs="Times New Roman"/>
                <w:highlight w:val="yellow"/>
              </w:rPr>
            </w:pPr>
            <w:r>
              <w:rPr>
                <w:rFonts w:hint="eastAsia" w:ascii="Times New Roman" w:hAnsi="Times New Roman" w:cs="Times New Roman"/>
                <w:highlight w:val="yellow"/>
              </w:rPr>
              <w:t>响应文件份数</w:t>
            </w:r>
          </w:p>
        </w:tc>
        <w:tc>
          <w:tcPr>
            <w:tcW w:w="5609" w:type="dxa"/>
            <w:tcBorders>
              <w:top w:val="single" w:color="auto" w:sz="4" w:space="0"/>
              <w:left w:val="single" w:color="auto" w:sz="4" w:space="0"/>
              <w:bottom w:val="single" w:color="auto" w:sz="4" w:space="0"/>
              <w:right w:val="single" w:color="auto" w:sz="4" w:space="0"/>
            </w:tcBorders>
            <w:vAlign w:val="center"/>
          </w:tcPr>
          <w:p w14:paraId="5516EA5C">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highlight w:val="yellow"/>
                <w:u w:val="single"/>
              </w:rPr>
            </w:pPr>
            <w:r>
              <w:rPr>
                <w:rFonts w:hint="eastAsia" w:ascii="Times New Roman" w:hAnsi="Times New Roman" w:cs="Times New Roman"/>
                <w:highlight w:val="yellow"/>
              </w:rPr>
              <w:t>响应文件应</w:t>
            </w:r>
            <w:r>
              <w:rPr>
                <w:rFonts w:hint="eastAsia" w:ascii="Times New Roman" w:hAnsi="Times New Roman" w:cs="Times New Roman"/>
                <w:b/>
                <w:bCs/>
                <w:highlight w:val="yellow"/>
              </w:rPr>
              <w:t>胶装成册，</w:t>
            </w:r>
            <w:r>
              <w:rPr>
                <w:rFonts w:ascii="Times New Roman" w:hAnsi="Times New Roman" w:cs="Times New Roman"/>
                <w:highlight w:val="yellow"/>
              </w:rPr>
              <w:t>正</w:t>
            </w:r>
            <w:r>
              <w:rPr>
                <w:rFonts w:hint="eastAsia" w:ascii="Times New Roman" w:hAnsi="Times New Roman" w:cs="Times New Roman"/>
                <w:highlight w:val="yellow"/>
              </w:rPr>
              <w:t>、副本各</w:t>
            </w:r>
            <w:r>
              <w:rPr>
                <w:rFonts w:ascii="Times New Roman" w:hAnsi="Times New Roman" w:cs="Times New Roman"/>
                <w:highlight w:val="yellow"/>
              </w:rPr>
              <w:t>一份。</w:t>
            </w:r>
            <w:r>
              <w:rPr>
                <w:rFonts w:hint="eastAsia" w:ascii="Times New Roman" w:hAnsi="Times New Roman" w:cs="Times New Roman"/>
                <w:highlight w:val="yellow"/>
              </w:rPr>
              <w:t>正副本内容不一致时，以正本为准。</w:t>
            </w:r>
          </w:p>
        </w:tc>
      </w:tr>
      <w:tr w14:paraId="5EA0B9E5">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74E51AB">
            <w:pPr>
              <w:spacing w:line="480" w:lineRule="exact"/>
              <w:jc w:val="center"/>
              <w:rPr>
                <w:rFonts w:ascii="Times New Roman" w:hAnsi="Times New Roman" w:eastAsia="宋体" w:cs="Times New Roman"/>
                <w:szCs w:val="21"/>
              </w:rPr>
            </w:pPr>
            <w:r>
              <w:rPr>
                <w:rFonts w:hint="eastAsia" w:ascii="Times New Roman" w:hAnsi="Times New Roman" w:cs="Times New Roman"/>
              </w:rPr>
              <w:t>4.1</w:t>
            </w:r>
          </w:p>
        </w:tc>
        <w:tc>
          <w:tcPr>
            <w:tcW w:w="2572" w:type="dxa"/>
            <w:tcBorders>
              <w:top w:val="single" w:color="auto" w:sz="4" w:space="0"/>
              <w:left w:val="single" w:color="auto" w:sz="4" w:space="0"/>
              <w:bottom w:val="single" w:color="auto" w:sz="4" w:space="0"/>
              <w:right w:val="single" w:color="auto" w:sz="4" w:space="0"/>
            </w:tcBorders>
            <w:vAlign w:val="center"/>
          </w:tcPr>
          <w:p w14:paraId="529FE1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highlight w:val="yellow"/>
              </w:rPr>
            </w:pPr>
            <w:r>
              <w:rPr>
                <w:rFonts w:hint="eastAsia" w:ascii="Times New Roman" w:hAnsi="Times New Roman" w:cs="Times New Roman"/>
                <w:b/>
                <w:bCs/>
                <w:highlight w:val="yellow"/>
              </w:rPr>
              <w:t>响应文件的密封和标记</w:t>
            </w:r>
          </w:p>
        </w:tc>
        <w:tc>
          <w:tcPr>
            <w:tcW w:w="5609" w:type="dxa"/>
            <w:tcBorders>
              <w:top w:val="single" w:color="auto" w:sz="4" w:space="0"/>
              <w:left w:val="single" w:color="auto" w:sz="4" w:space="0"/>
              <w:bottom w:val="single" w:color="auto" w:sz="4" w:space="0"/>
              <w:right w:val="single" w:color="auto" w:sz="4" w:space="0"/>
            </w:tcBorders>
            <w:vAlign w:val="center"/>
          </w:tcPr>
          <w:p w14:paraId="673748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响应文件胶装，封口处须密封并加盖企业公章。</w:t>
            </w:r>
          </w:p>
          <w:p w14:paraId="2AF30E4C">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highlight w:val="yellow"/>
              </w:rPr>
            </w:pPr>
            <w:r>
              <w:rPr>
                <w:rFonts w:hint="eastAsia" w:ascii="宋体" w:hAnsi="宋体" w:eastAsia="宋体" w:cs="宋体"/>
                <w:b/>
                <w:bCs w:val="0"/>
                <w:color w:val="auto"/>
                <w:kern w:val="2"/>
                <w:sz w:val="22"/>
                <w:szCs w:val="22"/>
                <w:highlight w:val="yellow"/>
                <w:lang w:val="en-US" w:eastAsia="zh-CN" w:bidi="ar"/>
              </w:rPr>
              <w:t>在报价文件密封袋内需用U盘放报价清单电子版一份，放盖章版响应文件的扫描件一份（PDF版）；如启封发现上述资料未放齐的，视为形式评审不合格，取消资格。</w:t>
            </w:r>
          </w:p>
        </w:tc>
      </w:tr>
      <w:tr w14:paraId="11106B4D">
        <w:tblPrEx>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cBorders>
            <w:vAlign w:val="center"/>
          </w:tcPr>
          <w:p w14:paraId="57085FCE">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5.2.1（3）</w:t>
            </w:r>
          </w:p>
        </w:tc>
        <w:tc>
          <w:tcPr>
            <w:tcW w:w="2572" w:type="dxa"/>
            <w:tcBorders>
              <w:top w:val="single" w:color="auto" w:sz="4" w:space="0"/>
              <w:left w:val="single" w:color="auto" w:sz="4" w:space="0"/>
              <w:bottom w:val="single" w:color="auto" w:sz="4" w:space="0"/>
              <w:right w:val="single" w:color="auto" w:sz="4" w:space="0"/>
            </w:tcBorders>
            <w:vAlign w:val="center"/>
          </w:tcPr>
          <w:p w14:paraId="775044F7">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启封公布的其他内容</w:t>
            </w:r>
          </w:p>
        </w:tc>
        <w:tc>
          <w:tcPr>
            <w:tcW w:w="5609" w:type="dxa"/>
            <w:tcBorders>
              <w:top w:val="single" w:color="auto" w:sz="4" w:space="0"/>
              <w:left w:val="single" w:color="auto" w:sz="4" w:space="0"/>
              <w:bottom w:val="single" w:color="auto" w:sz="4" w:space="0"/>
              <w:right w:val="single" w:color="auto" w:sz="4" w:space="0"/>
            </w:tcBorders>
            <w:vAlign w:val="center"/>
          </w:tcPr>
          <w:p w14:paraId="5D729D7B">
            <w:pPr>
              <w:spacing w:line="480" w:lineRule="exact"/>
              <w:rPr>
                <w:rFonts w:ascii="Times New Roman" w:hAnsi="Times New Roman" w:eastAsia="宋体" w:cs="Times New Roman"/>
                <w:szCs w:val="21"/>
              </w:rPr>
            </w:pPr>
            <w:r>
              <w:rPr>
                <w:rFonts w:hint="eastAsia" w:ascii="Times New Roman" w:hAnsi="Times New Roman" w:eastAsia="宋体" w:cs="Times New Roman"/>
                <w:szCs w:val="21"/>
              </w:rPr>
              <w:t>无</w:t>
            </w:r>
          </w:p>
        </w:tc>
      </w:tr>
      <w:tr w14:paraId="5DD3BDE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DF126DD">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7.4.1</w:t>
            </w:r>
          </w:p>
        </w:tc>
        <w:tc>
          <w:tcPr>
            <w:tcW w:w="2572" w:type="dxa"/>
            <w:tcBorders>
              <w:top w:val="single" w:color="auto" w:sz="4" w:space="0"/>
              <w:left w:val="single" w:color="auto" w:sz="4" w:space="0"/>
              <w:bottom w:val="single" w:color="auto" w:sz="4" w:space="0"/>
              <w:right w:val="single" w:color="auto" w:sz="4" w:space="0"/>
            </w:tcBorders>
            <w:vAlign w:val="center"/>
          </w:tcPr>
          <w:p w14:paraId="676CC779">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履约保证金</w:t>
            </w:r>
          </w:p>
        </w:tc>
        <w:tc>
          <w:tcPr>
            <w:tcW w:w="5609" w:type="dxa"/>
            <w:tcBorders>
              <w:top w:val="single" w:color="auto" w:sz="4" w:space="0"/>
              <w:left w:val="single" w:color="auto" w:sz="4" w:space="0"/>
              <w:bottom w:val="single" w:color="auto" w:sz="4" w:space="0"/>
              <w:right w:val="single" w:color="auto" w:sz="4" w:space="0"/>
            </w:tcBorders>
            <w:vAlign w:val="center"/>
          </w:tcPr>
          <w:p w14:paraId="224FD782">
            <w:pPr>
              <w:spacing w:beforeLines="0" w:afterLines="0" w:line="440" w:lineRule="exact"/>
              <w:rPr>
                <w:rFonts w:hint="eastAsia"/>
                <w:color w:val="FF0000"/>
                <w:sz w:val="21"/>
                <w:szCs w:val="21"/>
                <w:highlight w:val="none"/>
              </w:rPr>
            </w:pPr>
            <w:r>
              <w:rPr>
                <w:rFonts w:hint="eastAsia" w:ascii="宋体" w:hAnsi="宋体" w:eastAsia="宋体" w:cs="宋体"/>
                <w:szCs w:val="21"/>
              </w:rPr>
              <w:t>（</w:t>
            </w:r>
            <w:r>
              <w:rPr>
                <w:rFonts w:hint="eastAsia" w:ascii="宋体" w:hAnsi="宋体" w:eastAsia="宋体" w:cs="宋体"/>
                <w:color w:val="auto"/>
                <w:szCs w:val="21"/>
              </w:rPr>
              <w:t>1）</w:t>
            </w:r>
            <w:r>
              <w:rPr>
                <w:rFonts w:hint="eastAsia" w:ascii="宋体" w:hAnsi="宋体" w:eastAsia="宋体" w:cs="宋体"/>
                <w:color w:val="auto"/>
                <w:szCs w:val="21"/>
                <w:highlight w:val="none"/>
                <w:lang w:val="en-US" w:eastAsia="zh-CN"/>
              </w:rPr>
              <w:t>中标公示后</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在</w:t>
            </w:r>
            <w:r>
              <w:rPr>
                <w:rFonts w:hint="eastAsia" w:ascii="宋体" w:hAnsi="宋体" w:eastAsia="宋体" w:cs="宋体"/>
                <w:color w:val="auto"/>
                <w:szCs w:val="21"/>
                <w:highlight w:val="none"/>
                <w:lang w:val="en-US" w:eastAsia="zh-CN"/>
              </w:rPr>
              <w:t>合同签订前，乙方需向甲方支付合同总价2%的</w:t>
            </w:r>
            <w:r>
              <w:rPr>
                <w:rFonts w:hint="eastAsia" w:ascii="宋体" w:hAnsi="宋体" w:eastAsia="宋体" w:cs="宋体"/>
                <w:color w:val="auto"/>
                <w:szCs w:val="21"/>
                <w:highlight w:val="none"/>
              </w:rPr>
              <w:t>履约保证金</w:t>
            </w:r>
            <w:r>
              <w:rPr>
                <w:rFonts w:hint="eastAsia" w:ascii="宋体" w:hAnsi="宋体" w:eastAsia="宋体" w:cs="宋体"/>
                <w:color w:val="auto"/>
                <w:szCs w:val="21"/>
                <w:highlight w:val="none"/>
                <w:lang w:val="en-US" w:eastAsia="zh-CN"/>
              </w:rPr>
              <w:t>或提供合同总价5%的银行保函</w:t>
            </w:r>
            <w:r>
              <w:rPr>
                <w:rFonts w:hint="eastAsia" w:ascii="宋体" w:hAnsi="宋体" w:eastAsia="宋体" w:cs="宋体"/>
                <w:color w:val="auto"/>
                <w:szCs w:val="21"/>
                <w:highlight w:val="none"/>
              </w:rPr>
              <w:t>。</w:t>
            </w:r>
          </w:p>
          <w:p w14:paraId="0B552E09">
            <w:pPr>
              <w:snapToGrid w:val="0"/>
              <w:spacing w:line="480" w:lineRule="exact"/>
            </w:pPr>
            <w:r>
              <w:rPr>
                <w:rFonts w:hint="eastAsia" w:ascii="宋体" w:hAnsi="宋体" w:eastAsia="宋体" w:cs="宋体"/>
                <w:szCs w:val="21"/>
              </w:rPr>
              <w:t>（2）履约保证金退还时间：该项目物资供应整体验收完成后28天内。</w:t>
            </w:r>
          </w:p>
        </w:tc>
      </w:tr>
      <w:tr w14:paraId="5F7F94F2">
        <w:tblPrEx>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cBorders>
            <w:vAlign w:val="center"/>
          </w:tcPr>
          <w:p w14:paraId="1F281378">
            <w:pPr>
              <w:snapToGrid w:val="0"/>
              <w:spacing w:line="480" w:lineRule="exact"/>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需要补充的其他内容</w:t>
            </w:r>
          </w:p>
        </w:tc>
      </w:tr>
      <w:tr w14:paraId="13CBE90A">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C81E427">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9.1</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5E1A76A5">
            <w:pPr>
              <w:snapToGrid w:val="0"/>
              <w:spacing w:line="480" w:lineRule="exact"/>
            </w:pPr>
            <w:r>
              <w:rPr>
                <w:rFonts w:hint="eastAsia"/>
              </w:rPr>
              <w:t>投标人或其他利害关系人对评标结果有异议的，应以书面形式提出，异议材料应包括：</w:t>
            </w:r>
          </w:p>
          <w:p w14:paraId="384686E9">
            <w:pPr>
              <w:snapToGrid w:val="0"/>
              <w:spacing w:line="480" w:lineRule="exact"/>
            </w:pPr>
            <w:r>
              <w:rPr>
                <w:rFonts w:hint="eastAsia"/>
              </w:rPr>
              <w:t>（1）异议人的名称、地址及有效联系方式；</w:t>
            </w:r>
          </w:p>
          <w:p w14:paraId="04B272DD">
            <w:pPr>
              <w:snapToGrid w:val="0"/>
              <w:spacing w:line="480" w:lineRule="exact"/>
            </w:pPr>
            <w:r>
              <w:rPr>
                <w:rFonts w:hint="eastAsia"/>
              </w:rPr>
              <w:t>（2）异议事项的基本事实；</w:t>
            </w:r>
          </w:p>
          <w:p w14:paraId="4CED3012">
            <w:pPr>
              <w:snapToGrid w:val="0"/>
              <w:spacing w:line="480" w:lineRule="exact"/>
            </w:pPr>
            <w:r>
              <w:rPr>
                <w:rFonts w:hint="eastAsia"/>
              </w:rPr>
              <w:t>（3）有效线索和相关证明材料。</w:t>
            </w:r>
          </w:p>
          <w:p w14:paraId="425A0DB0">
            <w:pPr>
              <w:snapToGrid w:val="0"/>
              <w:spacing w:line="480" w:lineRule="exact"/>
              <w:ind w:firstLine="420" w:firstLineChars="200"/>
              <w:rPr>
                <w:rFonts w:ascii="Times New Roman" w:hAnsi="Times New Roman" w:eastAsia="宋体" w:cs="Times New Roman"/>
                <w:szCs w:val="21"/>
              </w:rPr>
            </w:pPr>
            <w:r>
              <w:rPr>
                <w:rFonts w:hint="eastAsia"/>
              </w:rPr>
              <w:t>异议人是法人的，异议材料必须由其法定代表人或者授权代表签字并盖章；其他组织或者个人提出异议的，异议材料必须由其主要负责人或者异议本人签字，并附有效身份证明复印件。</w:t>
            </w:r>
          </w:p>
        </w:tc>
      </w:tr>
      <w:tr w14:paraId="246A5899">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10B7DEC8">
            <w:pPr>
              <w:keepNext w:val="0"/>
              <w:keepLines w:val="0"/>
              <w:pageBreakBefore w:val="0"/>
              <w:widowControl w:val="0"/>
              <w:kinsoku/>
              <w:wordWrap/>
              <w:overflowPunct/>
              <w:topLinePunct w:val="0"/>
              <w:autoSpaceDE/>
              <w:autoSpaceDN/>
              <w:bidi w:val="0"/>
              <w:adjustRightInd/>
              <w:spacing w:line="440" w:lineRule="exact"/>
              <w:ind w:firstLine="210" w:firstLineChars="100"/>
              <w:jc w:val="both"/>
              <w:rPr>
                <w:rFonts w:ascii="Times New Roman" w:hAnsi="Times New Roman" w:eastAsia="宋体" w:cs="Times New Roman"/>
                <w:szCs w:val="21"/>
                <w:highlight w:val="yellow"/>
              </w:rPr>
            </w:pPr>
            <w:r>
              <w:rPr>
                <w:rFonts w:hint="eastAsia" w:ascii="Times New Roman" w:hAnsi="Times New Roman" w:eastAsia="宋体" w:cs="Times New Roman"/>
                <w:szCs w:val="21"/>
                <w:highlight w:val="yellow"/>
                <w:lang w:val="en-US" w:eastAsia="zh-CN"/>
              </w:rPr>
              <w:t>9.2</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6165AD61">
            <w:pPr>
              <w:pStyle w:val="8"/>
              <w:keepNext w:val="0"/>
              <w:keepLines w:val="0"/>
              <w:pageBreakBefore w:val="0"/>
              <w:widowControl w:val="0"/>
              <w:kinsoku/>
              <w:wordWrap/>
              <w:overflowPunct/>
              <w:topLinePunct w:val="0"/>
              <w:autoSpaceDE/>
              <w:autoSpaceDN/>
              <w:bidi w:val="0"/>
              <w:adjustRightInd/>
              <w:spacing w:after="0" w:line="440" w:lineRule="exact"/>
              <w:ind w:firstLine="420" w:firstLineChars="200"/>
              <w:jc w:val="both"/>
              <w:rPr>
                <w:b w:val="0"/>
                <w:bCs w:val="0"/>
                <w:highlight w:val="yellow"/>
              </w:rPr>
            </w:pPr>
            <w:r>
              <w:rPr>
                <w:rFonts w:hint="eastAsia"/>
                <w:b w:val="0"/>
                <w:bCs w:val="0"/>
                <w:highlight w:val="yellow"/>
                <w:lang w:val="en-US" w:eastAsia="zh-CN"/>
              </w:rPr>
              <w:t>1</w:t>
            </w:r>
            <w:r>
              <w:rPr>
                <w:rFonts w:hint="eastAsia"/>
                <w:b w:val="0"/>
                <w:bCs w:val="0"/>
                <w:highlight w:val="yellow"/>
              </w:rPr>
              <w:t>.报价完全考虑报价清单要求内容，含清单内要求的品牌，材质，工艺，辅材等。</w:t>
            </w:r>
          </w:p>
          <w:p w14:paraId="14B95123">
            <w:pPr>
              <w:keepNext w:val="0"/>
              <w:keepLines w:val="0"/>
              <w:pageBreakBefore w:val="0"/>
              <w:widowControl w:val="0"/>
              <w:kinsoku/>
              <w:wordWrap/>
              <w:overflowPunct/>
              <w:topLinePunct w:val="0"/>
              <w:autoSpaceDE/>
              <w:autoSpaceDN/>
              <w:bidi w:val="0"/>
              <w:adjustRightInd/>
              <w:spacing w:line="440" w:lineRule="exact"/>
              <w:ind w:firstLine="420" w:firstLineChars="200"/>
              <w:jc w:val="both"/>
              <w:rPr>
                <w:rFonts w:ascii="Times New Roman" w:eastAsia="宋体"/>
                <w:b/>
                <w:bCs/>
                <w:highlight w:val="yellow"/>
              </w:rPr>
            </w:pPr>
            <w:r>
              <w:rPr>
                <w:rFonts w:hint="eastAsia"/>
                <w:b w:val="0"/>
                <w:bCs w:val="0"/>
                <w:highlight w:val="yellow"/>
                <w:lang w:val="en-US" w:eastAsia="zh-CN"/>
              </w:rPr>
              <w:t>2</w:t>
            </w:r>
            <w:r>
              <w:rPr>
                <w:rFonts w:hint="eastAsia"/>
                <w:b w:val="0"/>
                <w:bCs w:val="0"/>
                <w:highlight w:val="yellow"/>
              </w:rPr>
              <w:t>.</w:t>
            </w:r>
            <w:r>
              <w:rPr>
                <w:rFonts w:hint="eastAsia" w:ascii="Times New Roman" w:eastAsia="宋体"/>
                <w:b w:val="0"/>
                <w:bCs w:val="0"/>
                <w:highlight w:val="yellow"/>
              </w:rPr>
              <w:t>异常低价或不平衡报价，采购人有权做废标处理。</w:t>
            </w:r>
          </w:p>
        </w:tc>
      </w:tr>
      <w:tr w14:paraId="45C6CDB7">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1ED5B7DB">
            <w:pPr>
              <w:spacing w:line="48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9.</w:t>
            </w:r>
            <w:r>
              <w:rPr>
                <w:rFonts w:hint="eastAsia" w:ascii="Times New Roman" w:hAnsi="Times New Roman" w:eastAsia="宋体" w:cs="Times New Roman"/>
                <w:szCs w:val="21"/>
                <w:lang w:val="en-US" w:eastAsia="zh-CN"/>
              </w:rPr>
              <w:t>3</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07FB10F9">
            <w:pPr>
              <w:spacing w:line="480" w:lineRule="exact"/>
              <w:ind w:firstLine="420" w:firstLineChars="200"/>
              <w:rPr>
                <w:rFonts w:ascii="Times New Roman" w:hAnsi="Times New Roman" w:eastAsia="宋体" w:cs="Times New Roman"/>
                <w:szCs w:val="21"/>
              </w:rPr>
            </w:pPr>
            <w:r>
              <w:rPr>
                <w:rFonts w:hint="eastAsia"/>
              </w:rPr>
              <w:t>供货方按合同约定的交货地点交货后安装完毕并投入使用，由使用单位或合同签订单位进行设备验收检测（如需），如设备验收检测合格，产生的检测费用由使用单位或合同签订单位支付；如设备验收检测不合格，产生的检测费用由供货方支付并对不合格设备进行维修或更换，若造成损失供货方将进行赔偿，甚至追究违约责任。</w:t>
            </w:r>
          </w:p>
        </w:tc>
      </w:tr>
      <w:tr w14:paraId="0FA5C8E3">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75DF0675">
            <w:pPr>
              <w:spacing w:line="48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9.4</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0FFD62E2">
            <w:pPr>
              <w:spacing w:line="480" w:lineRule="exact"/>
              <w:ind w:firstLine="440" w:firstLineChars="200"/>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1.如乙方在本年度采购期内累计供货金额达800万以上的，应在甲方指定的交控建工集团任意开发或代建项目购买住宅、商业、写字楼、车位等。当年度累计供货金额达到800万及以上的购买住宅1套、车位1个；年度累计供货金额达到1600万及以上的购买住宅2套、车位2个；年度累计供货金额达到2400万及以上的购买住宅3套、车位3个。1套住宅+1个车位预估价为70万元，购买人可为乙方或乙方指定的购买人。</w:t>
            </w:r>
          </w:p>
          <w:p w14:paraId="49847FF3">
            <w:pPr>
              <w:spacing w:line="480" w:lineRule="exact"/>
              <w:ind w:firstLine="440" w:firstLineChars="200"/>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2.房屋认购应在该年度采购履约期到期前完成，如乙方未在年度履约期内完成房屋认购的，乙方需向甲方支付该年度供货价款10%的违约金，甲方有权直接从乙方未支付的货款中直接扣除。</w:t>
            </w:r>
          </w:p>
          <w:p w14:paraId="51FDF966">
            <w:pPr>
              <w:spacing w:line="480" w:lineRule="exact"/>
              <w:ind w:firstLine="440" w:firstLineChars="200"/>
              <w:rPr>
                <w:rFonts w:hint="eastAsia"/>
              </w:rPr>
            </w:pPr>
            <w:r>
              <w:rPr>
                <w:rFonts w:hint="eastAsia" w:ascii="宋体" w:hAnsi="宋体" w:eastAsia="宋体" w:cs="宋体"/>
                <w:b/>
                <w:bCs/>
                <w:color w:val="auto"/>
                <w:sz w:val="22"/>
                <w:szCs w:val="22"/>
                <w:highlight w:val="yellow"/>
                <w:lang w:val="en-US" w:eastAsia="zh-CN"/>
              </w:rPr>
              <w:t>3.对于完成工抵的供应商获得下年度集采重点推荐资格；额外给予上年度合作额度10%的上浮空间；对合作供应商授予“战略合作伙伴"认证资质。</w:t>
            </w:r>
          </w:p>
        </w:tc>
      </w:tr>
    </w:tbl>
    <w:p w14:paraId="4F99B9F3">
      <w:pPr>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1DF8031F">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具备独立法人资格，持有有效的营业执照。 </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8"/>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eastAsia"/>
                <w:color w:val="auto"/>
                <w:sz w:val="22"/>
                <w:szCs w:val="22"/>
                <w:highlight w:val="none"/>
                <w:lang w:val="en-US" w:eastAsia="zh-CN"/>
              </w:rPr>
              <w:t>至少提供1个自2022年1月1日以来，单项合同额不低于30万元的防火门供应及安装合同业绩（每个业绩至少提供不低于合同金额50%的增值税发票或收到业主转账的收款凭证，未提供，该业绩无效）。</w:t>
            </w:r>
          </w:p>
        </w:tc>
      </w:tr>
    </w:tbl>
    <w:p w14:paraId="1E862039">
      <w:pPr>
        <w:bidi w:val="0"/>
        <w:rPr>
          <w:rFonts w:hint="eastAsia"/>
          <w:color w:val="auto"/>
          <w:highlight w:val="none"/>
          <w:lang w:val="en-US" w:eastAsia="zh-CN"/>
        </w:rPr>
      </w:pPr>
      <w:r>
        <w:rPr>
          <w:rFonts w:hint="eastAsia"/>
          <w:color w:val="auto"/>
          <w:highlight w:val="none"/>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highlight w:val="none"/>
          <w:lang w:val="en-US" w:eastAsia="zh-CN"/>
        </w:rPr>
        <w:t>④</w:t>
      </w:r>
      <w:r>
        <w:rPr>
          <w:rFonts w:hint="eastAsia"/>
          <w:color w:val="auto"/>
          <w:highlight w:val="none"/>
        </w:rPr>
        <w:t>如近年来，投标人法人机构发生合法变更或重组或法人名称变更时，应提供相关部门的合法批件扫描件或其他相关证明材料扫描件来证明其所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568C1D1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1"/>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4</w:t>
            </w:r>
            <w:r>
              <w:rPr>
                <w:rFonts w:hint="eastAsia"/>
                <w:color w:val="auto"/>
                <w:highlight w:val="none"/>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5</w:t>
            </w:r>
            <w:r>
              <w:rPr>
                <w:rFonts w:hint="eastAsia"/>
                <w:color w:val="auto"/>
                <w:highlight w:val="none"/>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6</w:t>
            </w:r>
            <w:r>
              <w:rPr>
                <w:rFonts w:hint="eastAsia"/>
                <w:color w:val="auto"/>
                <w:highlight w:val="none"/>
              </w:rPr>
              <w:t>.没有法律法规规定的其他情形。</w:t>
            </w:r>
          </w:p>
        </w:tc>
      </w:tr>
    </w:tbl>
    <w:p w14:paraId="144FECD2">
      <w:pPr>
        <w:pStyle w:val="33"/>
        <w:rPr>
          <w:rFonts w:ascii="Times New Roman" w:hAnsi="Times New Roman" w:eastAsia="黑体" w:cs="Times New Roman"/>
          <w:bCs/>
          <w:color w:val="auto"/>
          <w:sz w:val="24"/>
          <w:szCs w:val="32"/>
          <w:highlight w:val="none"/>
        </w:rPr>
      </w:pPr>
    </w:p>
    <w:p w14:paraId="48355162">
      <w:pPr>
        <w:pStyle w:val="33"/>
        <w:rPr>
          <w:rFonts w:ascii="Times New Roman" w:hAnsi="Times New Roman" w:eastAsia="黑体" w:cs="Times New Roman"/>
          <w:bCs/>
          <w:color w:val="auto"/>
          <w:sz w:val="24"/>
          <w:szCs w:val="32"/>
          <w:highlight w:val="none"/>
        </w:rPr>
      </w:pPr>
    </w:p>
    <w:p w14:paraId="6DB6BC15">
      <w:pPr>
        <w:jc w:val="center"/>
        <w:rPr>
          <w:rFonts w:hint="eastAsia" w:ascii="黑体" w:eastAsia="黑体"/>
          <w:sz w:val="24"/>
          <w:szCs w:val="24"/>
          <w:highlight w:val="none"/>
        </w:rPr>
      </w:pPr>
    </w:p>
    <w:p w14:paraId="43ED56AD">
      <w:pPr>
        <w:jc w:val="both"/>
        <w:rPr>
          <w:rFonts w:hint="eastAsia" w:ascii="黑体" w:eastAsia="黑体"/>
          <w:color w:val="auto"/>
          <w:sz w:val="24"/>
          <w:szCs w:val="24"/>
          <w:highlight w:val="none"/>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 总则</w:t>
      </w:r>
    </w:p>
    <w:p w14:paraId="77412F2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1.1 质量要求</w:t>
      </w:r>
    </w:p>
    <w:p w14:paraId="0EE35E84">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本合同包的质量要求：</w:t>
      </w:r>
      <w:r>
        <w:rPr>
          <w:rFonts w:hint="eastAsia" w:ascii="Times New Roman" w:hAnsi="Times New Roman" w:cs="Times New Roman"/>
          <w:color w:val="auto"/>
          <w:szCs w:val="21"/>
          <w:highlight w:val="none"/>
        </w:rPr>
        <w:t>见供应商须知前附表。</w:t>
      </w:r>
    </w:p>
    <w:p w14:paraId="1F3A9F9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rPr>
        <w:t>要求：见供应商须知前附表</w:t>
      </w:r>
      <w:r>
        <w:rPr>
          <w:rFonts w:ascii="Times New Roman" w:hAnsi="Times New Roman" w:cs="Times New Roman"/>
          <w:color w:val="auto"/>
          <w:szCs w:val="21"/>
          <w:highlight w:val="none"/>
        </w:rPr>
        <w:t>。</w:t>
      </w:r>
    </w:p>
    <w:p w14:paraId="457EDFD6">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3</w:t>
      </w:r>
      <w:r>
        <w:rPr>
          <w:rFonts w:ascii="Times New Roman" w:hAnsi="Times New Roman" w:eastAsia="黑体" w:cs="Times New Roman"/>
          <w:bCs/>
          <w:color w:val="auto"/>
          <w:sz w:val="24"/>
          <w:szCs w:val="32"/>
          <w:highlight w:val="none"/>
        </w:rPr>
        <w:t xml:space="preserve"> 费用承担</w:t>
      </w:r>
    </w:p>
    <w:p w14:paraId="5C4C1601">
      <w:pPr>
        <w:spacing w:line="440" w:lineRule="exact"/>
        <w:ind w:firstLine="42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4</w:t>
      </w:r>
      <w:r>
        <w:rPr>
          <w:rFonts w:ascii="Times New Roman" w:hAnsi="Times New Roman" w:eastAsia="黑体" w:cs="Times New Roman"/>
          <w:bCs/>
          <w:color w:val="auto"/>
          <w:sz w:val="24"/>
          <w:szCs w:val="32"/>
          <w:highlight w:val="none"/>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计量单位</w:t>
      </w:r>
    </w:p>
    <w:p w14:paraId="573641B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 xml:space="preserve"> 踏勘现场</w:t>
      </w:r>
    </w:p>
    <w:p w14:paraId="74AD0A0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w:t>
      </w:r>
      <w:r>
        <w:rPr>
          <w:rFonts w:hint="eastAsia" w:ascii="Times New Roman" w:hAnsi="Times New Roman" w:cs="Times New Roman"/>
          <w:color w:val="auto"/>
          <w:highlight w:val="none"/>
        </w:rPr>
        <w:t>自行</w:t>
      </w:r>
      <w:r>
        <w:rPr>
          <w:rFonts w:ascii="Times New Roman" w:hAnsi="Times New Roman" w:cs="Times New Roman"/>
          <w:color w:val="auto"/>
          <w:highlight w:val="none"/>
        </w:rPr>
        <w:t>踏勘现场</w:t>
      </w:r>
      <w:r>
        <w:rPr>
          <w:rFonts w:hint="eastAsia" w:ascii="Times New Roman" w:hAnsi="Times New Roman" w:cs="Times New Roman"/>
          <w:color w:val="auto"/>
          <w:highlight w:val="none"/>
        </w:rPr>
        <w:t>且</w:t>
      </w:r>
      <w:r>
        <w:rPr>
          <w:rFonts w:ascii="Times New Roman" w:hAnsi="Times New Roman" w:cs="Times New Roman"/>
          <w:color w:val="auto"/>
          <w:highlight w:val="none"/>
        </w:rPr>
        <w:t>费用自理。</w:t>
      </w:r>
    </w:p>
    <w:p w14:paraId="0739545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7</w:t>
      </w:r>
      <w:r>
        <w:rPr>
          <w:rFonts w:ascii="Times New Roman" w:hAnsi="Times New Roman" w:eastAsia="黑体" w:cs="Times New Roman"/>
          <w:bCs/>
          <w:color w:val="auto"/>
          <w:sz w:val="24"/>
          <w:szCs w:val="32"/>
          <w:highlight w:val="none"/>
        </w:rPr>
        <w:t xml:space="preserve"> 分包</w:t>
      </w:r>
    </w:p>
    <w:p w14:paraId="43E1953C">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不允许分包。</w:t>
      </w:r>
    </w:p>
    <w:p w14:paraId="1DBA1C2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8</w:t>
      </w:r>
      <w:r>
        <w:rPr>
          <w:rFonts w:ascii="Times New Roman" w:hAnsi="Times New Roman" w:eastAsia="黑体" w:cs="Times New Roman"/>
          <w:bCs/>
          <w:color w:val="auto"/>
          <w:sz w:val="24"/>
          <w:szCs w:val="32"/>
          <w:highlight w:val="none"/>
        </w:rPr>
        <w:t xml:space="preserve"> 偏</w:t>
      </w:r>
      <w:r>
        <w:rPr>
          <w:rFonts w:hint="eastAsia" w:ascii="Times New Roman" w:hAnsi="Times New Roman" w:eastAsia="黑体" w:cs="Times New Roman"/>
          <w:bCs/>
          <w:color w:val="auto"/>
          <w:sz w:val="24"/>
          <w:szCs w:val="32"/>
          <w:highlight w:val="none"/>
        </w:rPr>
        <w:t>差</w:t>
      </w:r>
    </w:p>
    <w:p w14:paraId="3D3ED44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偏差包括重大偏差和细微偏差。</w:t>
      </w:r>
    </w:p>
    <w:p w14:paraId="673725B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.2 响应文件存在“评审办法”中所列任一否决</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情形的，均属于存在重大偏差</w:t>
      </w:r>
      <w:r>
        <w:rPr>
          <w:rFonts w:hint="eastAsia" w:ascii="Times New Roman" w:hAnsi="Times New Roman" w:cs="Times New Roman"/>
          <w:color w:val="auto"/>
          <w:highlight w:val="none"/>
        </w:rPr>
        <w:t>，响应文件将被否决</w:t>
      </w:r>
      <w:r>
        <w:rPr>
          <w:rFonts w:ascii="Times New Roman" w:hAnsi="Times New Roman" w:cs="Times New Roman"/>
          <w:color w:val="auto"/>
          <w:highlight w:val="none"/>
        </w:rPr>
        <w:t>。</w:t>
      </w:r>
    </w:p>
    <w:p w14:paraId="0A4E3786">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 询比文件</w:t>
      </w:r>
    </w:p>
    <w:p w14:paraId="6B8D058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2.1 询比文件的组成</w:t>
      </w:r>
    </w:p>
    <w:p w14:paraId="459FA22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本询比文件包括：</w:t>
      </w:r>
    </w:p>
    <w:p w14:paraId="5BCD4182">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采购公告</w:t>
      </w:r>
      <w:r>
        <w:rPr>
          <w:rFonts w:ascii="Times New Roman" w:hAnsi="Times New Roman" w:cs="Times New Roman"/>
          <w:highlight w:val="none"/>
        </w:rPr>
        <w:t>/</w:t>
      </w:r>
      <w:r>
        <w:rPr>
          <w:rFonts w:hint="eastAsia" w:ascii="Times New Roman" w:hAnsi="Times New Roman" w:cs="Times New Roman"/>
          <w:highlight w:val="none"/>
        </w:rPr>
        <w:t>采购邀请书</w:t>
      </w:r>
      <w:r>
        <w:rPr>
          <w:rFonts w:ascii="Times New Roman" w:hAnsi="Times New Roman" w:cs="Times New Roman"/>
          <w:highlight w:val="none"/>
        </w:rPr>
        <w:t>；</w:t>
      </w:r>
    </w:p>
    <w:p w14:paraId="6C57010D">
      <w:pPr>
        <w:spacing w:line="440" w:lineRule="exact"/>
        <w:ind w:firstLine="420"/>
        <w:rPr>
          <w:rFonts w:ascii="Times New Roman" w:hAnsi="Times New Roman" w:cs="Times New Roman"/>
          <w:highlight w:val="none"/>
        </w:rPr>
      </w:pPr>
      <w:r>
        <w:rPr>
          <w:rFonts w:ascii="Times New Roman" w:hAnsi="Times New Roman" w:cs="Times New Roman"/>
          <w:highlight w:val="none"/>
        </w:rPr>
        <w:t>（2）供应商须知；</w:t>
      </w:r>
    </w:p>
    <w:p w14:paraId="60D02DFB">
      <w:pPr>
        <w:spacing w:line="440" w:lineRule="exact"/>
        <w:ind w:firstLine="420"/>
        <w:rPr>
          <w:rFonts w:ascii="Times New Roman" w:hAnsi="Times New Roman" w:cs="Times New Roman"/>
          <w:highlight w:val="none"/>
        </w:rPr>
      </w:pPr>
      <w:r>
        <w:rPr>
          <w:rFonts w:ascii="Times New Roman" w:hAnsi="Times New Roman" w:cs="Times New Roman"/>
          <w:highlight w:val="none"/>
        </w:rPr>
        <w:t>（3）评审办法；</w:t>
      </w:r>
    </w:p>
    <w:p w14:paraId="2D80E381">
      <w:pPr>
        <w:spacing w:line="440" w:lineRule="exact"/>
        <w:ind w:firstLine="420"/>
        <w:rPr>
          <w:rFonts w:ascii="Times New Roman" w:hAnsi="Times New Roman" w:eastAsia="宋体" w:cs="Times New Roman"/>
          <w:highlight w:val="none"/>
        </w:rPr>
      </w:pPr>
      <w:r>
        <w:rPr>
          <w:rFonts w:ascii="Times New Roman" w:hAnsi="Times New Roman" w:cs="Times New Roman"/>
          <w:highlight w:val="none"/>
        </w:rPr>
        <w:t>（4）合同内容</w:t>
      </w:r>
      <w:r>
        <w:rPr>
          <w:rFonts w:hint="eastAsia" w:ascii="Times New Roman" w:hAnsi="Times New Roman" w:eastAsia="宋体" w:cs="Times New Roman"/>
          <w:highlight w:val="none"/>
        </w:rPr>
        <w:t>；</w:t>
      </w:r>
    </w:p>
    <w:p w14:paraId="44A4A63A">
      <w:pPr>
        <w:spacing w:line="440" w:lineRule="exact"/>
        <w:ind w:firstLine="420"/>
        <w:rPr>
          <w:rFonts w:ascii="Times New Roman" w:hAnsi="Times New Roman" w:cs="Times New Roman"/>
          <w:highlight w:val="none"/>
        </w:rPr>
      </w:pPr>
      <w:r>
        <w:rPr>
          <w:rFonts w:hint="eastAsia" w:ascii="Times New Roman" w:hAnsi="Times New Roman" w:eastAsia="宋体" w:cs="Times New Roman"/>
          <w:highlight w:val="none"/>
        </w:rPr>
        <w:t>（5）供货要求</w:t>
      </w:r>
      <w:r>
        <w:rPr>
          <w:rFonts w:hint="eastAsia" w:ascii="Times New Roman" w:hAnsi="Times New Roman" w:eastAsia="宋体" w:cs="Times New Roman"/>
          <w:highlight w:val="none"/>
          <w:lang w:val="en-US" w:eastAsia="zh-CN"/>
        </w:rPr>
        <w:t>及清单</w:t>
      </w:r>
      <w:r>
        <w:rPr>
          <w:rFonts w:ascii="Times New Roman" w:hAnsi="Times New Roman" w:cs="Times New Roman"/>
          <w:highlight w:val="none"/>
        </w:rPr>
        <w:t>；</w:t>
      </w:r>
    </w:p>
    <w:p w14:paraId="72CF1809">
      <w:pPr>
        <w:spacing w:line="440" w:lineRule="exact"/>
        <w:ind w:firstLine="420"/>
        <w:rPr>
          <w:rFonts w:ascii="Times New Roman" w:hAnsi="Times New Roman" w:cs="Times New Roman"/>
          <w:color w:val="auto"/>
          <w:highlight w:val="none"/>
        </w:rPr>
      </w:pPr>
      <w:r>
        <w:rPr>
          <w:rFonts w:ascii="Times New Roman" w:hAnsi="Times New Roman" w:cs="Times New Roman"/>
          <w:highlight w:val="none"/>
        </w:rPr>
        <w:t>（</w:t>
      </w:r>
      <w:r>
        <w:rPr>
          <w:rFonts w:hint="eastAsia" w:ascii="Times New Roman" w:hAnsi="Times New Roman" w:cs="Times New Roman"/>
          <w:highlight w:val="none"/>
        </w:rPr>
        <w:t>6</w:t>
      </w:r>
      <w:r>
        <w:rPr>
          <w:rFonts w:ascii="Times New Roman" w:hAnsi="Times New Roman" w:cs="Times New Roman"/>
          <w:highlight w:val="none"/>
        </w:rPr>
        <w:t>）响应文件格式</w:t>
      </w:r>
      <w:r>
        <w:rPr>
          <w:rFonts w:hint="eastAsia" w:ascii="Times New Roman" w:hAnsi="Times New Roman" w:cs="Times New Roman"/>
          <w:highlight w:val="none"/>
        </w:rPr>
        <w:t>。</w:t>
      </w:r>
    </w:p>
    <w:p w14:paraId="4D3C148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根据本章对询比文件所作的澄清、修改，构成询比文件的组成部分。</w:t>
      </w:r>
    </w:p>
    <w:p w14:paraId="0EEC05B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2.2 询比文件的澄清</w:t>
      </w:r>
      <w:r>
        <w:rPr>
          <w:rFonts w:hint="eastAsia" w:ascii="Times New Roman" w:hAnsi="Times New Roman" w:eastAsia="黑体" w:cs="Times New Roman"/>
          <w:bCs/>
          <w:color w:val="auto"/>
          <w:sz w:val="24"/>
          <w:szCs w:val="32"/>
          <w:highlight w:val="none"/>
        </w:rPr>
        <w:t>与修改</w:t>
      </w:r>
    </w:p>
    <w:p w14:paraId="7D1E9CF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供应商如有疑问，应在递交</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文件的截止时间</w:t>
      </w:r>
      <w:r>
        <w:rPr>
          <w:rFonts w:hint="eastAsia" w:ascii="Times New Roman" w:hAnsi="Times New Roman" w:cs="Times New Roman"/>
          <w:color w:val="auto"/>
          <w:highlight w:val="none"/>
        </w:rPr>
        <w:t>前3日</w:t>
      </w:r>
      <w:r>
        <w:rPr>
          <w:rFonts w:hint="eastAsia" w:ascii="Times New Roman" w:hAnsi="Times New Roman" w:cs="Times New Roman"/>
          <w:color w:val="auto"/>
          <w:highlight w:val="none"/>
          <w:lang w:val="en-US" w:eastAsia="zh-CN"/>
        </w:rPr>
        <w:t>内</w:t>
      </w:r>
      <w:r>
        <w:rPr>
          <w:rFonts w:hint="eastAsia" w:ascii="Times New Roman" w:hAnsi="Times New Roman" w:cs="Times New Roman"/>
          <w:color w:val="auto"/>
          <w:highlight w:val="none"/>
        </w:rPr>
        <w:t>通过</w:t>
      </w:r>
      <w:r>
        <w:rPr>
          <w:rFonts w:hint="eastAsia" w:ascii="Times New Roman" w:hAnsi="Times New Roman" w:cs="Times New Roman"/>
          <w:color w:val="auto"/>
          <w:highlight w:val="none"/>
          <w:lang w:val="en-US" w:eastAsia="zh-CN"/>
        </w:rPr>
        <w:t>公告中的联系方式联系采购人</w:t>
      </w:r>
      <w:r>
        <w:rPr>
          <w:rFonts w:ascii="Times New Roman" w:hAnsi="Times New Roman" w:cs="Times New Roman"/>
          <w:color w:val="auto"/>
          <w:highlight w:val="none"/>
        </w:rPr>
        <w:t>对询比文件予以澄清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w:t>
      </w:r>
    </w:p>
    <w:p w14:paraId="4F4B5C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要求。</w:t>
      </w:r>
    </w:p>
    <w:p w14:paraId="1E25FA9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320AF7C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69D14CDC">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2B430954">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1.报价函</w:t>
      </w:r>
    </w:p>
    <w:p w14:paraId="0F2DB97D">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2.授权委托书（如有）</w:t>
      </w:r>
    </w:p>
    <w:p w14:paraId="49294D1E">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3.已标价的报价清单</w:t>
      </w:r>
    </w:p>
    <w:p w14:paraId="605BED00">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4.供应商基本情况</w:t>
      </w:r>
    </w:p>
    <w:p w14:paraId="40904929">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5.近年类似业绩情况</w:t>
      </w:r>
    </w:p>
    <w:p w14:paraId="288E9D32">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6.信誉情况</w:t>
      </w:r>
    </w:p>
    <w:p w14:paraId="65A05C34">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7.其它材料</w:t>
      </w:r>
    </w:p>
    <w:p w14:paraId="483DBC9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 xml:space="preserve">3.2 报价要求 </w:t>
      </w:r>
    </w:p>
    <w:p w14:paraId="10975D6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3.2.1 报价应包括国家规定的增值税税金。</w:t>
      </w:r>
    </w:p>
    <w:p w14:paraId="371123B0">
      <w:pPr>
        <w:spacing w:line="440" w:lineRule="exact"/>
        <w:ind w:firstLine="420"/>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rPr>
        <w:t xml:space="preserve">3.2.2 </w:t>
      </w:r>
      <w:r>
        <w:rPr>
          <w:rFonts w:ascii="Times New Roman" w:hAnsi="Times New Roman" w:cs="Times New Roman"/>
          <w:color w:val="auto"/>
          <w:highlight w:val="none"/>
        </w:rPr>
        <w:t>供应商应按第六章“响应文件格式”的要求在报价函中进行报价并填写工程量清单相应表格</w:t>
      </w:r>
      <w:r>
        <w:rPr>
          <w:rFonts w:hint="eastAsia" w:ascii="Times New Roman" w:hAnsi="Times New Roman" w:cs="Times New Roman"/>
          <w:color w:val="auto"/>
          <w:highlight w:val="none"/>
          <w:lang w:val="en-US" w:eastAsia="zh-CN"/>
        </w:rPr>
        <w:t>。</w:t>
      </w:r>
    </w:p>
    <w:p w14:paraId="087A9C7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3</w:t>
      </w:r>
      <w:r>
        <w:rPr>
          <w:rFonts w:ascii="Times New Roman" w:hAnsi="Times New Roman" w:cs="Times New Roman"/>
          <w:color w:val="auto"/>
          <w:highlight w:val="none"/>
        </w:rPr>
        <w:t xml:space="preserve"> 采购人设有最高限价的，供应商的报价不得超过最高限价，</w:t>
      </w:r>
      <w:r>
        <w:rPr>
          <w:rFonts w:hint="eastAsia" w:ascii="Times New Roman" w:hAnsi="Times New Roman" w:cs="Times New Roman"/>
          <w:color w:val="auto"/>
          <w:highlight w:val="none"/>
        </w:rPr>
        <w:t>否则其报价将被否决，</w:t>
      </w:r>
      <w:r>
        <w:rPr>
          <w:rFonts w:ascii="Times New Roman" w:hAnsi="Times New Roman" w:cs="Times New Roman"/>
          <w:color w:val="auto"/>
          <w:highlight w:val="none"/>
        </w:rPr>
        <w:t>最高限价</w:t>
      </w:r>
      <w:r>
        <w:rPr>
          <w:rFonts w:hint="eastAsia" w:ascii="Times New Roman" w:hAnsi="Times New Roman" w:cs="Times New Roman"/>
          <w:color w:val="auto"/>
          <w:highlight w:val="none"/>
        </w:rPr>
        <w:t>见第一章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p>
    <w:p w14:paraId="56ABAAD1">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3.2.4</w:t>
      </w:r>
      <w:r>
        <w:rPr>
          <w:rFonts w:ascii="Times New Roman" w:hAnsi="Times New Roman" w:cs="Times New Roman"/>
          <w:color w:val="auto"/>
          <w:highlight w:val="none"/>
        </w:rPr>
        <w:t>本项目的报价方式</w:t>
      </w:r>
      <w:r>
        <w:rPr>
          <w:rFonts w:hint="eastAsia" w:ascii="Times New Roman" w:hAnsi="Times New Roman" w:cs="Times New Roman"/>
          <w:color w:val="auto"/>
          <w:highlight w:val="none"/>
        </w:rPr>
        <w:t>为</w:t>
      </w:r>
      <w:r>
        <w:rPr>
          <w:rFonts w:hint="eastAsia" w:ascii="Times New Roman" w:hAnsi="Times New Roman" w:cs="Times New Roman"/>
          <w:color w:val="auto"/>
          <w:highlight w:val="none"/>
          <w:u w:val="single"/>
        </w:rPr>
        <w:t>见供应商须知前附表</w:t>
      </w:r>
      <w:r>
        <w:rPr>
          <w:rFonts w:ascii="Times New Roman" w:hAnsi="Times New Roman" w:cs="Times New Roman"/>
          <w:color w:val="auto"/>
          <w:highlight w:val="none"/>
        </w:rPr>
        <w:t>。</w:t>
      </w:r>
    </w:p>
    <w:p w14:paraId="6623A5B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5</w:t>
      </w:r>
      <w:r>
        <w:rPr>
          <w:rFonts w:ascii="Times New Roman" w:hAnsi="Times New Roman" w:cs="Times New Roman"/>
          <w:color w:val="auto"/>
          <w:highlight w:val="none"/>
        </w:rPr>
        <w:t xml:space="preserve"> 报价的其他要求</w:t>
      </w:r>
      <w:r>
        <w:rPr>
          <w:rFonts w:hint="eastAsia" w:ascii="Times New Roman" w:hAnsi="Times New Roman" w:cs="Times New Roman"/>
          <w:color w:val="auto"/>
          <w:highlight w:val="none"/>
        </w:rPr>
        <w:t>：</w:t>
      </w:r>
      <w:r>
        <w:rPr>
          <w:rFonts w:hint="eastAsia" w:ascii="Times New Roman" w:hAnsi="Times New Roman" w:cs="Times New Roman"/>
          <w:color w:val="auto"/>
          <w:szCs w:val="21"/>
          <w:highlight w:val="none"/>
          <w:u w:val="single"/>
        </w:rPr>
        <w:t>见供应商须知前附表</w:t>
      </w:r>
      <w:r>
        <w:rPr>
          <w:rFonts w:ascii="Times New Roman" w:hAnsi="Times New Roman" w:cs="Times New Roman"/>
          <w:color w:val="auto"/>
          <w:highlight w:val="none"/>
        </w:rPr>
        <w:t>。</w:t>
      </w:r>
    </w:p>
    <w:p w14:paraId="4CB7B67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3.3响应有效期</w:t>
      </w:r>
    </w:p>
    <w:p w14:paraId="52862C9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3.3.1 响应有效期为</w:t>
      </w:r>
      <w:r>
        <w:rPr>
          <w:rFonts w:ascii="Times New Roman" w:hAnsi="Times New Roman" w:eastAsia="宋体" w:cs="Times New Roman"/>
          <w:color w:val="auto"/>
          <w:szCs w:val="21"/>
          <w:highlight w:val="none"/>
        </w:rPr>
        <w:t>自供应商递交响应文件截止之日起计算</w:t>
      </w:r>
      <w:r>
        <w:rPr>
          <w:rFonts w:hint="eastAsia" w:ascii="Times New Roman" w:hAnsi="Times New Roman" w:eastAsia="宋体" w:cs="Times New Roman"/>
          <w:color w:val="auto"/>
          <w:szCs w:val="21"/>
          <w:highlight w:val="none"/>
        </w:rPr>
        <w:t>9</w:t>
      </w:r>
      <w:r>
        <w:rPr>
          <w:rFonts w:ascii="Times New Roman" w:hAnsi="Times New Roman" w:eastAsia="宋体" w:cs="Times New Roman"/>
          <w:color w:val="auto"/>
          <w:szCs w:val="21"/>
          <w:highlight w:val="none"/>
        </w:rPr>
        <w:t>0</w:t>
      </w:r>
      <w:r>
        <w:rPr>
          <w:rFonts w:ascii="Times New Roman" w:hAnsi="Times New Roman" w:cs="Times New Roman"/>
          <w:color w:val="auto"/>
          <w:highlight w:val="none"/>
        </w:rPr>
        <w:t>日。</w:t>
      </w:r>
    </w:p>
    <w:p w14:paraId="51F4431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3.4响应保证金</w:t>
      </w:r>
    </w:p>
    <w:p w14:paraId="078C90F4">
      <w:pPr>
        <w:spacing w:line="440" w:lineRule="exact"/>
        <w:ind w:firstLine="420"/>
        <w:rPr>
          <w:rFonts w:ascii="Times New Roman" w:hAnsi="Times New Roman"/>
          <w:color w:val="auto"/>
          <w:highlight w:val="none"/>
        </w:rPr>
      </w:pPr>
      <w:r>
        <w:rPr>
          <w:rFonts w:ascii="Times New Roman" w:hAnsi="Times New Roman" w:cs="Times New Roman"/>
          <w:color w:val="auto"/>
          <w:highlight w:val="none"/>
        </w:rPr>
        <w:t>3.4.1 供应商在递交响应文件的同时，应按</w:t>
      </w:r>
      <w:r>
        <w:rPr>
          <w:rFonts w:hint="eastAsia" w:ascii="Times New Roman" w:hAnsi="Times New Roman" w:cs="Times New Roman"/>
          <w:color w:val="auto"/>
          <w:highlight w:val="none"/>
        </w:rPr>
        <w:t>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r>
        <w:rPr>
          <w:rFonts w:hint="eastAsia" w:ascii="Times New Roman" w:hAnsi="Times New Roman" w:cs="Times New Roman"/>
          <w:color w:val="auto"/>
          <w:highlight w:val="none"/>
        </w:rPr>
        <w:t>的要求</w:t>
      </w:r>
      <w:r>
        <w:rPr>
          <w:rFonts w:ascii="Times New Roman" w:hAnsi="Times New Roman" w:cs="Times New Roman"/>
          <w:color w:val="auto"/>
          <w:highlight w:val="none"/>
        </w:rPr>
        <w:t>递交响应保证金，并作为其响应文件的组成部分。</w:t>
      </w:r>
    </w:p>
    <w:p w14:paraId="79CBA47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3.4.2 供应商不按本章第3.4.1项要求提交响应保证金的，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将否决其</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w:t>
      </w:r>
    </w:p>
    <w:p w14:paraId="572C7A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3.4.3 采购人在与成交人签订合同后</w:t>
      </w:r>
      <w:r>
        <w:rPr>
          <w:rFonts w:hint="eastAsia" w:ascii="Times New Roman" w:hAnsi="Times New Roman" w:cs="Times New Roman"/>
          <w:color w:val="auto"/>
          <w:highlight w:val="none"/>
          <w:lang w:val="en-US" w:eastAsia="zh-CN"/>
        </w:rPr>
        <w:t>10</w:t>
      </w:r>
      <w:r>
        <w:rPr>
          <w:rFonts w:ascii="Times New Roman" w:hAnsi="Times New Roman" w:cs="Times New Roman"/>
          <w:color w:val="auto"/>
          <w:highlight w:val="none"/>
        </w:rPr>
        <w:t>日内</w:t>
      </w:r>
      <w:r>
        <w:rPr>
          <w:rFonts w:hint="eastAsia" w:ascii="Times New Roman" w:hAnsi="Times New Roman" w:cs="Times New Roman"/>
          <w:color w:val="auto"/>
          <w:highlight w:val="none"/>
          <w:lang w:val="en-US" w:eastAsia="zh-CN"/>
        </w:rPr>
        <w:t>向未中标人办理</w:t>
      </w:r>
      <w:r>
        <w:rPr>
          <w:rFonts w:ascii="Times New Roman" w:hAnsi="Times New Roman" w:cs="Times New Roman"/>
          <w:color w:val="auto"/>
          <w:highlight w:val="none"/>
        </w:rPr>
        <w:t>退还响应保证金手续。</w:t>
      </w:r>
    </w:p>
    <w:p w14:paraId="5FCC461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3.4.4 有下列情形之一的，响应保证金将不予退还：</w:t>
      </w:r>
    </w:p>
    <w:p w14:paraId="695F4B0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（1）供应商在规定的响应有效期内撤销其响应文件；</w:t>
      </w:r>
    </w:p>
    <w:p w14:paraId="0C6EA52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szCs w:val="21"/>
          <w:highlight w:val="none"/>
        </w:rPr>
        <w:t>供应商须知前附表规定的</w:t>
      </w:r>
      <w:r>
        <w:rPr>
          <w:rFonts w:ascii="Times New Roman" w:hAnsi="Times New Roman" w:cs="Times New Roman"/>
          <w:color w:val="auto"/>
          <w:szCs w:val="21"/>
          <w:highlight w:val="none"/>
        </w:rPr>
        <w:t>其他情形</w:t>
      </w:r>
      <w:r>
        <w:rPr>
          <w:rFonts w:ascii="Times New Roman" w:hAnsi="Times New Roman" w:cs="Times New Roman"/>
          <w:color w:val="auto"/>
          <w:highlight w:val="none"/>
        </w:rPr>
        <w:t>。</w:t>
      </w:r>
    </w:p>
    <w:p w14:paraId="3DF896D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3.5资格审查资料</w:t>
      </w:r>
    </w:p>
    <w:p w14:paraId="1857BB4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供应商应按“响应文件格式”</w:t>
      </w:r>
      <w:r>
        <w:rPr>
          <w:rFonts w:hint="eastAsia" w:ascii="Times New Roman" w:hAnsi="Times New Roman" w:cs="Times New Roman"/>
          <w:color w:val="auto"/>
          <w:highlight w:val="none"/>
        </w:rPr>
        <w:t>的</w:t>
      </w:r>
      <w:r>
        <w:rPr>
          <w:rFonts w:ascii="Times New Roman" w:hAnsi="Times New Roman" w:cs="Times New Roman"/>
          <w:color w:val="auto"/>
          <w:highlight w:val="none"/>
        </w:rPr>
        <w:t>规定提供资格审查资料，以证明其满足本章第1.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款规定的资质、</w:t>
      </w:r>
      <w:r>
        <w:rPr>
          <w:rFonts w:hint="eastAsia" w:ascii="Times New Roman" w:hAnsi="Times New Roman" w:cs="Times New Roman"/>
          <w:color w:val="auto"/>
          <w:highlight w:val="none"/>
        </w:rPr>
        <w:t>能力、</w:t>
      </w:r>
      <w:r>
        <w:rPr>
          <w:rFonts w:ascii="Times New Roman" w:hAnsi="Times New Roman" w:cs="Times New Roman"/>
          <w:color w:val="auto"/>
          <w:highlight w:val="none"/>
        </w:rPr>
        <w:t>信誉等要求。</w:t>
      </w:r>
    </w:p>
    <w:p w14:paraId="65ECD3E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响应文件的编制</w:t>
      </w:r>
    </w:p>
    <w:p w14:paraId="3027999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.2 响应文件应当对询比文件有关工期、响应有效期、质量要求、技术标准和要求、</w:t>
      </w:r>
      <w:r>
        <w:rPr>
          <w:rFonts w:hint="eastAsia" w:ascii="Times New Roman" w:hAnsi="Times New Roman" w:cs="Times New Roman"/>
          <w:color w:val="auto"/>
          <w:highlight w:val="none"/>
        </w:rPr>
        <w:t>采购范围</w:t>
      </w:r>
      <w:r>
        <w:rPr>
          <w:rFonts w:ascii="Times New Roman" w:hAnsi="Times New Roman" w:cs="Times New Roman"/>
          <w:color w:val="auto"/>
          <w:highlight w:val="none"/>
        </w:rPr>
        <w:t>等实质性内容作出响应。</w:t>
      </w:r>
    </w:p>
    <w:p w14:paraId="1318E4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.3响应文件的制作应满足以下规定：</w:t>
      </w:r>
    </w:p>
    <w:p w14:paraId="50443ED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文件应用不褪色的材料书写或打印，并按第六章“</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格式”的要求进行</w:t>
      </w:r>
      <w:r>
        <w:rPr>
          <w:rFonts w:hint="eastAsia" w:ascii="Times New Roman" w:hAnsi="Times New Roman" w:cs="Times New Roman"/>
          <w:color w:val="auto"/>
          <w:highlight w:val="none"/>
        </w:rPr>
        <w:t>签名</w:t>
      </w:r>
      <w:r>
        <w:rPr>
          <w:rFonts w:ascii="Times New Roman" w:hAnsi="Times New Roman" w:cs="Times New Roman"/>
          <w:color w:val="auto"/>
          <w:highlight w:val="none"/>
        </w:rPr>
        <w:t>和（或）盖章。</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文件应尽量避免涂改、行间插字或删除。如果出现上述情况，改动之处应由</w:t>
      </w:r>
      <w:r>
        <w:rPr>
          <w:rFonts w:hint="eastAsia" w:ascii="Times New Roman" w:hAnsi="Times New Roman" w:cs="Times New Roman"/>
          <w:color w:val="auto"/>
          <w:highlight w:val="none"/>
        </w:rPr>
        <w:t>供应商</w:t>
      </w:r>
      <w:r>
        <w:rPr>
          <w:rFonts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rPr>
        <w:t>签名</w:t>
      </w:r>
      <w:r>
        <w:rPr>
          <w:rFonts w:ascii="Times New Roman" w:hAnsi="Times New Roman" w:cs="Times New Roman"/>
          <w:color w:val="auto"/>
          <w:highlight w:val="none"/>
        </w:rPr>
        <w:t>或盖单位章。</w:t>
      </w:r>
    </w:p>
    <w:p w14:paraId="54B361CC">
      <w:pPr>
        <w:spacing w:line="440" w:lineRule="exact"/>
        <w:ind w:firstLine="420"/>
        <w:rPr>
          <w:rFonts w:hint="default" w:ascii="Times New Roman" w:hAnsi="Times New Roman" w:cs="Times New Roman" w:eastAsiaTheme="minorEastAsia"/>
          <w:color w:val="auto"/>
          <w:highlight w:val="none"/>
          <w:lang w:val="en-US" w:eastAsia="zh-CN"/>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AAE187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13EE94A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42C9C6AD">
      <w:pPr>
        <w:spacing w:line="440" w:lineRule="exact"/>
        <w:ind w:firstLine="420"/>
        <w:rPr>
          <w:rFonts w:ascii="Times New Roman" w:hAnsi="Times New Roman" w:cs="Times New Roman"/>
          <w:b/>
          <w:bCs/>
          <w:highlight w:val="yellow"/>
        </w:rPr>
      </w:pPr>
      <w:r>
        <w:rPr>
          <w:rFonts w:ascii="Times New Roman" w:hAnsi="Times New Roman" w:cs="Times New Roman"/>
          <w:b/>
          <w:bCs/>
          <w:highlight w:val="yellow"/>
        </w:rPr>
        <w:t>4.1.1响应文件</w:t>
      </w:r>
      <w:r>
        <w:rPr>
          <w:rFonts w:hint="eastAsia" w:ascii="Times New Roman" w:hAnsi="Times New Roman" w:cs="Times New Roman"/>
          <w:b/>
          <w:bCs/>
          <w:highlight w:val="yellow"/>
        </w:rPr>
        <w:t>正、副本</w:t>
      </w:r>
      <w:r>
        <w:rPr>
          <w:rFonts w:ascii="Times New Roman" w:hAnsi="Times New Roman" w:cs="Times New Roman"/>
          <w:b/>
          <w:bCs/>
          <w:highlight w:val="yellow"/>
        </w:rPr>
        <w:t>应密封包装</w:t>
      </w:r>
      <w:r>
        <w:rPr>
          <w:rFonts w:hint="eastAsia" w:ascii="Times New Roman" w:hAnsi="Times New Roman" w:cs="Times New Roman"/>
          <w:b/>
          <w:bCs/>
          <w:highlight w:val="yellow"/>
        </w:rPr>
        <w:t>在一个封套内开密封。</w:t>
      </w:r>
    </w:p>
    <w:p w14:paraId="51D7A5ED">
      <w:pPr>
        <w:spacing w:line="440" w:lineRule="exact"/>
        <w:ind w:firstLine="420"/>
        <w:rPr>
          <w:rFonts w:ascii="Times New Roman" w:hAnsi="Times New Roman" w:cs="Times New Roman"/>
        </w:rPr>
      </w:pPr>
      <w:r>
        <w:rPr>
          <w:rFonts w:hint="eastAsia" w:ascii="Times New Roman" w:hAnsi="Times New Roman" w:cs="Times New Roman"/>
        </w:rPr>
        <w:t>响应文件封套上注明：</w:t>
      </w:r>
    </w:p>
    <w:p w14:paraId="59054F16">
      <w:pPr>
        <w:spacing w:line="440" w:lineRule="exact"/>
        <w:ind w:firstLine="420"/>
        <w:rPr>
          <w:rFonts w:ascii="Times New Roman" w:hAnsi="Times New Roman" w:eastAsia="黑体" w:cs="黑体"/>
          <w:b/>
          <w:bCs w:val="0"/>
          <w:snapToGrid w:val="0"/>
          <w:kern w:val="0"/>
          <w:szCs w:val="21"/>
          <w:highlight w:val="yellow"/>
        </w:rPr>
      </w:pPr>
      <w:r>
        <w:rPr>
          <w:rFonts w:hint="eastAsia" w:ascii="Times New Roman" w:hAnsi="Times New Roman" w:eastAsia="黑体" w:cs="黑体"/>
          <w:b/>
          <w:bCs w:val="0"/>
          <w:snapToGrid w:val="0"/>
          <w:kern w:val="0"/>
          <w:szCs w:val="21"/>
          <w:highlight w:val="yellow"/>
        </w:rPr>
        <w:t>供应商名称：</w:t>
      </w:r>
      <w:r>
        <w:rPr>
          <w:rFonts w:hint="eastAsia" w:ascii="Times New Roman" w:hAnsi="Times New Roman" w:eastAsia="黑体" w:cs="黑体"/>
          <w:b/>
          <w:bCs w:val="0"/>
          <w:snapToGrid w:val="0"/>
          <w:kern w:val="0"/>
          <w:szCs w:val="21"/>
          <w:highlight w:val="yellow"/>
          <w:u w:val="single"/>
        </w:rPr>
        <w:t xml:space="preserve">            </w:t>
      </w:r>
    </w:p>
    <w:p w14:paraId="3BB7DE9A">
      <w:pPr>
        <w:spacing w:line="440" w:lineRule="exact"/>
        <w:ind w:firstLine="420"/>
        <w:rPr>
          <w:rFonts w:ascii="Times New Roman" w:hAnsi="Times New Roman" w:eastAsia="黑体" w:cs="黑体"/>
          <w:b/>
          <w:bCs w:val="0"/>
          <w:snapToGrid w:val="0"/>
          <w:kern w:val="0"/>
          <w:szCs w:val="21"/>
          <w:highlight w:val="yellow"/>
        </w:rPr>
      </w:pPr>
      <w:r>
        <w:rPr>
          <w:rFonts w:hint="eastAsia" w:ascii="Times New Roman" w:hAnsi="Times New Roman" w:eastAsia="黑体" w:cs="黑体"/>
          <w:b/>
          <w:bCs w:val="0"/>
          <w:snapToGrid w:val="0"/>
          <w:kern w:val="0"/>
          <w:szCs w:val="21"/>
          <w:highlight w:val="yellow"/>
          <w:u w:val="single"/>
        </w:rPr>
        <w:t xml:space="preserve">            </w:t>
      </w:r>
      <w:r>
        <w:rPr>
          <w:rFonts w:hint="eastAsia" w:ascii="Times New Roman" w:hAnsi="Times New Roman" w:eastAsia="黑体" w:cs="黑体"/>
          <w:b/>
          <w:bCs w:val="0"/>
          <w:snapToGrid w:val="0"/>
          <w:kern w:val="0"/>
          <w:szCs w:val="21"/>
          <w:highlight w:val="yellow"/>
        </w:rPr>
        <w:t>(项目</w:t>
      </w:r>
      <w:r>
        <w:rPr>
          <w:rFonts w:hint="eastAsia" w:ascii="Times New Roman" w:hAnsi="Times New Roman" w:eastAsia="黑体" w:cs="黑体"/>
          <w:b/>
          <w:bCs w:val="0"/>
          <w:highlight w:val="yellow"/>
        </w:rPr>
        <w:t>名称</w:t>
      </w:r>
      <w:r>
        <w:rPr>
          <w:rFonts w:hint="eastAsia" w:ascii="Times New Roman" w:hAnsi="Times New Roman" w:eastAsia="黑体" w:cs="黑体"/>
          <w:b/>
          <w:bCs w:val="0"/>
          <w:snapToGrid w:val="0"/>
          <w:kern w:val="0"/>
          <w:szCs w:val="21"/>
          <w:highlight w:val="yellow"/>
        </w:rPr>
        <w:t>)响应文件</w:t>
      </w:r>
    </w:p>
    <w:p w14:paraId="17E38B18">
      <w:pPr>
        <w:spacing w:line="440" w:lineRule="exact"/>
        <w:ind w:firstLine="420"/>
        <w:rPr>
          <w:rFonts w:ascii="Times New Roman" w:hAnsi="Times New Roman" w:eastAsia="黑体" w:cs="黑体"/>
          <w:b/>
          <w:bCs w:val="0"/>
          <w:snapToGrid w:val="0"/>
          <w:kern w:val="0"/>
          <w:szCs w:val="21"/>
          <w:highlight w:val="yellow"/>
        </w:rPr>
      </w:pPr>
      <w:r>
        <w:rPr>
          <w:rFonts w:hint="eastAsia" w:ascii="Times New Roman" w:hAnsi="Times New Roman" w:eastAsia="黑体" w:cs="黑体"/>
          <w:b/>
          <w:bCs w:val="0"/>
          <w:snapToGrid w:val="0"/>
          <w:kern w:val="0"/>
          <w:szCs w:val="21"/>
          <w:highlight w:val="yellow"/>
        </w:rPr>
        <w:t>在</w:t>
      </w:r>
      <w:r>
        <w:rPr>
          <w:rFonts w:hint="eastAsia" w:ascii="Times New Roman" w:hAnsi="Times New Roman" w:eastAsia="黑体" w:cs="黑体"/>
          <w:b/>
          <w:bCs w:val="0"/>
          <w:snapToGrid w:val="0"/>
          <w:kern w:val="0"/>
          <w:szCs w:val="21"/>
          <w:highlight w:val="yellow"/>
          <w:u w:val="single"/>
        </w:rPr>
        <w:t xml:space="preserve">    </w:t>
      </w:r>
      <w:r>
        <w:rPr>
          <w:rFonts w:hint="eastAsia" w:ascii="Times New Roman" w:hAnsi="Times New Roman" w:eastAsia="黑体" w:cs="黑体"/>
          <w:b/>
          <w:bCs w:val="0"/>
          <w:snapToGrid w:val="0"/>
          <w:kern w:val="0"/>
          <w:szCs w:val="21"/>
          <w:highlight w:val="yellow"/>
        </w:rPr>
        <w:t>年</w:t>
      </w:r>
      <w:r>
        <w:rPr>
          <w:rFonts w:hint="eastAsia" w:ascii="Times New Roman" w:hAnsi="Times New Roman" w:eastAsia="黑体" w:cs="黑体"/>
          <w:b/>
          <w:bCs w:val="0"/>
          <w:snapToGrid w:val="0"/>
          <w:kern w:val="0"/>
          <w:szCs w:val="21"/>
          <w:highlight w:val="yellow"/>
          <w:u w:val="single"/>
        </w:rPr>
        <w:t xml:space="preserve">   </w:t>
      </w:r>
      <w:r>
        <w:rPr>
          <w:rFonts w:hint="eastAsia" w:ascii="Times New Roman" w:hAnsi="Times New Roman" w:eastAsia="黑体" w:cs="黑体"/>
          <w:b/>
          <w:bCs w:val="0"/>
          <w:snapToGrid w:val="0"/>
          <w:kern w:val="0"/>
          <w:szCs w:val="21"/>
          <w:highlight w:val="yellow"/>
        </w:rPr>
        <w:t>月</w:t>
      </w:r>
      <w:r>
        <w:rPr>
          <w:rFonts w:hint="eastAsia" w:ascii="Times New Roman" w:hAnsi="Times New Roman" w:eastAsia="黑体" w:cs="黑体"/>
          <w:b/>
          <w:bCs w:val="0"/>
          <w:snapToGrid w:val="0"/>
          <w:kern w:val="0"/>
          <w:szCs w:val="21"/>
          <w:highlight w:val="yellow"/>
          <w:u w:val="single"/>
        </w:rPr>
        <w:t xml:space="preserve">   </w:t>
      </w:r>
      <w:r>
        <w:rPr>
          <w:rFonts w:hint="eastAsia" w:ascii="Times New Roman" w:hAnsi="Times New Roman" w:eastAsia="黑体" w:cs="黑体"/>
          <w:b/>
          <w:bCs w:val="0"/>
          <w:snapToGrid w:val="0"/>
          <w:kern w:val="0"/>
          <w:szCs w:val="21"/>
          <w:highlight w:val="yellow"/>
        </w:rPr>
        <w:t>日</w:t>
      </w:r>
      <w:r>
        <w:rPr>
          <w:rFonts w:hint="eastAsia" w:ascii="Times New Roman" w:hAnsi="Times New Roman" w:eastAsia="黑体" w:cs="黑体"/>
          <w:b/>
          <w:bCs w:val="0"/>
          <w:snapToGrid w:val="0"/>
          <w:kern w:val="0"/>
          <w:szCs w:val="21"/>
          <w:highlight w:val="yellow"/>
          <w:u w:val="single"/>
        </w:rPr>
        <w:t xml:space="preserve">    </w:t>
      </w:r>
      <w:r>
        <w:rPr>
          <w:rFonts w:hint="eastAsia" w:ascii="Times New Roman" w:hAnsi="Times New Roman" w:eastAsia="黑体" w:cs="黑体"/>
          <w:b/>
          <w:bCs w:val="0"/>
          <w:snapToGrid w:val="0"/>
          <w:kern w:val="0"/>
          <w:szCs w:val="21"/>
          <w:highlight w:val="yellow"/>
        </w:rPr>
        <w:t>时</w:t>
      </w:r>
      <w:r>
        <w:rPr>
          <w:rFonts w:hint="eastAsia" w:ascii="Times New Roman" w:hAnsi="Times New Roman" w:eastAsia="黑体" w:cs="黑体"/>
          <w:b/>
          <w:bCs w:val="0"/>
          <w:snapToGrid w:val="0"/>
          <w:kern w:val="0"/>
          <w:szCs w:val="21"/>
          <w:highlight w:val="yellow"/>
          <w:u w:val="single"/>
        </w:rPr>
        <w:t xml:space="preserve">   </w:t>
      </w:r>
      <w:r>
        <w:rPr>
          <w:rFonts w:hint="eastAsia" w:ascii="Times New Roman" w:hAnsi="Times New Roman" w:eastAsia="黑体" w:cs="黑体"/>
          <w:b/>
          <w:bCs w:val="0"/>
          <w:snapToGrid w:val="0"/>
          <w:kern w:val="0"/>
          <w:szCs w:val="21"/>
          <w:highlight w:val="yellow"/>
        </w:rPr>
        <w:t>分（递交响应文件的截止时间）前不得开启</w:t>
      </w:r>
    </w:p>
    <w:p w14:paraId="0F5BE6B2">
      <w:pPr>
        <w:spacing w:line="440" w:lineRule="exact"/>
        <w:ind w:firstLine="420"/>
        <w:rPr>
          <w:rFonts w:ascii="Times New Roman" w:hAnsi="Times New Roman" w:cs="Times New Roman"/>
          <w:highlight w:val="none"/>
        </w:rPr>
      </w:pPr>
      <w:r>
        <w:rPr>
          <w:rFonts w:ascii="Times New Roman" w:hAnsi="Times New Roman" w:cs="Times New Roman"/>
        </w:rPr>
        <w:t>4.1.2</w:t>
      </w:r>
      <w:r>
        <w:rPr>
          <w:rFonts w:ascii="Times New Roman" w:hAnsi="Times New Roman"/>
        </w:rPr>
        <w:t>未</w:t>
      </w:r>
      <w:r>
        <w:rPr>
          <w:rFonts w:ascii="Times New Roman" w:hAnsi="Times New Roman"/>
          <w:highlight w:val="none"/>
        </w:rPr>
        <w:t>按本章第4.1.1项</w:t>
      </w:r>
      <w:r>
        <w:rPr>
          <w:rFonts w:ascii="Times New Roman" w:hAnsi="Times New Roman" w:cs="Times New Roman"/>
          <w:highlight w:val="none"/>
        </w:rPr>
        <w:t>要求</w:t>
      </w:r>
      <w:r>
        <w:rPr>
          <w:rFonts w:ascii="Times New Roman" w:hAnsi="Times New Roman"/>
          <w:highlight w:val="none"/>
        </w:rPr>
        <w:t>密封的</w:t>
      </w:r>
      <w:r>
        <w:rPr>
          <w:rFonts w:hint="eastAsia" w:ascii="Times New Roman" w:hAnsi="Times New Roman"/>
          <w:highlight w:val="none"/>
        </w:rPr>
        <w:t>响应文件</w:t>
      </w:r>
      <w:r>
        <w:rPr>
          <w:rFonts w:ascii="Times New Roman" w:hAnsi="Times New Roman"/>
          <w:highlight w:val="none"/>
        </w:rPr>
        <w:t>，</w:t>
      </w:r>
      <w:r>
        <w:rPr>
          <w:rFonts w:hint="eastAsia" w:ascii="Times New Roman" w:hAnsi="Times New Roman"/>
          <w:highlight w:val="none"/>
        </w:rPr>
        <w:t>采购人</w:t>
      </w:r>
      <w:r>
        <w:rPr>
          <w:rFonts w:ascii="Times New Roman" w:hAnsi="Times New Roman"/>
          <w:highlight w:val="none"/>
        </w:rPr>
        <w:t>将予以拒收。</w:t>
      </w:r>
    </w:p>
    <w:p w14:paraId="53ADFF5F">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4.2 响应文件的递交</w:t>
      </w:r>
    </w:p>
    <w:p w14:paraId="552ACF01">
      <w:pPr>
        <w:spacing w:line="440" w:lineRule="exact"/>
        <w:ind w:firstLine="420"/>
        <w:rPr>
          <w:rFonts w:ascii="Times New Roman" w:hAnsi="Times New Roman" w:cs="Times New Roman"/>
          <w:highlight w:val="none"/>
        </w:rPr>
      </w:pPr>
      <w:r>
        <w:rPr>
          <w:rFonts w:ascii="Times New Roman" w:hAnsi="Times New Roman" w:cs="Times New Roman"/>
          <w:highlight w:val="none"/>
        </w:rPr>
        <w:t>4.2.1供应商应当</w:t>
      </w:r>
      <w:r>
        <w:rPr>
          <w:rFonts w:hint="eastAsia" w:ascii="Times New Roman" w:hAnsi="Times New Roman" w:cs="Times New Roman"/>
          <w:highlight w:val="none"/>
        </w:rPr>
        <w:t>按照第一章</w:t>
      </w:r>
      <w:r>
        <w:rPr>
          <w:rFonts w:ascii="Times New Roman" w:hAnsi="Times New Roman" w:cs="Times New Roman"/>
          <w:highlight w:val="none"/>
        </w:rPr>
        <w:t>“</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w:t>
      </w:r>
      <w:r>
        <w:rPr>
          <w:rFonts w:ascii="Times New Roman" w:hAnsi="Times New Roman" w:cs="Times New Roman"/>
          <w:highlight w:val="none"/>
        </w:rPr>
        <w:t>”</w:t>
      </w:r>
      <w:r>
        <w:rPr>
          <w:rFonts w:hint="eastAsia" w:ascii="Times New Roman" w:hAnsi="Times New Roman" w:cs="Times New Roman"/>
          <w:szCs w:val="21"/>
          <w:highlight w:val="none"/>
        </w:rPr>
        <w:t>的规定递交响应文件</w:t>
      </w:r>
      <w:r>
        <w:rPr>
          <w:rFonts w:ascii="Times New Roman" w:hAnsi="Times New Roman" w:cs="Times New Roman"/>
          <w:highlight w:val="none"/>
        </w:rPr>
        <w:t>。</w:t>
      </w:r>
    </w:p>
    <w:p w14:paraId="66543DFD">
      <w:pPr>
        <w:spacing w:line="440" w:lineRule="exact"/>
        <w:ind w:firstLine="420"/>
        <w:rPr>
          <w:rFonts w:ascii="Times New Roman" w:hAnsi="Times New Roman" w:cs="Times New Roman"/>
          <w:highlight w:val="none"/>
        </w:rPr>
      </w:pPr>
      <w:r>
        <w:rPr>
          <w:rFonts w:ascii="Times New Roman" w:hAnsi="Times New Roman" w:cs="Times New Roman"/>
          <w:highlight w:val="none"/>
        </w:rPr>
        <w:t>4.2.</w:t>
      </w:r>
      <w:r>
        <w:rPr>
          <w:rFonts w:hint="eastAsia" w:ascii="Times New Roman" w:hAnsi="Times New Roman" w:cs="Times New Roman"/>
          <w:highlight w:val="none"/>
        </w:rPr>
        <w:t>2</w:t>
      </w:r>
      <w:r>
        <w:rPr>
          <w:rFonts w:ascii="Times New Roman" w:hAnsi="Times New Roman" w:cs="Times New Roman"/>
          <w:highlight w:val="none"/>
        </w:rPr>
        <w:t xml:space="preserve"> </w:t>
      </w:r>
      <w:r>
        <w:rPr>
          <w:rFonts w:hint="eastAsia" w:ascii="Times New Roman" w:hAnsi="Times New Roman" w:cs="Times New Roman"/>
          <w:highlight w:val="none"/>
        </w:rPr>
        <w:t>递交响应文件的供应商数量不足3家时，采购人将宣布本次采购失败，并退还已递交的响应文件。</w:t>
      </w:r>
    </w:p>
    <w:p w14:paraId="48DB10F0">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4.2.3 除第4.2.2项规定外，</w:t>
      </w:r>
      <w:r>
        <w:rPr>
          <w:rFonts w:ascii="Times New Roman" w:hAnsi="Times New Roman" w:cs="Times New Roman"/>
          <w:highlight w:val="none"/>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1102280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344E1A2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采购人在本章第4.2.1项规定的响应文件递交截止时间（启封时间），</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的规定进行启封</w:t>
      </w:r>
      <w:r>
        <w:rPr>
          <w:rFonts w:ascii="Times New Roman" w:hAnsi="Times New Roman" w:cs="Times New Roman"/>
          <w:color w:val="auto"/>
          <w:highlight w:val="none"/>
        </w:rPr>
        <w:t>。</w:t>
      </w:r>
    </w:p>
    <w:p w14:paraId="3921A52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rPr>
        <w:t>启封</w:t>
      </w:r>
      <w:r>
        <w:rPr>
          <w:rFonts w:ascii="Times New Roman" w:hAnsi="Times New Roman" w:eastAsia="黑体" w:cs="Times New Roman"/>
          <w:bCs/>
          <w:color w:val="auto"/>
          <w:sz w:val="24"/>
          <w:szCs w:val="32"/>
          <w:highlight w:val="none"/>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（1）公布在响应文件递交截止时间</w:t>
      </w:r>
      <w:r>
        <w:rPr>
          <w:rFonts w:hint="eastAsia" w:ascii="Times New Roman" w:hAnsi="Times New Roman" w:cs="Times New Roman"/>
          <w:color w:val="auto"/>
          <w:highlight w:val="none"/>
        </w:rPr>
        <w:t>前</w:t>
      </w:r>
      <w:r>
        <w:rPr>
          <w:rFonts w:ascii="Times New Roman" w:hAnsi="Times New Roman" w:cs="Times New Roman"/>
          <w:color w:val="auto"/>
          <w:highlight w:val="none"/>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color w:val="auto"/>
          <w:highlight w:val="none"/>
        </w:rPr>
        <w:t>（3）</w:t>
      </w:r>
      <w:r>
        <w:rPr>
          <w:rFonts w:hint="eastAsia" w:ascii="Times New Roman" w:hAnsi="Times New Roman" w:cs="Times New Roman"/>
          <w:bCs/>
          <w:color w:val="auto"/>
          <w:highlight w:val="none"/>
          <w:lang w:val="en-US" w:eastAsia="zh-CN"/>
        </w:rPr>
        <w:t>开启商务技术文件</w:t>
      </w:r>
      <w:r>
        <w:rPr>
          <w:rFonts w:ascii="Times New Roman" w:hAnsi="Times New Roman" w:cs="Times New Roman"/>
          <w:bCs/>
          <w:color w:val="auto"/>
          <w:highlight w:val="none"/>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highlight w:val="none"/>
          <w:lang w:val="en-US" w:eastAsia="zh-CN"/>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4</w:t>
      </w:r>
      <w:r>
        <w:rPr>
          <w:rFonts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5</w:t>
      </w:r>
      <w:r>
        <w:rPr>
          <w:rFonts w:ascii="Times New Roman" w:hAnsi="Times New Roman" w:cs="Times New Roman"/>
          <w:bCs/>
          <w:color w:val="auto"/>
          <w:highlight w:val="none"/>
        </w:rPr>
        <w:t>）</w:t>
      </w:r>
      <w:r>
        <w:rPr>
          <w:rFonts w:hint="eastAsia" w:ascii="Times New Roman" w:hAnsi="Times New Roman" w:cs="Times New Roman"/>
          <w:bCs/>
          <w:color w:val="auto"/>
          <w:highlight w:val="none"/>
        </w:rPr>
        <w:t>启封</w:t>
      </w:r>
      <w:r>
        <w:rPr>
          <w:rFonts w:ascii="Times New Roman" w:hAnsi="Times New Roman" w:cs="Times New Roman"/>
          <w:color w:val="auto"/>
          <w:highlight w:val="none"/>
        </w:rPr>
        <w:t>结束</w:t>
      </w:r>
      <w:r>
        <w:rPr>
          <w:rFonts w:ascii="Times New Roman" w:hAnsi="Times New Roman" w:cs="Times New Roman"/>
          <w:bCs/>
          <w:color w:val="auto"/>
          <w:highlight w:val="none"/>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bCs/>
          <w:color w:val="auto"/>
          <w:highlight w:val="none"/>
        </w:rPr>
        <w:t>5.2.2</w:t>
      </w:r>
      <w:r>
        <w:rPr>
          <w:rFonts w:ascii="Times New Roman" w:hAnsi="Times New Roman" w:cs="Times New Roman"/>
          <w:color w:val="auto"/>
          <w:highlight w:val="none"/>
        </w:rPr>
        <w:t>供应商</w:t>
      </w:r>
      <w:r>
        <w:rPr>
          <w:rFonts w:hint="eastAsia" w:ascii="Times New Roman" w:hAnsi="Times New Roman" w:cs="Times New Roman"/>
          <w:color w:val="auto"/>
          <w:highlight w:val="none"/>
        </w:rPr>
        <w:t>在</w:t>
      </w:r>
      <w:r>
        <w:rPr>
          <w:rFonts w:ascii="Times New Roman" w:hAnsi="Times New Roman" w:cs="Times New Roman"/>
          <w:color w:val="auto"/>
          <w:highlight w:val="none"/>
        </w:rPr>
        <w:t>启封过程</w:t>
      </w:r>
      <w:r>
        <w:rPr>
          <w:rFonts w:hint="eastAsia" w:ascii="Times New Roman" w:hAnsi="Times New Roman" w:cs="Times New Roman"/>
          <w:color w:val="auto"/>
          <w:highlight w:val="none"/>
        </w:rPr>
        <w:t>中</w:t>
      </w:r>
      <w:r>
        <w:rPr>
          <w:rFonts w:ascii="Times New Roman" w:hAnsi="Times New Roman" w:cs="Times New Roman"/>
          <w:color w:val="auto"/>
          <w:highlight w:val="none"/>
        </w:rPr>
        <w:t>有</w:t>
      </w:r>
      <w:r>
        <w:rPr>
          <w:rFonts w:hint="eastAsia" w:ascii="Times New Roman" w:hAnsi="Times New Roman" w:cs="Times New Roman"/>
          <w:color w:val="auto"/>
          <w:highlight w:val="none"/>
        </w:rPr>
        <w:t>疑问</w:t>
      </w:r>
      <w:r>
        <w:rPr>
          <w:rFonts w:ascii="Times New Roman" w:hAnsi="Times New Roman" w:cs="Times New Roman"/>
          <w:color w:val="auto"/>
          <w:highlight w:val="none"/>
        </w:rPr>
        <w:t>的，应当在</w:t>
      </w:r>
      <w:r>
        <w:rPr>
          <w:rFonts w:hint="eastAsia" w:ascii="Times New Roman" w:hAnsi="Times New Roman" w:cs="Times New Roman"/>
          <w:color w:val="auto"/>
          <w:highlight w:val="none"/>
        </w:rPr>
        <w:t>现场</w:t>
      </w:r>
      <w:r>
        <w:rPr>
          <w:rFonts w:ascii="Times New Roman" w:hAnsi="Times New Roman" w:cs="Times New Roman"/>
          <w:color w:val="auto"/>
          <w:highlight w:val="none"/>
        </w:rPr>
        <w:t>提出</w:t>
      </w:r>
      <w:r>
        <w:rPr>
          <w:rFonts w:hint="eastAsia" w:ascii="Times New Roman" w:hAnsi="Times New Roman" w:cs="Times New Roman"/>
          <w:color w:val="auto"/>
          <w:highlight w:val="none"/>
        </w:rPr>
        <w:t>，</w:t>
      </w:r>
      <w:r>
        <w:rPr>
          <w:rFonts w:ascii="Times New Roman" w:hAnsi="Times New Roman" w:cs="Times New Roman"/>
          <w:color w:val="auto"/>
          <w:highlight w:val="none"/>
        </w:rPr>
        <w:t>采购人</w:t>
      </w:r>
      <w:r>
        <w:rPr>
          <w:rFonts w:hint="eastAsia" w:ascii="Times New Roman" w:hAnsi="Times New Roman" w:cs="Times New Roman"/>
          <w:color w:val="auto"/>
          <w:highlight w:val="none"/>
        </w:rPr>
        <w:t>将</w:t>
      </w:r>
      <w:r>
        <w:rPr>
          <w:rFonts w:ascii="Times New Roman" w:hAnsi="Times New Roman" w:cs="Times New Roman"/>
          <w:color w:val="auto"/>
          <w:highlight w:val="none"/>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 评审</w:t>
      </w:r>
    </w:p>
    <w:p w14:paraId="102C147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6.1</w:t>
      </w:r>
      <w:r>
        <w:rPr>
          <w:rFonts w:hint="eastAsia" w:ascii="Times New Roman" w:hAnsi="Times New Roman" w:eastAsia="黑体" w:cs="Times New Roman"/>
          <w:bCs/>
          <w:color w:val="auto"/>
          <w:sz w:val="24"/>
          <w:szCs w:val="32"/>
          <w:highlight w:val="none"/>
        </w:rPr>
        <w:t>评审小组</w:t>
      </w:r>
    </w:p>
    <w:p w14:paraId="2AA5DC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评审由采购人</w:t>
      </w:r>
      <w:r>
        <w:rPr>
          <w:rFonts w:hint="eastAsia" w:ascii="Times New Roman" w:hAnsi="Times New Roman" w:cs="Times New Roman"/>
          <w:color w:val="auto"/>
          <w:highlight w:val="none"/>
        </w:rPr>
        <w:t>自行</w:t>
      </w:r>
      <w:r>
        <w:rPr>
          <w:rFonts w:ascii="Times New Roman" w:hAnsi="Times New Roman" w:cs="Times New Roman"/>
          <w:color w:val="auto"/>
          <w:highlight w:val="none"/>
        </w:rPr>
        <w:t>组建的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highlight w:val="none"/>
        </w:rPr>
        <w:t>。</w:t>
      </w:r>
    </w:p>
    <w:p w14:paraId="15AF268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.1</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.2评审完成后，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2CDE5AF">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 合同授予</w:t>
      </w:r>
    </w:p>
    <w:p w14:paraId="2CE05E9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采用公开询比方式采购的项目，公示期不得少于</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日。</w:t>
      </w:r>
    </w:p>
    <w:p w14:paraId="40AD678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none"/>
          <w:lang w:val="en-US" w:eastAsia="zh-CN"/>
        </w:rPr>
      </w:pPr>
      <w:r>
        <w:rPr>
          <w:rFonts w:ascii="Times New Roman" w:hAnsi="Times New Roman" w:cs="Times New Roman"/>
          <w:color w:val="auto"/>
          <w:highlight w:val="none"/>
        </w:rPr>
        <w:t>7.4.1</w:t>
      </w:r>
      <w:r>
        <w:rPr>
          <w:rFonts w:hint="eastAsia" w:ascii="Times New Roman" w:hAnsi="Times New Roman" w:cs="Times New Roman"/>
          <w:highlight w:val="none"/>
          <w:lang w:val="en-US" w:eastAsia="zh-CN"/>
        </w:rPr>
        <w:t>中标公示</w:t>
      </w:r>
      <w:r>
        <w:rPr>
          <w:rFonts w:hint="eastAsia" w:ascii="Times New Roman" w:hAnsi="Times New Roman" w:cs="Times New Roman"/>
          <w:highlight w:val="none"/>
        </w:rPr>
        <w:t>后，</w:t>
      </w:r>
      <w:r>
        <w:rPr>
          <w:rFonts w:hint="eastAsia" w:ascii="Times New Roman" w:hAnsi="Times New Roman" w:cs="Times New Roman"/>
          <w:highlight w:val="none"/>
          <w:lang w:eastAsia="zh-CN"/>
        </w:rPr>
        <w:t>在</w:t>
      </w:r>
      <w:r>
        <w:rPr>
          <w:rFonts w:hint="eastAsia" w:ascii="Times New Roman" w:hAnsi="Times New Roman" w:cs="Times New Roman"/>
          <w:highlight w:val="none"/>
          <w:lang w:val="en-US" w:eastAsia="zh-CN"/>
        </w:rPr>
        <w:t>合同签订前，乙方需向甲方支付合同总价2%的</w:t>
      </w:r>
      <w:r>
        <w:rPr>
          <w:rFonts w:hint="eastAsia" w:ascii="Times New Roman" w:hAnsi="Times New Roman" w:cs="Times New Roman"/>
          <w:highlight w:val="none"/>
        </w:rPr>
        <w:t>履约保证金</w:t>
      </w:r>
      <w:r>
        <w:rPr>
          <w:rFonts w:hint="eastAsia" w:ascii="Times New Roman" w:hAnsi="Times New Roman" w:cs="Times New Roman"/>
          <w:highlight w:val="none"/>
          <w:lang w:val="en-US" w:eastAsia="zh-CN"/>
        </w:rPr>
        <w:t>或提供合同总价5%的银行保函</w:t>
      </w:r>
      <w:r>
        <w:rPr>
          <w:rFonts w:hint="eastAsia" w:ascii="Times New Roman" w:hAnsi="Times New Roman" w:cs="Times New Roman"/>
          <w:highlight w:val="none"/>
        </w:rPr>
        <w:t>。</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7.4.2 成交人不能按本章第7.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.1项要求提交履约保证金的，视为放弃成交候选人，其响应保证金不予退还，给采购人造成的损失超过响应保证金数额的，成交人还应当对超过部分予以赔偿。</w:t>
      </w:r>
    </w:p>
    <w:p w14:paraId="659EEF69">
      <w:pPr>
        <w:pStyle w:val="8"/>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2"/>
    <w:bookmarkEnd w:id="43"/>
    <w:bookmarkEnd w:id="44"/>
    <w:p w14:paraId="66FE727A">
      <w:pPr>
        <w:keepNext/>
        <w:keepLines/>
        <w:spacing w:before="120" w:after="120"/>
        <w:outlineLvl w:val="2"/>
        <w:rPr>
          <w:rFonts w:hint="default" w:ascii="Times New Roman" w:hAnsi="Times New Roman" w:eastAsia="Times New Roman"/>
          <w:color w:val="auto"/>
          <w:sz w:val="24"/>
          <w:szCs w:val="32"/>
          <w:highlight w:val="none"/>
        </w:rPr>
      </w:pPr>
      <w:bookmarkStart w:id="45" w:name="_Toc14201253"/>
      <w:bookmarkStart w:id="46" w:name="_Toc26656984"/>
      <w:r>
        <w:rPr>
          <w:rFonts w:hint="default" w:ascii="Times New Roman" w:hAnsi="Times New Roman" w:eastAsia="Times New Roman"/>
          <w:color w:val="auto"/>
          <w:sz w:val="24"/>
          <w:szCs w:val="32"/>
          <w:highlight w:val="none"/>
        </w:rPr>
        <w:t>7.5</w:t>
      </w:r>
      <w:r>
        <w:rPr>
          <w:rFonts w:hint="eastAsia" w:ascii="Times New Roman" w:hAnsi="Times New Roman" w:eastAsia="黑体"/>
          <w:color w:val="auto"/>
          <w:sz w:val="24"/>
          <w:szCs w:val="32"/>
          <w:highlight w:val="none"/>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47" w:name="_Toc14201257"/>
      <w:bookmarkStart w:id="48" w:name="_Toc9067727"/>
      <w:bookmarkStart w:id="49" w:name="_Toc26656988"/>
      <w:r>
        <w:rPr>
          <w:rFonts w:hint="default" w:ascii="Times New Roman" w:hAnsi="Times New Roman" w:eastAsia="Times New Roman"/>
          <w:color w:val="auto"/>
          <w:sz w:val="24"/>
          <w:szCs w:val="32"/>
          <w:highlight w:val="none"/>
        </w:rPr>
        <w:t xml:space="preserve">8. </w:t>
      </w:r>
      <w:r>
        <w:rPr>
          <w:rFonts w:hint="eastAsia" w:ascii="Times New Roman" w:hAnsi="Times New Roman" w:eastAsia="黑体"/>
          <w:color w:val="auto"/>
          <w:sz w:val="24"/>
          <w:szCs w:val="32"/>
          <w:highlight w:val="none"/>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0" w:name="_Toc14201262"/>
      <w:bookmarkStart w:id="51" w:name="_Toc26656993"/>
      <w:r>
        <w:rPr>
          <w:rFonts w:hint="eastAsia" w:ascii="Times New Roman" w:hAnsi="Times New Roman" w:eastAsia="黑体"/>
          <w:color w:val="auto"/>
          <w:sz w:val="24"/>
          <w:szCs w:val="32"/>
          <w:highlight w:val="none"/>
        </w:rPr>
        <w:t>9</w:t>
      </w:r>
      <w:r>
        <w:rPr>
          <w:rFonts w:hint="default" w:ascii="Times New Roman" w:hAnsi="Times New Roman" w:eastAsia="Times New Roman"/>
          <w:color w:val="auto"/>
          <w:sz w:val="24"/>
          <w:szCs w:val="32"/>
          <w:highlight w:val="none"/>
        </w:rPr>
        <w:t xml:space="preserve"> </w:t>
      </w:r>
      <w:r>
        <w:rPr>
          <w:rFonts w:hint="eastAsia" w:ascii="Times New Roman" w:hAnsi="Times New Roman" w:eastAsia="宋体"/>
          <w:color w:val="auto"/>
          <w:sz w:val="24"/>
          <w:szCs w:val="32"/>
          <w:highlight w:val="none"/>
          <w:lang w:val="en-US" w:eastAsia="zh-CN"/>
        </w:rPr>
        <w:t>.</w:t>
      </w:r>
      <w:r>
        <w:rPr>
          <w:rFonts w:hint="eastAsia" w:ascii="Times New Roman" w:hAnsi="Times New Roman" w:eastAsia="黑体"/>
          <w:color w:val="auto"/>
          <w:sz w:val="24"/>
          <w:szCs w:val="32"/>
          <w:highlight w:val="none"/>
        </w:rPr>
        <w:t>投诉</w:t>
      </w:r>
      <w:bookmarkEnd w:id="50"/>
      <w:bookmarkEnd w:id="51"/>
    </w:p>
    <w:p w14:paraId="0D14997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.1 </w:t>
      </w:r>
      <w:r>
        <w:rPr>
          <w:rFonts w:hint="eastAsia" w:ascii="Times New Roman" w:hAnsi="Times New Roman"/>
          <w:color w:val="auto"/>
          <w:sz w:val="21"/>
          <w:szCs w:val="24"/>
          <w:highlight w:val="none"/>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.2 </w:t>
      </w:r>
      <w:r>
        <w:rPr>
          <w:rFonts w:hint="eastAsia" w:ascii="Times New Roman" w:hAnsi="Times New Roman"/>
          <w:color w:val="auto"/>
          <w:sz w:val="21"/>
          <w:szCs w:val="24"/>
          <w:highlight w:val="none"/>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2" w:name="_Toc14201263"/>
      <w:bookmarkStart w:id="53" w:name="_Toc26656994"/>
      <w:bookmarkStart w:id="54" w:name="_Toc9067731"/>
      <w:r>
        <w:rPr>
          <w:rFonts w:hint="eastAsia" w:ascii="Times New Roman" w:hAnsi="Times New Roman" w:eastAsia="黑体"/>
          <w:color w:val="auto"/>
          <w:sz w:val="24"/>
          <w:szCs w:val="32"/>
          <w:highlight w:val="none"/>
        </w:rPr>
        <w:t>10</w:t>
      </w:r>
      <w:r>
        <w:rPr>
          <w:rFonts w:hint="default" w:ascii="Times New Roman" w:hAnsi="Times New Roman" w:eastAsia="Times New Roman"/>
          <w:color w:val="auto"/>
          <w:sz w:val="24"/>
          <w:szCs w:val="32"/>
          <w:highlight w:val="none"/>
        </w:rPr>
        <w:t>.</w:t>
      </w:r>
      <w:r>
        <w:rPr>
          <w:rFonts w:hint="eastAsia" w:ascii="Times New Roman" w:hAnsi="Times New Roman" w:eastAsia="黑体"/>
          <w:color w:val="auto"/>
          <w:sz w:val="24"/>
          <w:szCs w:val="32"/>
          <w:highlight w:val="none"/>
        </w:rPr>
        <w:t xml:space="preserve"> 需要补充的其他内容</w:t>
      </w:r>
      <w:bookmarkEnd w:id="52"/>
      <w:bookmarkEnd w:id="53"/>
      <w:bookmarkEnd w:id="54"/>
    </w:p>
    <w:p w14:paraId="5AB5C0D9">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需要补充的其他内容：__/___。</w:t>
      </w:r>
    </w:p>
    <w:p w14:paraId="3ED9671A">
      <w:pPr>
        <w:spacing w:line="440" w:lineRule="exact"/>
        <w:ind w:firstLine="420"/>
        <w:rPr>
          <w:rFonts w:hint="eastAsia" w:ascii="Times New Roman" w:hAnsi="Times New Roman"/>
          <w:color w:val="auto"/>
          <w:sz w:val="21"/>
          <w:szCs w:val="24"/>
          <w:highlight w:val="none"/>
        </w:rPr>
      </w:pPr>
    </w:p>
    <w:p w14:paraId="7FBD1ACA">
      <w:pPr>
        <w:spacing w:line="440" w:lineRule="exact"/>
        <w:ind w:firstLine="420"/>
        <w:rPr>
          <w:rFonts w:hint="eastAsia" w:ascii="Times New Roman" w:hAnsi="Times New Roman"/>
          <w:color w:val="auto"/>
          <w:sz w:val="21"/>
          <w:szCs w:val="24"/>
          <w:highlight w:val="none"/>
        </w:rPr>
      </w:pPr>
    </w:p>
    <w:p w14:paraId="73C8FF4F">
      <w:pPr>
        <w:spacing w:line="440" w:lineRule="exact"/>
        <w:ind w:firstLine="420"/>
        <w:rPr>
          <w:rFonts w:hint="eastAsia" w:ascii="Times New Roman" w:hAnsi="Times New Roman"/>
          <w:color w:val="auto"/>
          <w:sz w:val="21"/>
          <w:szCs w:val="24"/>
          <w:highlight w:val="none"/>
        </w:rPr>
      </w:pPr>
    </w:p>
    <w:p w14:paraId="19E26293">
      <w:pPr>
        <w:spacing w:line="440" w:lineRule="exact"/>
        <w:ind w:firstLine="420"/>
        <w:rPr>
          <w:rFonts w:hint="eastAsia" w:ascii="Times New Roman" w:hAnsi="Times New Roman"/>
          <w:color w:val="auto"/>
          <w:sz w:val="21"/>
          <w:szCs w:val="24"/>
          <w:highlight w:val="none"/>
        </w:rPr>
      </w:pPr>
    </w:p>
    <w:p w14:paraId="04721814">
      <w:pPr>
        <w:spacing w:line="440" w:lineRule="exact"/>
        <w:ind w:firstLine="420"/>
        <w:rPr>
          <w:rFonts w:hint="eastAsia" w:ascii="Times New Roman" w:hAnsi="Times New Roman"/>
          <w:color w:val="auto"/>
          <w:sz w:val="21"/>
          <w:szCs w:val="24"/>
          <w:highlight w:val="none"/>
        </w:rPr>
      </w:pPr>
    </w:p>
    <w:p w14:paraId="4626DAEC">
      <w:pPr>
        <w:spacing w:line="440" w:lineRule="exact"/>
        <w:ind w:firstLine="420"/>
        <w:rPr>
          <w:rFonts w:hint="eastAsia" w:ascii="Times New Roman" w:hAnsi="Times New Roman"/>
          <w:color w:val="auto"/>
          <w:sz w:val="21"/>
          <w:szCs w:val="24"/>
          <w:highlight w:val="none"/>
        </w:rPr>
      </w:pPr>
    </w:p>
    <w:p w14:paraId="6DB91C05">
      <w:pPr>
        <w:spacing w:line="440" w:lineRule="exact"/>
        <w:ind w:firstLine="420"/>
        <w:rPr>
          <w:rFonts w:hint="eastAsia" w:ascii="Times New Roman" w:hAnsi="Times New Roman"/>
          <w:color w:val="auto"/>
          <w:sz w:val="21"/>
          <w:szCs w:val="24"/>
          <w:highlight w:val="none"/>
        </w:rPr>
      </w:pPr>
    </w:p>
    <w:p w14:paraId="42233FBC">
      <w:pPr>
        <w:spacing w:line="440" w:lineRule="exact"/>
        <w:ind w:firstLine="420"/>
        <w:rPr>
          <w:rFonts w:hint="eastAsia" w:ascii="Times New Roman" w:hAnsi="Times New Roman"/>
          <w:color w:val="auto"/>
          <w:sz w:val="21"/>
          <w:szCs w:val="24"/>
          <w:highlight w:val="none"/>
        </w:rPr>
      </w:pPr>
    </w:p>
    <w:p w14:paraId="0644DD82">
      <w:pPr>
        <w:spacing w:line="440" w:lineRule="exact"/>
        <w:ind w:firstLine="420"/>
        <w:rPr>
          <w:rFonts w:hint="eastAsia" w:ascii="Times New Roman" w:hAnsi="Times New Roman"/>
          <w:color w:val="auto"/>
          <w:sz w:val="21"/>
          <w:szCs w:val="24"/>
          <w:highlight w:val="none"/>
        </w:rPr>
      </w:pPr>
    </w:p>
    <w:p w14:paraId="067CDA16">
      <w:pPr>
        <w:spacing w:line="440" w:lineRule="exact"/>
        <w:ind w:firstLine="420"/>
        <w:rPr>
          <w:rFonts w:hint="eastAsia" w:ascii="Times New Roman" w:hAnsi="Times New Roman"/>
          <w:color w:val="auto"/>
          <w:sz w:val="21"/>
          <w:szCs w:val="24"/>
          <w:highlight w:val="none"/>
        </w:rPr>
      </w:pPr>
    </w:p>
    <w:p w14:paraId="383589BE">
      <w:pPr>
        <w:spacing w:line="440" w:lineRule="exact"/>
        <w:ind w:firstLine="420"/>
        <w:rPr>
          <w:rFonts w:hint="eastAsia" w:ascii="Times New Roman" w:hAnsi="Times New Roman"/>
          <w:color w:val="auto"/>
          <w:sz w:val="21"/>
          <w:szCs w:val="24"/>
          <w:highlight w:val="none"/>
        </w:rPr>
      </w:pPr>
    </w:p>
    <w:p w14:paraId="1A859F51">
      <w:pPr>
        <w:spacing w:line="440" w:lineRule="exact"/>
        <w:ind w:firstLine="420"/>
        <w:rPr>
          <w:rFonts w:hint="eastAsia" w:ascii="Times New Roman" w:hAnsi="Times New Roman"/>
          <w:color w:val="auto"/>
          <w:sz w:val="21"/>
          <w:szCs w:val="24"/>
          <w:highlight w:val="none"/>
        </w:rPr>
      </w:pPr>
    </w:p>
    <w:p w14:paraId="339734E2">
      <w:pPr>
        <w:spacing w:line="440" w:lineRule="exact"/>
        <w:ind w:firstLine="420"/>
        <w:rPr>
          <w:rFonts w:hint="eastAsia" w:ascii="Times New Roman" w:hAnsi="Times New Roman"/>
          <w:color w:val="auto"/>
          <w:sz w:val="21"/>
          <w:szCs w:val="24"/>
          <w:highlight w:val="none"/>
        </w:rPr>
      </w:pPr>
    </w:p>
    <w:p w14:paraId="62ADB66E">
      <w:pPr>
        <w:spacing w:line="440" w:lineRule="exact"/>
        <w:ind w:firstLine="420"/>
        <w:rPr>
          <w:rFonts w:hint="eastAsia" w:ascii="Times New Roman" w:hAnsi="Times New Roman"/>
          <w:color w:val="auto"/>
          <w:sz w:val="21"/>
          <w:szCs w:val="24"/>
          <w:highlight w:val="none"/>
        </w:rPr>
      </w:pPr>
    </w:p>
    <w:p w14:paraId="726FD6CB">
      <w:pPr>
        <w:spacing w:line="440" w:lineRule="exact"/>
        <w:ind w:firstLine="420"/>
        <w:rPr>
          <w:rFonts w:hint="eastAsia" w:ascii="Times New Roman" w:hAnsi="Times New Roman"/>
          <w:color w:val="auto"/>
          <w:sz w:val="21"/>
          <w:szCs w:val="24"/>
          <w:highlight w:val="none"/>
        </w:rPr>
      </w:pPr>
    </w:p>
    <w:p w14:paraId="635EE1ED">
      <w:pPr>
        <w:spacing w:line="440" w:lineRule="exact"/>
        <w:ind w:firstLine="420"/>
        <w:rPr>
          <w:rFonts w:hint="eastAsia" w:ascii="Times New Roman" w:hAnsi="Times New Roman"/>
          <w:color w:val="auto"/>
          <w:sz w:val="21"/>
          <w:szCs w:val="24"/>
          <w:highlight w:val="none"/>
        </w:rPr>
      </w:pPr>
    </w:p>
    <w:p w14:paraId="71F9BD2E">
      <w:pPr>
        <w:spacing w:line="440" w:lineRule="exact"/>
        <w:ind w:firstLine="420"/>
        <w:rPr>
          <w:rFonts w:hint="eastAsia" w:ascii="Times New Roman" w:hAnsi="Times New Roman"/>
          <w:color w:val="auto"/>
          <w:sz w:val="21"/>
          <w:szCs w:val="24"/>
          <w:highlight w:val="none"/>
        </w:rPr>
      </w:pPr>
    </w:p>
    <w:p w14:paraId="19444787">
      <w:pPr>
        <w:spacing w:line="440" w:lineRule="exact"/>
        <w:ind w:firstLine="420"/>
        <w:rPr>
          <w:rFonts w:hint="eastAsia" w:ascii="Times New Roman" w:hAnsi="Times New Roman"/>
          <w:color w:val="auto"/>
          <w:sz w:val="21"/>
          <w:szCs w:val="24"/>
          <w:highlight w:val="none"/>
        </w:rPr>
      </w:pPr>
    </w:p>
    <w:p w14:paraId="243F834A">
      <w:pPr>
        <w:spacing w:line="440" w:lineRule="exact"/>
        <w:ind w:firstLine="420"/>
        <w:rPr>
          <w:rFonts w:hint="eastAsia" w:ascii="Times New Roman" w:hAnsi="Times New Roman"/>
          <w:color w:val="auto"/>
          <w:sz w:val="21"/>
          <w:szCs w:val="24"/>
          <w:highlight w:val="none"/>
        </w:rPr>
      </w:pPr>
    </w:p>
    <w:p w14:paraId="6EE6A9DE">
      <w:pPr>
        <w:pStyle w:val="2"/>
        <w:spacing w:before="312" w:after="312"/>
        <w:rPr>
          <w:rFonts w:ascii="Times New Roman" w:hAnsi="Times New Roman" w:eastAsia="宋体" w:cs="Times New Roman"/>
          <w:color w:val="auto"/>
          <w:highlight w:val="none"/>
        </w:rPr>
      </w:pPr>
      <w:bookmarkStart w:id="55" w:name="_Toc27798"/>
      <w:r>
        <w:rPr>
          <w:rFonts w:ascii="Times New Roman" w:hAnsi="Times New Roman" w:eastAsia="宋体" w:cs="Times New Roman"/>
          <w:color w:val="auto"/>
          <w:highlight w:val="none"/>
        </w:rPr>
        <w:t>评审办法</w:t>
      </w:r>
      <w:bookmarkEnd w:id="55"/>
    </w:p>
    <w:p w14:paraId="31FD4C54">
      <w:pPr>
        <w:rPr>
          <w:rFonts w:ascii="Times New Roman" w:hAnsi="Times New Roman" w:eastAsia="宋体" w:cs="Times New Roman"/>
          <w:color w:val="auto"/>
          <w:highlight w:val="none"/>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hint="eastAsia" w:ascii="Times New Roman" w:hAnsi="Times New Roman" w:eastAsia="黑体" w:cs="Times New Roman"/>
          <w:color w:val="auto"/>
          <w:sz w:val="28"/>
          <w:szCs w:val="28"/>
          <w:highlight w:val="none"/>
          <w:lang w:eastAsia="zh-CN"/>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最低价法</w:t>
      </w:r>
      <w:r>
        <w:rPr>
          <w:rFonts w:hint="eastAsia" w:ascii="Times New Roman" w:hAnsi="Times New Roman" w:eastAsia="黑体" w:cs="Times New Roman"/>
          <w:color w:val="auto"/>
          <w:sz w:val="28"/>
          <w:szCs w:val="28"/>
          <w:highlight w:val="none"/>
          <w:lang w:eastAsia="zh-CN"/>
        </w:rPr>
        <w:t>）</w:t>
      </w:r>
    </w:p>
    <w:p w14:paraId="44BA1B03">
      <w:pPr>
        <w:keepNext/>
        <w:keepLines/>
        <w:spacing w:line="400" w:lineRule="exact"/>
        <w:rPr>
          <w:rFonts w:hint="eastAsia" w:ascii="Times New Roman" w:hAnsi="Times New Roman" w:eastAsia="黑体" w:cs="Times New Roman"/>
          <w:color w:val="auto"/>
          <w:sz w:val="28"/>
          <w:szCs w:val="28"/>
          <w:highlight w:val="none"/>
          <w:lang w:eastAsia="zh-CN"/>
        </w:rPr>
      </w:pPr>
      <w:bookmarkStart w:id="56" w:name="_Toc152045528"/>
      <w:bookmarkStart w:id="57" w:name="_Toc447808662"/>
      <w:bookmarkStart w:id="58" w:name="_Toc152042304"/>
      <w:bookmarkStart w:id="59" w:name="_Toc3834"/>
      <w:bookmarkStart w:id="60" w:name="_Toc144974496"/>
      <w:bookmarkStart w:id="61" w:name="_Toc14847"/>
      <w:bookmarkStart w:id="62" w:name="_Toc457482536"/>
      <w:r>
        <w:rPr>
          <w:rFonts w:hint="eastAsia" w:ascii="宋体" w:hAnsi="宋体" w:eastAsia="宋体" w:cs="宋体"/>
          <w:b/>
          <w:bCs/>
          <w:kern w:val="0"/>
          <w:sz w:val="28"/>
          <w:szCs w:val="28"/>
        </w:rPr>
        <w:t>前附表</w:t>
      </w:r>
      <w:bookmarkEnd w:id="56"/>
      <w:bookmarkEnd w:id="57"/>
      <w:bookmarkEnd w:id="58"/>
      <w:bookmarkEnd w:id="59"/>
      <w:bookmarkEnd w:id="60"/>
      <w:bookmarkEnd w:id="61"/>
      <w:bookmarkEnd w:id="62"/>
      <w:r>
        <w:rPr>
          <w:rFonts w:hint="eastAsia" w:ascii="宋体" w:hAnsi="宋体" w:eastAsia="宋体" w:cs="宋体"/>
          <w:b/>
          <w:bCs/>
          <w:kern w:val="0"/>
          <w:sz w:val="28"/>
          <w:szCs w:val="28"/>
        </w:rPr>
        <w:t>A</w:t>
      </w: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1064"/>
        <w:gridCol w:w="1773"/>
        <w:gridCol w:w="17"/>
        <w:gridCol w:w="5657"/>
      </w:tblGrid>
      <w:tr w14:paraId="0A87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51" w:type="dxa"/>
            <w:gridSpan w:val="2"/>
            <w:vAlign w:val="center"/>
          </w:tcPr>
          <w:p w14:paraId="13B7A992">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Cs w:val="21"/>
              </w:rPr>
            </w:pPr>
            <w:r>
              <w:rPr>
                <w:rFonts w:hint="default" w:ascii="Times New Roman" w:hAnsi="Times New Roman" w:cs="Times New Roman"/>
                <w:b/>
                <w:bCs/>
                <w:kern w:val="0"/>
                <w:szCs w:val="21"/>
              </w:rPr>
              <w:t>条款号</w:t>
            </w:r>
          </w:p>
        </w:tc>
        <w:tc>
          <w:tcPr>
            <w:tcW w:w="1773" w:type="dxa"/>
            <w:vAlign w:val="center"/>
          </w:tcPr>
          <w:p w14:paraId="07F0F5EC">
            <w:pPr>
              <w:keepNext w:val="0"/>
              <w:keepLines w:val="0"/>
              <w:widowControl/>
              <w:suppressLineNumbers w:val="0"/>
              <w:spacing w:before="0" w:beforeAutospacing="0" w:after="0" w:afterAutospacing="0"/>
              <w:ind w:left="0" w:right="0" w:firstLine="105" w:firstLineChars="50"/>
              <w:jc w:val="center"/>
              <w:rPr>
                <w:rFonts w:hint="default" w:ascii="Times New Roman" w:hAnsi="Times New Roman" w:cs="Times New Roman"/>
                <w:kern w:val="0"/>
                <w:szCs w:val="21"/>
              </w:rPr>
            </w:pPr>
            <w:r>
              <w:rPr>
                <w:rFonts w:hint="default" w:ascii="Times New Roman" w:hAnsi="Times New Roman" w:cs="Times New Roman"/>
                <w:b/>
                <w:bCs/>
                <w:kern w:val="0"/>
                <w:szCs w:val="21"/>
              </w:rPr>
              <w:t>评审因素</w:t>
            </w:r>
          </w:p>
        </w:tc>
        <w:tc>
          <w:tcPr>
            <w:tcW w:w="5674" w:type="dxa"/>
            <w:gridSpan w:val="2"/>
            <w:vAlign w:val="center"/>
          </w:tcPr>
          <w:p w14:paraId="421714D5">
            <w:pPr>
              <w:keepNext w:val="0"/>
              <w:keepLines w:val="0"/>
              <w:widowControl/>
              <w:suppressLineNumbers w:val="0"/>
              <w:spacing w:before="0" w:beforeAutospacing="0" w:after="0" w:afterAutospacing="0"/>
              <w:ind w:left="0" w:right="0" w:firstLine="105" w:firstLineChars="50"/>
              <w:jc w:val="center"/>
              <w:rPr>
                <w:rFonts w:hint="default" w:ascii="Times New Roman" w:hAnsi="Times New Roman" w:cs="Times New Roman"/>
                <w:kern w:val="0"/>
                <w:szCs w:val="21"/>
              </w:rPr>
            </w:pPr>
            <w:r>
              <w:rPr>
                <w:rFonts w:hint="default" w:ascii="Times New Roman" w:hAnsi="Times New Roman" w:cs="Times New Roman"/>
                <w:b/>
                <w:bCs/>
                <w:kern w:val="0"/>
                <w:szCs w:val="21"/>
              </w:rPr>
              <w:t>评审标准</w:t>
            </w:r>
          </w:p>
        </w:tc>
      </w:tr>
      <w:tr w14:paraId="22D9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7" w:type="dxa"/>
            <w:vAlign w:val="center"/>
          </w:tcPr>
          <w:p w14:paraId="7A4E3171">
            <w:pPr>
              <w:keepNext w:val="0"/>
              <w:keepLines w:val="0"/>
              <w:widowControl/>
              <w:suppressLineNumbers w:val="0"/>
              <w:spacing w:before="0" w:beforeAutospacing="0" w:after="0" w:afterAutospacing="0"/>
              <w:ind w:left="0" w:right="0"/>
              <w:jc w:val="center"/>
              <w:rPr>
                <w:rFonts w:hint="default" w:ascii="Times New Roman" w:hAnsi="Times New Roman" w:cs="Times New Roman"/>
                <w:bCs/>
                <w:kern w:val="0"/>
                <w:szCs w:val="21"/>
              </w:rPr>
            </w:pPr>
            <w:r>
              <w:rPr>
                <w:rFonts w:hint="default" w:ascii="Times New Roman" w:hAnsi="Times New Roman" w:cs="Times New Roman"/>
                <w:bCs/>
                <w:kern w:val="0"/>
                <w:szCs w:val="21"/>
              </w:rPr>
              <w:t>1</w:t>
            </w:r>
          </w:p>
        </w:tc>
        <w:tc>
          <w:tcPr>
            <w:tcW w:w="1064" w:type="dxa"/>
            <w:vAlign w:val="center"/>
          </w:tcPr>
          <w:p w14:paraId="24CBBDC1">
            <w:pPr>
              <w:keepNext w:val="0"/>
              <w:keepLines w:val="0"/>
              <w:widowControl/>
              <w:suppressLineNumbers w:val="0"/>
              <w:spacing w:before="0" w:beforeAutospacing="0" w:after="0" w:afterAutospacing="0"/>
              <w:ind w:left="0" w:right="0"/>
              <w:jc w:val="center"/>
              <w:rPr>
                <w:rFonts w:hint="default" w:ascii="Times New Roman" w:hAnsi="Times New Roman" w:cs="Times New Roman"/>
                <w:bCs/>
                <w:kern w:val="0"/>
                <w:szCs w:val="21"/>
              </w:rPr>
            </w:pPr>
            <w:r>
              <w:rPr>
                <w:rFonts w:hint="default" w:ascii="Times New Roman" w:hAnsi="Times New Roman" w:cs="Times New Roman"/>
                <w:bCs/>
                <w:kern w:val="0"/>
                <w:szCs w:val="21"/>
              </w:rPr>
              <w:t>评审</w:t>
            </w:r>
            <w:r>
              <w:rPr>
                <w:rFonts w:hint="eastAsia" w:ascii="Times New Roman" w:hAnsi="Times New Roman" w:cs="Times New Roman"/>
                <w:bCs/>
                <w:kern w:val="0"/>
                <w:szCs w:val="21"/>
              </w:rPr>
              <w:t>方</w:t>
            </w:r>
            <w:r>
              <w:rPr>
                <w:rFonts w:hint="default" w:ascii="Times New Roman" w:hAnsi="Times New Roman" w:cs="Times New Roman"/>
                <w:bCs/>
                <w:kern w:val="0"/>
                <w:szCs w:val="21"/>
              </w:rPr>
              <w:t>法</w:t>
            </w:r>
          </w:p>
        </w:tc>
        <w:tc>
          <w:tcPr>
            <w:tcW w:w="1773" w:type="dxa"/>
            <w:tcMar>
              <w:left w:w="75" w:type="dxa"/>
            </w:tcMar>
            <w:vAlign w:val="center"/>
          </w:tcPr>
          <w:p w14:paraId="373B58C6">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kern w:val="0"/>
                <w:szCs w:val="21"/>
              </w:rPr>
            </w:pPr>
            <w:r>
              <w:rPr>
                <w:rFonts w:hint="default" w:ascii="Times New Roman" w:hAnsi="Times New Roman" w:cs="Times New Roman"/>
                <w:kern w:val="0"/>
                <w:szCs w:val="21"/>
              </w:rPr>
              <w:t>成交候选人</w:t>
            </w:r>
          </w:p>
          <w:p w14:paraId="7AC97E97">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kern w:val="0"/>
                <w:szCs w:val="21"/>
              </w:rPr>
            </w:pPr>
            <w:r>
              <w:rPr>
                <w:rFonts w:hint="default" w:ascii="Times New Roman" w:hAnsi="Times New Roman" w:cs="Times New Roman"/>
                <w:kern w:val="0"/>
                <w:szCs w:val="21"/>
              </w:rPr>
              <w:t>排序方法</w:t>
            </w:r>
          </w:p>
        </w:tc>
        <w:tc>
          <w:tcPr>
            <w:tcW w:w="5674" w:type="dxa"/>
            <w:gridSpan w:val="2"/>
            <w:tcMar>
              <w:left w:w="75" w:type="dxa"/>
            </w:tcMar>
            <w:vAlign w:val="center"/>
          </w:tcPr>
          <w:p w14:paraId="1F0A5ED1">
            <w:pPr>
              <w:keepNext w:val="0"/>
              <w:keepLines w:val="0"/>
              <w:widowControl/>
              <w:suppressLineNumbers w:val="0"/>
              <w:adjustRightInd w:val="0"/>
              <w:snapToGrid w:val="0"/>
              <w:spacing w:before="0" w:beforeAutospacing="0" w:after="0" w:afterAutospacing="0"/>
              <w:ind w:left="0" w:right="0"/>
              <w:jc w:val="left"/>
              <w:rPr>
                <w:rFonts w:hint="default"/>
              </w:rPr>
            </w:pPr>
            <w:r>
              <w:rPr>
                <w:rFonts w:hint="eastAsia"/>
              </w:rPr>
              <w:t>按评审价由低到高的顺序依次推荐成交候选人：</w:t>
            </w:r>
          </w:p>
          <w:p w14:paraId="6BE44A6B">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评审价相等时，评审委员会依次按照以下优先顺序推荐成交候选人：</w:t>
            </w:r>
          </w:p>
          <w:p w14:paraId="3007EA8D">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（1）响应文件提供的合格业绩数量多的投标人优先；</w:t>
            </w:r>
          </w:p>
          <w:p w14:paraId="3ABDEA7B">
            <w:pPr>
              <w:keepNext w:val="0"/>
              <w:keepLines w:val="0"/>
              <w:suppressLineNumbers w:val="0"/>
              <w:spacing w:before="0" w:beforeAutospacing="0" w:after="0" w:afterAutospacing="0" w:line="440" w:lineRule="exact"/>
              <w:ind w:left="0" w:right="0"/>
              <w:rPr>
                <w:rFonts w:hint="default"/>
              </w:rPr>
            </w:pPr>
            <w:r>
              <w:rPr>
                <w:rFonts w:hint="eastAsia" w:ascii="宋体" w:hAnsi="宋体" w:eastAsia="宋体" w:cs="宋体"/>
                <w:szCs w:val="21"/>
              </w:rPr>
              <w:t>（2）递交响应文件时间早的投标人优先。</w:t>
            </w:r>
          </w:p>
        </w:tc>
      </w:tr>
      <w:tr w14:paraId="32E6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51" w:type="dxa"/>
            <w:gridSpan w:val="2"/>
            <w:vAlign w:val="center"/>
          </w:tcPr>
          <w:p w14:paraId="038E798E">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Cs w:val="21"/>
              </w:rPr>
            </w:pPr>
            <w:r>
              <w:rPr>
                <w:rFonts w:hint="eastAsia" w:ascii="宋体" w:hAnsi="宋体" w:eastAsia="宋体" w:cs="宋体"/>
                <w:b/>
                <w:bCs/>
                <w:kern w:val="0"/>
                <w:szCs w:val="21"/>
              </w:rPr>
              <w:t>条款号</w:t>
            </w:r>
          </w:p>
        </w:tc>
        <w:tc>
          <w:tcPr>
            <w:tcW w:w="1790" w:type="dxa"/>
            <w:gridSpan w:val="2"/>
            <w:vAlign w:val="center"/>
          </w:tcPr>
          <w:p w14:paraId="0BD9FAA1">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Cs w:val="21"/>
              </w:rPr>
            </w:pPr>
            <w:r>
              <w:rPr>
                <w:rFonts w:hint="eastAsia" w:ascii="宋体" w:hAnsi="宋体" w:eastAsia="宋体" w:cs="宋体"/>
                <w:b/>
                <w:bCs/>
                <w:kern w:val="0"/>
                <w:szCs w:val="21"/>
              </w:rPr>
              <w:t>评审因素</w:t>
            </w:r>
          </w:p>
        </w:tc>
        <w:tc>
          <w:tcPr>
            <w:tcW w:w="5657" w:type="dxa"/>
            <w:vAlign w:val="center"/>
          </w:tcPr>
          <w:p w14:paraId="4470B540">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Cs w:val="21"/>
              </w:rPr>
            </w:pPr>
            <w:r>
              <w:rPr>
                <w:rFonts w:hint="eastAsia" w:ascii="宋体" w:hAnsi="宋体" w:eastAsia="宋体" w:cs="宋体"/>
                <w:b/>
                <w:bCs/>
                <w:kern w:val="0"/>
                <w:szCs w:val="21"/>
              </w:rPr>
              <w:t>评审标准</w:t>
            </w:r>
          </w:p>
        </w:tc>
      </w:tr>
      <w:tr w14:paraId="0388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7" w:type="dxa"/>
            <w:vMerge w:val="restart"/>
            <w:vAlign w:val="center"/>
          </w:tcPr>
          <w:p w14:paraId="43339881">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r>
              <w:rPr>
                <w:rFonts w:hint="eastAsia" w:ascii="宋体" w:hAnsi="宋体" w:eastAsia="宋体" w:cs="宋体"/>
                <w:kern w:val="0"/>
                <w:szCs w:val="21"/>
              </w:rPr>
              <w:t>2.1.1</w:t>
            </w:r>
          </w:p>
        </w:tc>
        <w:tc>
          <w:tcPr>
            <w:tcW w:w="1064" w:type="dxa"/>
            <w:vMerge w:val="restart"/>
            <w:vAlign w:val="center"/>
          </w:tcPr>
          <w:p w14:paraId="2D6E5ACA">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r>
              <w:rPr>
                <w:rFonts w:hint="eastAsia" w:ascii="宋体" w:hAnsi="宋体" w:eastAsia="宋体" w:cs="宋体"/>
                <w:kern w:val="0"/>
                <w:szCs w:val="21"/>
              </w:rPr>
              <w:t>形式评审标准</w:t>
            </w:r>
          </w:p>
        </w:tc>
        <w:tc>
          <w:tcPr>
            <w:tcW w:w="1790" w:type="dxa"/>
            <w:gridSpan w:val="2"/>
            <w:tcMar>
              <w:left w:w="75" w:type="dxa"/>
            </w:tcMar>
            <w:vAlign w:val="center"/>
          </w:tcPr>
          <w:p w14:paraId="7D9DCD9F">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供应商名称</w:t>
            </w:r>
          </w:p>
        </w:tc>
        <w:tc>
          <w:tcPr>
            <w:tcW w:w="5657" w:type="dxa"/>
            <w:tcMar>
              <w:left w:w="75" w:type="dxa"/>
            </w:tcMar>
            <w:vAlign w:val="center"/>
          </w:tcPr>
          <w:p w14:paraId="29E64F97">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与营业执照、资质证书（如有）一致</w:t>
            </w:r>
          </w:p>
        </w:tc>
      </w:tr>
      <w:tr w14:paraId="16CF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7" w:type="dxa"/>
            <w:vMerge w:val="continue"/>
            <w:vAlign w:val="center"/>
          </w:tcPr>
          <w:p w14:paraId="15688FBA">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064" w:type="dxa"/>
            <w:vMerge w:val="continue"/>
            <w:vAlign w:val="center"/>
          </w:tcPr>
          <w:p w14:paraId="675E7F4D">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790" w:type="dxa"/>
            <w:gridSpan w:val="2"/>
            <w:tcMar>
              <w:left w:w="75" w:type="dxa"/>
            </w:tcMar>
            <w:vAlign w:val="center"/>
          </w:tcPr>
          <w:p w14:paraId="2F4697AC">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响应文件格式</w:t>
            </w:r>
          </w:p>
        </w:tc>
        <w:tc>
          <w:tcPr>
            <w:tcW w:w="5657" w:type="dxa"/>
            <w:tcMar>
              <w:left w:w="75" w:type="dxa"/>
            </w:tcMar>
            <w:vAlign w:val="center"/>
          </w:tcPr>
          <w:p w14:paraId="42356E23">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符合第六章“响应文件格式”的规定，关键字迹清晰可辨</w:t>
            </w:r>
          </w:p>
        </w:tc>
      </w:tr>
      <w:tr w14:paraId="2F1A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7" w:type="dxa"/>
            <w:vMerge w:val="continue"/>
            <w:vAlign w:val="center"/>
          </w:tcPr>
          <w:p w14:paraId="1F62DB4A">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064" w:type="dxa"/>
            <w:vMerge w:val="continue"/>
            <w:vAlign w:val="center"/>
          </w:tcPr>
          <w:p w14:paraId="2E835889">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790" w:type="dxa"/>
            <w:gridSpan w:val="2"/>
            <w:tcMar>
              <w:left w:w="75" w:type="dxa"/>
            </w:tcMar>
            <w:vAlign w:val="center"/>
          </w:tcPr>
          <w:p w14:paraId="7FE85183">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签名、盖章、装订</w:t>
            </w:r>
          </w:p>
        </w:tc>
        <w:tc>
          <w:tcPr>
            <w:tcW w:w="5657" w:type="dxa"/>
            <w:tcMar>
              <w:left w:w="75" w:type="dxa"/>
            </w:tcMar>
            <w:vAlign w:val="center"/>
          </w:tcPr>
          <w:p w14:paraId="0E8C1550">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bCs/>
                <w:kern w:val="0"/>
                <w:szCs w:val="21"/>
              </w:rPr>
            </w:pPr>
            <w:r>
              <w:rPr>
                <w:rFonts w:hint="eastAsia" w:ascii="宋体" w:hAnsi="宋体" w:eastAsia="宋体" w:cs="宋体"/>
                <w:bCs/>
                <w:kern w:val="0"/>
                <w:szCs w:val="21"/>
              </w:rPr>
              <w:t>符合第二章“供应商须知”规定</w:t>
            </w:r>
          </w:p>
        </w:tc>
      </w:tr>
      <w:tr w14:paraId="083D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7" w:type="dxa"/>
            <w:vMerge w:val="continue"/>
            <w:vAlign w:val="center"/>
          </w:tcPr>
          <w:p w14:paraId="5FB17053">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064" w:type="dxa"/>
            <w:vMerge w:val="continue"/>
            <w:vAlign w:val="center"/>
          </w:tcPr>
          <w:p w14:paraId="00065780">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790" w:type="dxa"/>
            <w:gridSpan w:val="2"/>
            <w:tcMar>
              <w:left w:w="75" w:type="dxa"/>
            </w:tcMar>
            <w:vAlign w:val="center"/>
          </w:tcPr>
          <w:p w14:paraId="60CD0151">
            <w:pPr>
              <w:keepNext w:val="0"/>
              <w:keepLines w:val="0"/>
              <w:widowControl/>
              <w:suppressLineNumbers w:val="0"/>
              <w:adjustRightInd w:val="0"/>
              <w:snapToGrid w:val="0"/>
              <w:spacing w:before="0" w:beforeAutospacing="0" w:after="0" w:afterAutospacing="0" w:line="360" w:lineRule="atLeast"/>
              <w:ind w:left="0" w:right="0"/>
              <w:jc w:val="left"/>
              <w:rPr>
                <w:rFonts w:hint="default" w:ascii="宋体" w:hAnsi="宋体" w:eastAsia="宋体" w:cs="宋体"/>
                <w:kern w:val="0"/>
                <w:szCs w:val="21"/>
                <w:highlight w:val="yellow"/>
                <w:lang w:val="en-US" w:eastAsia="zh-CN"/>
              </w:rPr>
            </w:pPr>
            <w:r>
              <w:rPr>
                <w:rFonts w:hint="eastAsia" w:ascii="宋体" w:hAnsi="宋体" w:eastAsia="宋体" w:cs="宋体"/>
                <w:kern w:val="0"/>
                <w:szCs w:val="21"/>
                <w:highlight w:val="yellow"/>
                <w:lang w:val="en-US" w:eastAsia="zh-CN"/>
              </w:rPr>
              <w:t>电子版响应文件</w:t>
            </w:r>
          </w:p>
        </w:tc>
        <w:tc>
          <w:tcPr>
            <w:tcW w:w="5657" w:type="dxa"/>
            <w:tcMar>
              <w:left w:w="75" w:type="dxa"/>
            </w:tcMar>
            <w:vAlign w:val="center"/>
          </w:tcPr>
          <w:p w14:paraId="173F75FB">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bCs/>
                <w:kern w:val="0"/>
                <w:szCs w:val="21"/>
                <w:highlight w:val="yellow"/>
              </w:rPr>
            </w:pPr>
            <w:r>
              <w:rPr>
                <w:rFonts w:hint="eastAsia" w:ascii="宋体" w:hAnsi="宋体" w:eastAsia="宋体" w:cs="宋体"/>
                <w:bCs/>
                <w:kern w:val="0"/>
                <w:szCs w:val="21"/>
                <w:highlight w:val="yellow"/>
              </w:rPr>
              <w:t>放置盖章版的响应文件扫描件（PDF版本）</w:t>
            </w:r>
          </w:p>
        </w:tc>
      </w:tr>
      <w:tr w14:paraId="5400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7" w:type="dxa"/>
            <w:vAlign w:val="center"/>
          </w:tcPr>
          <w:p w14:paraId="24FB4DD4">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r>
              <w:rPr>
                <w:rFonts w:hint="eastAsia" w:ascii="宋体" w:hAnsi="宋体" w:eastAsia="宋体" w:cs="宋体"/>
                <w:kern w:val="0"/>
                <w:szCs w:val="21"/>
              </w:rPr>
              <w:t>2.1.2</w:t>
            </w:r>
          </w:p>
        </w:tc>
        <w:tc>
          <w:tcPr>
            <w:tcW w:w="1064" w:type="dxa"/>
            <w:vAlign w:val="center"/>
          </w:tcPr>
          <w:p w14:paraId="57E58C17">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r>
              <w:rPr>
                <w:rFonts w:hint="eastAsia" w:ascii="宋体" w:hAnsi="宋体" w:eastAsia="宋体" w:cs="宋体"/>
                <w:kern w:val="0"/>
                <w:szCs w:val="21"/>
              </w:rPr>
              <w:t>资格评审标准</w:t>
            </w:r>
          </w:p>
        </w:tc>
        <w:tc>
          <w:tcPr>
            <w:tcW w:w="1790" w:type="dxa"/>
            <w:gridSpan w:val="2"/>
            <w:tcMar>
              <w:left w:w="75" w:type="dxa"/>
            </w:tcMar>
            <w:vAlign w:val="center"/>
          </w:tcPr>
          <w:p w14:paraId="1C3C3289">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资质条件、能力、信誉</w:t>
            </w:r>
          </w:p>
        </w:tc>
        <w:tc>
          <w:tcPr>
            <w:tcW w:w="5657" w:type="dxa"/>
            <w:tcMar>
              <w:left w:w="75" w:type="dxa"/>
            </w:tcMar>
            <w:vAlign w:val="center"/>
          </w:tcPr>
          <w:p w14:paraId="4C6B85FD">
            <w:pPr>
              <w:keepNext w:val="0"/>
              <w:keepLines w:val="0"/>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符合第二章“供应商须知”规定</w:t>
            </w:r>
          </w:p>
        </w:tc>
      </w:tr>
      <w:tr w14:paraId="4CBA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7" w:type="dxa"/>
            <w:vMerge w:val="restart"/>
            <w:vAlign w:val="center"/>
          </w:tcPr>
          <w:p w14:paraId="231A5090">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r>
              <w:rPr>
                <w:rFonts w:hint="eastAsia" w:ascii="宋体" w:hAnsi="宋体" w:eastAsia="宋体" w:cs="宋体"/>
                <w:kern w:val="0"/>
                <w:szCs w:val="21"/>
              </w:rPr>
              <w:t>2.1.3</w:t>
            </w:r>
          </w:p>
        </w:tc>
        <w:tc>
          <w:tcPr>
            <w:tcW w:w="1064" w:type="dxa"/>
            <w:vMerge w:val="restart"/>
            <w:vAlign w:val="center"/>
          </w:tcPr>
          <w:p w14:paraId="43915671">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r>
              <w:rPr>
                <w:rFonts w:hint="eastAsia" w:ascii="宋体" w:hAnsi="宋体" w:eastAsia="宋体" w:cs="宋体"/>
                <w:kern w:val="0"/>
                <w:szCs w:val="21"/>
              </w:rPr>
              <w:t>响应性评审标准</w:t>
            </w:r>
          </w:p>
        </w:tc>
        <w:tc>
          <w:tcPr>
            <w:tcW w:w="1790" w:type="dxa"/>
            <w:gridSpan w:val="2"/>
            <w:tcMar>
              <w:left w:w="75" w:type="dxa"/>
            </w:tcMar>
            <w:vAlign w:val="center"/>
          </w:tcPr>
          <w:p w14:paraId="39ADF462">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投标内容</w:t>
            </w:r>
          </w:p>
        </w:tc>
        <w:tc>
          <w:tcPr>
            <w:tcW w:w="5657" w:type="dxa"/>
            <w:tcMar>
              <w:left w:w="75" w:type="dxa"/>
            </w:tcMar>
            <w:vAlign w:val="center"/>
          </w:tcPr>
          <w:p w14:paraId="61852A71">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szCs w:val="21"/>
              </w:rPr>
              <w:t>符合第一章“采购公告”规定</w:t>
            </w:r>
          </w:p>
        </w:tc>
      </w:tr>
      <w:tr w14:paraId="5337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7" w:type="dxa"/>
            <w:vMerge w:val="continue"/>
            <w:vAlign w:val="center"/>
          </w:tcPr>
          <w:p w14:paraId="1B401BF9">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064" w:type="dxa"/>
            <w:vMerge w:val="continue"/>
            <w:vAlign w:val="center"/>
          </w:tcPr>
          <w:p w14:paraId="057DDEB3">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790" w:type="dxa"/>
            <w:gridSpan w:val="2"/>
            <w:tcMar>
              <w:left w:w="75" w:type="dxa"/>
            </w:tcMar>
            <w:vAlign w:val="center"/>
          </w:tcPr>
          <w:p w14:paraId="48D53831">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交货期</w:t>
            </w:r>
          </w:p>
        </w:tc>
        <w:tc>
          <w:tcPr>
            <w:tcW w:w="5657" w:type="dxa"/>
            <w:tcMar>
              <w:left w:w="75" w:type="dxa"/>
            </w:tcMar>
            <w:vAlign w:val="center"/>
          </w:tcPr>
          <w:p w14:paraId="36D98E5C">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szCs w:val="21"/>
              </w:rPr>
              <w:t>符合第一章“采购公告”规定</w:t>
            </w:r>
          </w:p>
        </w:tc>
      </w:tr>
      <w:tr w14:paraId="4336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7" w:type="dxa"/>
            <w:vMerge w:val="continue"/>
            <w:vAlign w:val="center"/>
          </w:tcPr>
          <w:p w14:paraId="09EFC1C1">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064" w:type="dxa"/>
            <w:vMerge w:val="continue"/>
            <w:vAlign w:val="center"/>
          </w:tcPr>
          <w:p w14:paraId="4DE8C894">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790" w:type="dxa"/>
            <w:gridSpan w:val="2"/>
            <w:tcMar>
              <w:left w:w="75" w:type="dxa"/>
            </w:tcMar>
            <w:vAlign w:val="center"/>
          </w:tcPr>
          <w:p w14:paraId="7663A9D5">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质量要求</w:t>
            </w:r>
          </w:p>
        </w:tc>
        <w:tc>
          <w:tcPr>
            <w:tcW w:w="5657" w:type="dxa"/>
            <w:tcMar>
              <w:left w:w="75" w:type="dxa"/>
            </w:tcMar>
            <w:vAlign w:val="center"/>
          </w:tcPr>
          <w:p w14:paraId="687748F0">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符合第二章“供应商须知”规定</w:t>
            </w:r>
          </w:p>
        </w:tc>
      </w:tr>
      <w:tr w14:paraId="287D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7" w:type="dxa"/>
            <w:vMerge w:val="continue"/>
            <w:vAlign w:val="center"/>
          </w:tcPr>
          <w:p w14:paraId="0A2081E4">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064" w:type="dxa"/>
            <w:vMerge w:val="continue"/>
            <w:vAlign w:val="center"/>
          </w:tcPr>
          <w:p w14:paraId="1C23ABB9">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790" w:type="dxa"/>
            <w:gridSpan w:val="2"/>
            <w:tcMar>
              <w:left w:w="75" w:type="dxa"/>
            </w:tcMar>
            <w:vAlign w:val="center"/>
          </w:tcPr>
          <w:p w14:paraId="1F7F8BE9">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响应有效期</w:t>
            </w:r>
          </w:p>
        </w:tc>
        <w:tc>
          <w:tcPr>
            <w:tcW w:w="5657" w:type="dxa"/>
            <w:tcMar>
              <w:left w:w="75" w:type="dxa"/>
            </w:tcMar>
            <w:vAlign w:val="center"/>
          </w:tcPr>
          <w:p w14:paraId="7B2729DB">
            <w:pPr>
              <w:keepNext w:val="0"/>
              <w:keepLines w:val="0"/>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符合第二章“供应商须知”规定</w:t>
            </w:r>
          </w:p>
        </w:tc>
      </w:tr>
      <w:tr w14:paraId="67C0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7" w:type="dxa"/>
            <w:vMerge w:val="continue"/>
            <w:vAlign w:val="center"/>
          </w:tcPr>
          <w:p w14:paraId="77ED9EA0">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064" w:type="dxa"/>
            <w:vMerge w:val="continue"/>
            <w:vAlign w:val="center"/>
          </w:tcPr>
          <w:p w14:paraId="71EB47AC">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790" w:type="dxa"/>
            <w:gridSpan w:val="2"/>
            <w:tcMar>
              <w:left w:w="75" w:type="dxa"/>
            </w:tcMar>
            <w:vAlign w:val="center"/>
          </w:tcPr>
          <w:p w14:paraId="6A2992E2">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响应保证金</w:t>
            </w:r>
          </w:p>
        </w:tc>
        <w:tc>
          <w:tcPr>
            <w:tcW w:w="5657" w:type="dxa"/>
            <w:tcMar>
              <w:left w:w="75" w:type="dxa"/>
            </w:tcMar>
            <w:vAlign w:val="center"/>
          </w:tcPr>
          <w:p w14:paraId="57F4DC9D">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szCs w:val="21"/>
              </w:rPr>
              <w:t>符合第一章“采购公告”规定</w:t>
            </w:r>
          </w:p>
        </w:tc>
      </w:tr>
      <w:tr w14:paraId="175E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7" w:type="dxa"/>
            <w:vMerge w:val="continue"/>
            <w:vAlign w:val="center"/>
          </w:tcPr>
          <w:p w14:paraId="59EA012C">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064" w:type="dxa"/>
            <w:vMerge w:val="continue"/>
            <w:vAlign w:val="center"/>
          </w:tcPr>
          <w:p w14:paraId="013BD57F">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790" w:type="dxa"/>
            <w:gridSpan w:val="2"/>
            <w:tcBorders>
              <w:top w:val="single" w:color="auto" w:sz="4" w:space="0"/>
              <w:left w:val="single" w:color="auto" w:sz="4" w:space="0"/>
              <w:right w:val="single" w:color="auto" w:sz="4" w:space="0"/>
            </w:tcBorders>
            <w:tcMar>
              <w:left w:w="75" w:type="dxa"/>
            </w:tcMar>
            <w:vAlign w:val="center"/>
          </w:tcPr>
          <w:p w14:paraId="6F7A1AD0">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bCs/>
                <w:kern w:val="0"/>
                <w:szCs w:val="21"/>
              </w:rPr>
            </w:pPr>
            <w:r>
              <w:rPr>
                <w:rFonts w:hint="eastAsia" w:ascii="宋体" w:hAnsi="宋体" w:eastAsia="宋体" w:cs="宋体"/>
                <w:bCs/>
                <w:kern w:val="0"/>
                <w:szCs w:val="21"/>
              </w:rPr>
              <w:t>联合体</w:t>
            </w:r>
          </w:p>
        </w:tc>
        <w:tc>
          <w:tcPr>
            <w:tcW w:w="5657" w:type="dxa"/>
            <w:tcBorders>
              <w:top w:val="outset" w:color="auto" w:sz="6" w:space="0"/>
              <w:left w:val="single" w:color="auto" w:sz="4" w:space="0"/>
              <w:right w:val="outset" w:color="auto" w:sz="6" w:space="0"/>
            </w:tcBorders>
            <w:tcMar>
              <w:left w:w="75" w:type="dxa"/>
            </w:tcMar>
            <w:vAlign w:val="center"/>
          </w:tcPr>
          <w:p w14:paraId="3A6387D0">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未以联合体形式报价</w:t>
            </w:r>
          </w:p>
        </w:tc>
      </w:tr>
      <w:tr w14:paraId="2555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7" w:type="dxa"/>
            <w:vMerge w:val="continue"/>
            <w:vAlign w:val="center"/>
          </w:tcPr>
          <w:p w14:paraId="0DE499E3">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064" w:type="dxa"/>
            <w:vMerge w:val="continue"/>
            <w:vAlign w:val="center"/>
          </w:tcPr>
          <w:p w14:paraId="15F0582F">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790" w:type="dxa"/>
            <w:gridSpan w:val="2"/>
            <w:tcBorders>
              <w:top w:val="single" w:color="auto" w:sz="4" w:space="0"/>
              <w:left w:val="single" w:color="auto" w:sz="4" w:space="0"/>
              <w:right w:val="single" w:color="auto" w:sz="4" w:space="0"/>
            </w:tcBorders>
            <w:tcMar>
              <w:left w:w="75" w:type="dxa"/>
            </w:tcMar>
            <w:vAlign w:val="center"/>
          </w:tcPr>
          <w:p w14:paraId="4073B7D3">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bCs/>
                <w:kern w:val="0"/>
                <w:szCs w:val="21"/>
              </w:rPr>
              <w:t>分包</w:t>
            </w:r>
          </w:p>
        </w:tc>
        <w:tc>
          <w:tcPr>
            <w:tcW w:w="5657" w:type="dxa"/>
            <w:tcBorders>
              <w:top w:val="outset" w:color="auto" w:sz="6" w:space="0"/>
              <w:left w:val="single" w:color="auto" w:sz="4" w:space="0"/>
              <w:right w:val="outset" w:color="auto" w:sz="6" w:space="0"/>
            </w:tcBorders>
            <w:tcMar>
              <w:left w:w="75" w:type="dxa"/>
            </w:tcMar>
            <w:vAlign w:val="center"/>
          </w:tcPr>
          <w:p w14:paraId="325FEEB2">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没有分包</w:t>
            </w:r>
          </w:p>
        </w:tc>
      </w:tr>
      <w:tr w14:paraId="7218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7" w:type="dxa"/>
            <w:vMerge w:val="continue"/>
            <w:vAlign w:val="center"/>
          </w:tcPr>
          <w:p w14:paraId="495647CD">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064" w:type="dxa"/>
            <w:vMerge w:val="continue"/>
            <w:vAlign w:val="center"/>
          </w:tcPr>
          <w:p w14:paraId="0E0D6016">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790" w:type="dxa"/>
            <w:gridSpan w:val="2"/>
            <w:tcBorders>
              <w:top w:val="single" w:color="auto" w:sz="4" w:space="0"/>
              <w:left w:val="single" w:color="auto" w:sz="4" w:space="0"/>
              <w:right w:val="single" w:color="auto" w:sz="4" w:space="0"/>
            </w:tcBorders>
            <w:tcMar>
              <w:left w:w="75" w:type="dxa"/>
            </w:tcMar>
            <w:vAlign w:val="center"/>
          </w:tcPr>
          <w:p w14:paraId="322BF2F3">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bCs/>
                <w:kern w:val="0"/>
                <w:szCs w:val="21"/>
              </w:rPr>
            </w:pPr>
            <w:r>
              <w:rPr>
                <w:rFonts w:hint="eastAsia" w:ascii="宋体" w:hAnsi="宋体" w:eastAsia="宋体" w:cs="宋体"/>
                <w:kern w:val="0"/>
                <w:szCs w:val="21"/>
              </w:rPr>
              <w:t>报价</w:t>
            </w:r>
          </w:p>
        </w:tc>
        <w:tc>
          <w:tcPr>
            <w:tcW w:w="5657" w:type="dxa"/>
            <w:tcBorders>
              <w:top w:val="outset" w:color="auto" w:sz="6" w:space="0"/>
              <w:left w:val="single" w:color="auto" w:sz="4" w:space="0"/>
              <w:right w:val="outset" w:color="auto" w:sz="6" w:space="0"/>
            </w:tcBorders>
            <w:tcMar>
              <w:left w:w="75" w:type="dxa"/>
            </w:tcMar>
            <w:vAlign w:val="center"/>
          </w:tcPr>
          <w:p w14:paraId="5B142EA4">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szCs w:val="21"/>
              </w:rPr>
            </w:pPr>
            <w:r>
              <w:rPr>
                <w:rFonts w:hint="eastAsia" w:ascii="宋体" w:hAnsi="宋体" w:eastAsia="宋体" w:cs="宋体"/>
                <w:szCs w:val="21"/>
              </w:rPr>
              <w:t>（1）报价未超过询比文件设定的最高限价。</w:t>
            </w:r>
          </w:p>
          <w:p w14:paraId="304E25AB">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szCs w:val="21"/>
              </w:rPr>
            </w:pPr>
            <w:r>
              <w:rPr>
                <w:rFonts w:hint="eastAsia" w:ascii="宋体" w:hAnsi="宋体" w:eastAsia="宋体" w:cs="宋体"/>
                <w:szCs w:val="21"/>
              </w:rPr>
              <w:t>（2）已标价的报价清单总报价和报价函的报价一致（四舍五入除外）。</w:t>
            </w:r>
          </w:p>
          <w:p w14:paraId="4107CDAA">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szCs w:val="21"/>
              </w:rPr>
            </w:pPr>
            <w:r>
              <w:rPr>
                <w:rFonts w:hint="eastAsia" w:ascii="宋体" w:hAnsi="宋体" w:eastAsia="宋体" w:cs="宋体"/>
                <w:szCs w:val="21"/>
              </w:rPr>
              <w:t>（3）报价的大写数值能确定具体数值，未出现数量级错误、报价金额单位错误。</w:t>
            </w:r>
          </w:p>
          <w:p w14:paraId="6369C39B">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szCs w:val="21"/>
              </w:rPr>
            </w:pPr>
            <w:r>
              <w:rPr>
                <w:rFonts w:hint="eastAsia" w:ascii="宋体" w:hAnsi="宋体" w:eastAsia="宋体" w:cs="宋体"/>
                <w:szCs w:val="21"/>
              </w:rPr>
              <w:t>（4）同一供应商未递交两个以上不同的报价。</w:t>
            </w:r>
          </w:p>
          <w:p w14:paraId="6B81EAC5">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szCs w:val="21"/>
              </w:rPr>
            </w:pPr>
            <w:r>
              <w:rPr>
                <w:rFonts w:hint="eastAsia" w:ascii="宋体" w:hAnsi="宋体" w:eastAsia="宋体" w:cs="宋体"/>
                <w:szCs w:val="21"/>
              </w:rPr>
              <w:t>（5）供应商按采购人提供的书面报价清单填写了报价，且未修改报价清单说明、数量等实质性内容。</w:t>
            </w:r>
          </w:p>
        </w:tc>
      </w:tr>
      <w:tr w14:paraId="4FD5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7" w:type="dxa"/>
            <w:vMerge w:val="continue"/>
            <w:vAlign w:val="center"/>
          </w:tcPr>
          <w:p w14:paraId="316B2A55">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064" w:type="dxa"/>
            <w:vMerge w:val="continue"/>
            <w:vAlign w:val="center"/>
          </w:tcPr>
          <w:p w14:paraId="7743D245">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eastAsia="宋体" w:cs="宋体"/>
                <w:kern w:val="0"/>
                <w:szCs w:val="21"/>
              </w:rPr>
            </w:pPr>
          </w:p>
        </w:tc>
        <w:tc>
          <w:tcPr>
            <w:tcW w:w="1790" w:type="dxa"/>
            <w:gridSpan w:val="2"/>
            <w:tcMar>
              <w:left w:w="75" w:type="dxa"/>
            </w:tcMar>
            <w:vAlign w:val="center"/>
          </w:tcPr>
          <w:p w14:paraId="7FE6A7A2">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其他实质性要求</w:t>
            </w:r>
          </w:p>
        </w:tc>
        <w:tc>
          <w:tcPr>
            <w:tcW w:w="5657" w:type="dxa"/>
            <w:tcMar>
              <w:left w:w="75" w:type="dxa"/>
            </w:tcMar>
            <w:vAlign w:val="center"/>
          </w:tcPr>
          <w:p w14:paraId="4EB9FABF">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kern w:val="0"/>
                <w:szCs w:val="21"/>
              </w:rPr>
              <w:t>符合询比文件的其他实质性要求和条件。</w:t>
            </w:r>
          </w:p>
        </w:tc>
      </w:tr>
      <w:tr w14:paraId="3B4E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5"/>
            <w:vAlign w:val="center"/>
          </w:tcPr>
          <w:p w14:paraId="43E4CB0E">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kern w:val="0"/>
                <w:szCs w:val="21"/>
              </w:rPr>
            </w:pPr>
            <w:r>
              <w:rPr>
                <w:rFonts w:hint="eastAsia" w:ascii="宋体" w:hAnsi="宋体" w:eastAsia="宋体" w:cs="宋体"/>
                <w:b/>
                <w:bCs/>
                <w:szCs w:val="21"/>
              </w:rPr>
              <w:t>响应文件不符合以上条件之一的，对该响应文件作否决其响应处理。</w:t>
            </w:r>
          </w:p>
        </w:tc>
      </w:tr>
    </w:tbl>
    <w:p w14:paraId="30DDEF28">
      <w:pPr>
        <w:adjustRightInd w:val="0"/>
        <w:snapToGrid w:val="0"/>
        <w:spacing w:line="360" w:lineRule="auto"/>
        <w:textAlignment w:val="baseline"/>
        <w:rPr>
          <w:rFonts w:hint="eastAsia" w:ascii="宋体" w:hAnsi="宋体" w:eastAsia="宋体" w:cs="宋体"/>
          <w:color w:val="auto"/>
          <w:sz w:val="21"/>
          <w:szCs w:val="21"/>
          <w:highlight w:val="none"/>
        </w:rPr>
      </w:pPr>
    </w:p>
    <w:p w14:paraId="2936A21B">
      <w:pPr>
        <w:pStyle w:val="37"/>
        <w:numPr>
          <w:ilvl w:val="0"/>
          <w:numId w:val="0"/>
        </w:numPr>
        <w:spacing w:before="0"/>
        <w:outlineLvl w:val="9"/>
        <w:rPr>
          <w:rFonts w:hint="eastAsia" w:ascii="宋体" w:hAnsi="宋体" w:eastAsia="宋体" w:cs="宋体"/>
          <w:b/>
          <w:bCs/>
          <w:color w:val="auto"/>
          <w:szCs w:val="28"/>
          <w:highlight w:val="none"/>
        </w:rPr>
      </w:pPr>
    </w:p>
    <w:tbl>
      <w:tblPr>
        <w:tblStyle w:val="21"/>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6DB16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667" w:type="dxa"/>
            <w:gridSpan w:val="2"/>
            <w:tcBorders>
              <w:top w:val="single" w:color="auto" w:sz="4" w:space="0"/>
              <w:bottom w:val="single" w:color="auto" w:sz="4" w:space="0"/>
              <w:right w:val="single" w:color="auto" w:sz="4" w:space="0"/>
            </w:tcBorders>
            <w:vAlign w:val="center"/>
          </w:tcPr>
          <w:p w14:paraId="67BA606F">
            <w:pPr>
              <w:keepNext w:val="0"/>
              <w:keepLines w:val="0"/>
              <w:suppressLineNumbers w:val="0"/>
              <w:spacing w:before="0" w:beforeAutospacing="0" w:after="0" w:afterAutospacing="0" w:line="360" w:lineRule="atLeast"/>
              <w:ind w:left="0" w:right="0"/>
              <w:jc w:val="center"/>
              <w:rPr>
                <w:rFonts w:hint="default" w:ascii="Times New Roman" w:hAnsi="Times New Roman" w:cs="Times New Roman"/>
                <w:b/>
                <w:szCs w:val="21"/>
              </w:rPr>
            </w:pPr>
            <w:r>
              <w:rPr>
                <w:rFonts w:hint="default" w:ascii="Times New Roman" w:hAnsi="Times New Roman" w:cs="Times New Roman"/>
                <w:b/>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14:paraId="741275C9">
            <w:pPr>
              <w:keepNext w:val="0"/>
              <w:keepLines w:val="0"/>
              <w:suppressLineNumbers w:val="0"/>
              <w:spacing w:before="0" w:beforeAutospacing="0" w:after="0" w:afterAutospacing="0" w:line="360" w:lineRule="atLeast"/>
              <w:ind w:left="0" w:right="0"/>
              <w:jc w:val="center"/>
              <w:rPr>
                <w:rFonts w:hint="default" w:ascii="Times New Roman" w:hAnsi="Times New Roman" w:cs="Times New Roman"/>
                <w:b/>
                <w:szCs w:val="21"/>
              </w:rPr>
            </w:pPr>
            <w:r>
              <w:rPr>
                <w:rFonts w:hint="default" w:ascii="Times New Roman" w:hAnsi="Times New Roman" w:cs="Times New Roman"/>
                <w:b/>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14:paraId="033D9CB4">
            <w:pPr>
              <w:keepNext w:val="0"/>
              <w:keepLines w:val="0"/>
              <w:suppressLineNumbers w:val="0"/>
              <w:spacing w:before="0" w:beforeAutospacing="0" w:after="0" w:afterAutospacing="0" w:line="360" w:lineRule="atLeast"/>
              <w:ind w:left="0" w:right="0"/>
              <w:jc w:val="center"/>
              <w:rPr>
                <w:rFonts w:hint="default" w:ascii="Times New Roman" w:hAnsi="Times New Roman" w:cs="Times New Roman"/>
                <w:b/>
                <w:szCs w:val="21"/>
              </w:rPr>
            </w:pPr>
            <w:r>
              <w:rPr>
                <w:rFonts w:hint="default" w:ascii="Times New Roman" w:hAnsi="Times New Roman" w:cs="Times New Roman"/>
                <w:b/>
                <w:szCs w:val="21"/>
              </w:rPr>
              <w:t>量化标准</w:t>
            </w:r>
          </w:p>
        </w:tc>
      </w:tr>
      <w:tr w14:paraId="17A43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bottom w:val="single" w:color="auto" w:sz="4" w:space="0"/>
              <w:right w:val="single" w:color="auto" w:sz="4" w:space="0"/>
            </w:tcBorders>
            <w:vAlign w:val="center"/>
          </w:tcPr>
          <w:p w14:paraId="491AFDC5">
            <w:pPr>
              <w:keepNext w:val="0"/>
              <w:keepLines w:val="0"/>
              <w:suppressLineNumbers w:val="0"/>
              <w:spacing w:before="0" w:beforeAutospacing="0" w:after="0" w:afterAutospacing="0" w:line="360" w:lineRule="atLeast"/>
              <w:ind w:left="0" w:right="0"/>
              <w:jc w:val="center"/>
              <w:rPr>
                <w:rFonts w:hint="default" w:ascii="Times New Roman" w:hAnsi="Times New Roman" w:cs="Times New Roman"/>
                <w:b/>
                <w:szCs w:val="21"/>
              </w:rPr>
            </w:pPr>
            <w:r>
              <w:rPr>
                <w:rFonts w:hint="default" w:ascii="Times New Roman" w:hAnsi="Times New Roman" w:cs="Times New Roman"/>
                <w:szCs w:val="21"/>
              </w:rPr>
              <w:t>2.2</w:t>
            </w:r>
          </w:p>
        </w:tc>
        <w:tc>
          <w:tcPr>
            <w:tcW w:w="1605" w:type="dxa"/>
            <w:tcBorders>
              <w:top w:val="single" w:color="auto" w:sz="4" w:space="0"/>
              <w:bottom w:val="single" w:color="auto" w:sz="4" w:space="0"/>
              <w:right w:val="single" w:color="auto" w:sz="4" w:space="0"/>
            </w:tcBorders>
            <w:vAlign w:val="center"/>
          </w:tcPr>
          <w:p w14:paraId="2B864243">
            <w:pPr>
              <w:keepNext w:val="0"/>
              <w:keepLines w:val="0"/>
              <w:suppressLineNumbers w:val="0"/>
              <w:spacing w:before="0" w:beforeAutospacing="0" w:after="0" w:afterAutospacing="0" w:line="360" w:lineRule="atLeast"/>
              <w:ind w:left="0" w:right="0"/>
              <w:jc w:val="center"/>
              <w:rPr>
                <w:rFonts w:hint="default" w:ascii="Times New Roman" w:hAnsi="Times New Roman" w:cs="Times New Roman"/>
                <w:szCs w:val="21"/>
              </w:rPr>
            </w:pPr>
            <w:r>
              <w:rPr>
                <w:rFonts w:hint="default" w:ascii="Times New Roman" w:hAnsi="Times New Roman" w:cs="Times New Roman"/>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14:paraId="58A8DA0E">
            <w:pPr>
              <w:keepNext w:val="0"/>
              <w:keepLines w:val="0"/>
              <w:suppressLineNumbers w:val="0"/>
              <w:spacing w:before="0" w:beforeAutospacing="0" w:after="0" w:afterAutospacing="0" w:line="360" w:lineRule="atLeast"/>
              <w:ind w:left="0" w:right="0"/>
              <w:jc w:val="center"/>
              <w:rPr>
                <w:rFonts w:hint="default" w:ascii="Times New Roman" w:hAnsi="Times New Roman" w:cs="Times New Roman"/>
                <w:szCs w:val="21"/>
              </w:rPr>
            </w:pPr>
            <w:r>
              <w:rPr>
                <w:rFonts w:hint="default" w:ascii="Times New Roman" w:hAnsi="Times New Roman" w:cs="Times New Roman"/>
                <w:szCs w:val="21"/>
              </w:rPr>
              <w:t>评审价计算</w:t>
            </w:r>
          </w:p>
        </w:tc>
        <w:tc>
          <w:tcPr>
            <w:tcW w:w="5299" w:type="dxa"/>
            <w:tcBorders>
              <w:top w:val="single" w:color="auto" w:sz="4" w:space="0"/>
              <w:left w:val="single" w:color="auto" w:sz="4" w:space="0"/>
              <w:bottom w:val="single" w:color="auto" w:sz="4" w:space="0"/>
              <w:right w:val="single" w:color="auto" w:sz="4" w:space="0"/>
            </w:tcBorders>
          </w:tcPr>
          <w:p w14:paraId="60C2437E">
            <w:pPr>
              <w:keepNext w:val="0"/>
              <w:keepLines w:val="0"/>
              <w:suppressLineNumbers w:val="0"/>
              <w:spacing w:before="0" w:beforeAutospacing="0" w:after="0" w:afterAutospacing="0" w:line="360" w:lineRule="auto"/>
              <w:ind w:left="0" w:right="0"/>
              <w:rPr>
                <w:rFonts w:hint="default" w:ascii="Times New Roman" w:hAnsi="Times New Roman" w:eastAsia="仿宋_GB2312" w:cs="Times New Roman"/>
                <w:sz w:val="32"/>
                <w:szCs w:val="32"/>
              </w:rPr>
            </w:pPr>
            <w:r>
              <w:rPr>
                <w:rFonts w:hint="default" w:ascii="Times New Roman" w:hAnsi="Times New Roman" w:cs="Times New Roman"/>
                <w:kern w:val="0"/>
                <w:szCs w:val="21"/>
              </w:rPr>
              <w:t>评审价＝</w:t>
            </w:r>
            <w:r>
              <w:rPr>
                <w:rFonts w:hint="eastAsia" w:ascii="Times New Roman" w:hAnsi="Times New Roman" w:cs="Times New Roman"/>
                <w:kern w:val="0"/>
                <w:szCs w:val="21"/>
              </w:rPr>
              <w:t>修正后的报价</w:t>
            </w:r>
          </w:p>
        </w:tc>
      </w:tr>
      <w:tr w14:paraId="3FBDF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bottom w:val="single" w:color="auto" w:sz="4" w:space="0"/>
              <w:right w:val="single" w:color="auto" w:sz="4" w:space="0"/>
            </w:tcBorders>
            <w:vAlign w:val="center"/>
          </w:tcPr>
          <w:p w14:paraId="11924759">
            <w:pPr>
              <w:keepNext w:val="0"/>
              <w:keepLines w:val="0"/>
              <w:suppressLineNumbers w:val="0"/>
              <w:spacing w:before="0" w:beforeAutospacing="0" w:after="0" w:afterAutospacing="0" w:line="360" w:lineRule="atLeast"/>
              <w:ind w:left="0" w:right="0"/>
              <w:rPr>
                <w:rFonts w:hint="default" w:ascii="Times New Roman" w:hAnsi="Times New Roman" w:cs="Times New Roman"/>
                <w:szCs w:val="21"/>
              </w:rPr>
            </w:pPr>
            <w:r>
              <w:rPr>
                <w:rFonts w:hint="default" w:ascii="Times New Roman" w:hAnsi="Times New Roman" w:cs="Times New Roman"/>
                <w:szCs w:val="21"/>
              </w:rPr>
              <w:t>需要补充的其他内容：</w:t>
            </w:r>
          </w:p>
          <w:p w14:paraId="33C7EEF5">
            <w:pPr>
              <w:keepNext w:val="0"/>
              <w:keepLines w:val="0"/>
              <w:suppressLineNumbers w:val="0"/>
              <w:spacing w:before="50" w:beforeAutospacing="0" w:after="50" w:afterAutospacing="0" w:line="360" w:lineRule="auto"/>
              <w:ind w:left="0" w:right="0" w:firstLine="420" w:firstLineChars="200"/>
              <w:rPr>
                <w:rFonts w:hint="eastAsia" w:ascii="宋体" w:hAnsi="宋体" w:eastAsia="宋体" w:cs="宋体"/>
                <w:szCs w:val="21"/>
              </w:rPr>
            </w:pPr>
            <w:r>
              <w:rPr>
                <w:rFonts w:hint="eastAsia" w:ascii="宋体" w:hAnsi="宋体" w:eastAsia="宋体" w:cs="宋体"/>
                <w:szCs w:val="21"/>
              </w:rPr>
              <w:t>一、合作单位的选择及成交原则</w:t>
            </w:r>
          </w:p>
          <w:p w14:paraId="18270DBD">
            <w:pPr>
              <w:keepNext w:val="0"/>
              <w:keepLines w:val="0"/>
              <w:suppressLineNumbers w:val="0"/>
              <w:spacing w:before="50" w:beforeAutospacing="0" w:after="50" w:afterAutospacing="0" w:line="240" w:lineRule="auto"/>
              <w:ind w:left="0" w:right="0" w:firstLine="420" w:firstLineChars="200"/>
              <w:rPr>
                <w:rFonts w:hint="eastAsia" w:ascii="宋体" w:hAnsi="宋体" w:eastAsia="宋体" w:cs="宋体"/>
                <w:szCs w:val="21"/>
              </w:rPr>
            </w:pPr>
            <w:r>
              <w:rPr>
                <w:rFonts w:hint="eastAsia" w:ascii="宋体" w:hAnsi="宋体" w:eastAsia="宋体" w:cs="宋体"/>
                <w:szCs w:val="21"/>
              </w:rPr>
              <w:t>1、本次采购活动将采用</w:t>
            </w:r>
            <w:r>
              <w:rPr>
                <w:rFonts w:hint="eastAsia" w:ascii="宋体" w:hAnsi="宋体" w:eastAsia="宋体" w:cs="宋体"/>
                <w:b/>
                <w:bCs/>
                <w:szCs w:val="21"/>
              </w:rPr>
              <w:t>最低价法</w:t>
            </w:r>
            <w:r>
              <w:rPr>
                <w:rFonts w:hint="eastAsia" w:ascii="宋体" w:hAnsi="宋体" w:eastAsia="宋体" w:cs="宋体"/>
                <w:szCs w:val="21"/>
              </w:rPr>
              <w:t>进行评审。</w:t>
            </w:r>
          </w:p>
          <w:p w14:paraId="2D46D23E">
            <w:pPr>
              <w:keepNext w:val="0"/>
              <w:keepLines w:val="0"/>
              <w:suppressLineNumbers w:val="0"/>
              <w:spacing w:before="50" w:beforeAutospacing="0" w:after="50" w:afterAutospacing="0" w:line="240" w:lineRule="auto"/>
              <w:ind w:left="0" w:right="0" w:firstLine="422" w:firstLineChars="200"/>
              <w:rPr>
                <w:rFonts w:hint="eastAsia" w:ascii="宋体" w:hAnsi="宋体" w:eastAsia="宋体" w:cs="宋体"/>
                <w:szCs w:val="21"/>
              </w:rPr>
            </w:pPr>
            <w:r>
              <w:rPr>
                <w:rFonts w:hint="eastAsia" w:ascii="宋体" w:hAnsi="宋体" w:eastAsia="宋体" w:cs="宋体"/>
                <w:b/>
                <w:bCs/>
                <w:szCs w:val="21"/>
              </w:rPr>
              <w:t>最低价法</w:t>
            </w:r>
            <w:r>
              <w:rPr>
                <w:rFonts w:hint="eastAsia" w:ascii="宋体" w:hAnsi="宋体" w:eastAsia="宋体" w:cs="宋体"/>
                <w:szCs w:val="21"/>
              </w:rPr>
              <w:t>：以价格为主要因素确定成交人，即在全部满足前附表要求（资格评审和响应性评审）前提下，根据各家报价由低到高的顺序，依次推荐三名中标候选人。</w:t>
            </w:r>
          </w:p>
          <w:p w14:paraId="10FC7269">
            <w:pPr>
              <w:keepNext w:val="0"/>
              <w:keepLines w:val="0"/>
              <w:numPr>
                <w:ilvl w:val="0"/>
                <w:numId w:val="3"/>
              </w:numPr>
              <w:suppressLineNumbers w:val="0"/>
              <w:spacing w:before="50" w:beforeAutospacing="0" w:after="50" w:afterAutospacing="0" w:line="240" w:lineRule="auto"/>
              <w:ind w:left="0" w:right="0" w:firstLine="420" w:firstLineChars="200"/>
              <w:rPr>
                <w:rFonts w:hint="default" w:ascii="Times New Roman" w:hAnsi="Times New Roman" w:cs="Times New Roman"/>
                <w:szCs w:val="21"/>
                <w:highlight w:val="none"/>
              </w:rPr>
            </w:pPr>
            <w:r>
              <w:rPr>
                <w:rFonts w:hint="eastAsia" w:ascii="宋体" w:hAnsi="宋体" w:eastAsia="宋体" w:cs="宋体"/>
                <w:szCs w:val="21"/>
                <w:highlight w:val="none"/>
              </w:rPr>
              <w:t>评审委员会应按照组合价最低原则确定成交人。</w:t>
            </w:r>
          </w:p>
          <w:p w14:paraId="18645EFF">
            <w:pPr>
              <w:keepNext w:val="0"/>
              <w:keepLines w:val="0"/>
              <w:widowControl/>
              <w:suppressLineNumbers w:val="0"/>
              <w:spacing w:before="0" w:beforeAutospacing="0" w:after="0" w:afterAutospacing="0"/>
              <w:ind w:left="0" w:right="0" w:firstLine="440" w:firstLineChars="20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val="en-US" w:eastAsia="zh-CN" w:bidi="ar"/>
              </w:rPr>
              <w:t>3、</w:t>
            </w:r>
            <w:r>
              <w:rPr>
                <w:rFonts w:hint="eastAsia" w:ascii="宋体" w:hAnsi="宋体" w:cs="宋体"/>
                <w:b/>
                <w:color w:val="000000"/>
                <w:kern w:val="0"/>
                <w:sz w:val="22"/>
                <w:szCs w:val="22"/>
                <w:highlight w:val="none"/>
                <w:lang w:bidi="ar"/>
              </w:rPr>
              <w:t>异常低价评审</w:t>
            </w:r>
            <w:r>
              <w:rPr>
                <w:rFonts w:hint="eastAsia" w:ascii="宋体" w:hAnsi="宋体" w:cs="宋体"/>
                <w:color w:val="000000"/>
                <w:kern w:val="0"/>
                <w:sz w:val="22"/>
                <w:szCs w:val="22"/>
                <w:highlight w:val="none"/>
                <w:lang w:bidi="ar"/>
              </w:rPr>
              <w:t xml:space="preserve">： </w:t>
            </w:r>
          </w:p>
          <w:p w14:paraId="3C904D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440" w:firstLineChars="200"/>
              <w:jc w:val="both"/>
              <w:textAlignment w:val="auto"/>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bidi="ar"/>
              </w:rPr>
              <w:t xml:space="preserve">如投标人的评标价低于评标价平均值的90%时，采购人可以在评标现场要求该投标人作出情况说明并提供相应降低工程造价的相关证明材料，参照附表1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 </w:t>
            </w:r>
          </w:p>
          <w:p w14:paraId="43824D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440" w:firstLineChars="200"/>
              <w:jc w:val="both"/>
              <w:textAlignment w:val="auto"/>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bidi="ar"/>
              </w:rPr>
              <w:t xml:space="preserve">注： </w:t>
            </w:r>
          </w:p>
          <w:p w14:paraId="046CE2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440" w:firstLineChars="200"/>
              <w:jc w:val="both"/>
              <w:textAlignment w:val="auto"/>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bidi="ar"/>
              </w:rPr>
              <w:t xml:space="preserve">1)针对异常低价承诺书请投标人合理考虑时间，可提前准备好降低工程造价的相关证明材料，以避免错过询标时间，造成的不良后果由投标人自行承担。 </w:t>
            </w:r>
          </w:p>
          <w:p w14:paraId="3FE2ED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440" w:firstLineChars="200"/>
              <w:jc w:val="both"/>
              <w:textAlignment w:val="auto"/>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bidi="ar"/>
              </w:rPr>
              <w:t xml:space="preserve">2)以下情形不得作为询标或报价文件中提供异常低价投标说明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2219BE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firstLine="440" w:firstLineChars="200"/>
              <w:jc w:val="both"/>
              <w:textAlignment w:val="auto"/>
              <w:rPr>
                <w:rFonts w:hint="eastAsia" w:ascii="宋体" w:hAnsi="宋体" w:eastAsia="宋体" w:cs="宋体"/>
                <w:szCs w:val="21"/>
              </w:rPr>
            </w:pPr>
            <w:r>
              <w:rPr>
                <w:rFonts w:hint="eastAsia" w:ascii="宋体" w:hAnsi="宋体" w:cs="宋体"/>
                <w:color w:val="000000"/>
                <w:kern w:val="0"/>
                <w:sz w:val="22"/>
                <w:szCs w:val="22"/>
                <w:highlight w:val="none"/>
                <w:lang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26F5D596">
      <w:pPr>
        <w:widowControl/>
        <w:spacing w:beforeLines="0" w:afterLines="0"/>
        <w:jc w:val="left"/>
        <w:rPr>
          <w:rFonts w:hint="eastAsia" w:ascii="黑体" w:hAnsi="黑体" w:eastAsia="黑体" w:cs="黑体"/>
          <w:b/>
          <w:color w:val="000000"/>
          <w:kern w:val="0"/>
          <w:sz w:val="28"/>
          <w:szCs w:val="28"/>
          <w:lang w:bidi="ar"/>
        </w:rPr>
      </w:pPr>
    </w:p>
    <w:p w14:paraId="6D7B73F8">
      <w:pPr>
        <w:widowControl/>
        <w:spacing w:beforeLines="0" w:afterLines="0"/>
        <w:jc w:val="left"/>
        <w:rPr>
          <w:rFonts w:hint="eastAsia" w:ascii="黑体" w:hAnsi="黑体" w:eastAsia="黑体" w:cs="黑体"/>
          <w:b/>
          <w:color w:val="000000"/>
          <w:kern w:val="0"/>
          <w:sz w:val="28"/>
          <w:szCs w:val="28"/>
          <w:lang w:bidi="ar"/>
        </w:rPr>
      </w:pPr>
    </w:p>
    <w:p w14:paraId="3556049A">
      <w:pPr>
        <w:widowControl/>
        <w:spacing w:beforeLines="0" w:afterLines="0"/>
        <w:jc w:val="left"/>
        <w:rPr>
          <w:rFonts w:hint="eastAsia" w:ascii="黑体" w:hAnsi="黑体" w:eastAsia="黑体" w:cs="黑体"/>
          <w:b/>
          <w:color w:val="000000"/>
          <w:kern w:val="0"/>
          <w:sz w:val="28"/>
          <w:szCs w:val="28"/>
          <w:lang w:bidi="ar"/>
        </w:rPr>
      </w:pPr>
    </w:p>
    <w:p w14:paraId="74EEF152">
      <w:pPr>
        <w:widowControl/>
        <w:spacing w:beforeLines="0" w:afterLines="0"/>
        <w:jc w:val="left"/>
        <w:rPr>
          <w:rFonts w:hint="eastAsia" w:ascii="黑体" w:hAnsi="黑体" w:eastAsia="黑体" w:cs="黑体"/>
          <w:b/>
          <w:color w:val="000000"/>
          <w:kern w:val="0"/>
          <w:sz w:val="28"/>
          <w:szCs w:val="28"/>
          <w:lang w:bidi="ar"/>
        </w:rPr>
      </w:pPr>
      <w:r>
        <w:rPr>
          <w:rFonts w:hint="eastAsia" w:ascii="黑体" w:hAnsi="黑体" w:eastAsia="黑体" w:cs="黑体"/>
          <w:b/>
          <w:color w:val="000000"/>
          <w:kern w:val="0"/>
          <w:sz w:val="28"/>
          <w:szCs w:val="28"/>
          <w:lang w:bidi="ar"/>
        </w:rPr>
        <w:t>附表 1：</w:t>
      </w:r>
    </w:p>
    <w:p w14:paraId="2281EB89">
      <w:pPr>
        <w:widowControl/>
        <w:spacing w:beforeLines="0" w:afterLines="0"/>
        <w:jc w:val="center"/>
        <w:rPr>
          <w:rFonts w:hint="eastAsia" w:ascii="黑体" w:hAnsi="黑体" w:eastAsia="黑体" w:cs="黑体"/>
          <w:b/>
          <w:color w:val="000000"/>
          <w:kern w:val="0"/>
          <w:sz w:val="28"/>
          <w:szCs w:val="28"/>
          <w:lang w:bidi="ar"/>
        </w:rPr>
      </w:pPr>
      <w:r>
        <w:rPr>
          <w:rFonts w:hint="eastAsia" w:ascii="宋体" w:hAnsi="宋体" w:cs="宋体"/>
          <w:color w:val="000000"/>
          <w:kern w:val="0"/>
          <w:sz w:val="30"/>
          <w:szCs w:val="30"/>
          <w:highlight w:val="none"/>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08A8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4E156B">
            <w:pPr>
              <w:keepNext w:val="0"/>
              <w:keepLines w:val="0"/>
              <w:widowControl/>
              <w:suppressLineNumbers w:val="0"/>
              <w:spacing w:before="0" w:beforeLines="0" w:beforeAutospacing="0" w:after="0" w:afterLines="0" w:afterAutospacing="0"/>
              <w:ind w:left="0" w:right="0"/>
              <w:jc w:val="center"/>
              <w:rPr>
                <w:rFonts w:hint="default"/>
                <w:sz w:val="21"/>
                <w:szCs w:val="24"/>
                <w:highlight w:val="none"/>
              </w:rPr>
            </w:pPr>
            <w:r>
              <w:rPr>
                <w:rFonts w:hint="eastAsia" w:ascii="宋体" w:hAnsi="宋体" w:cs="宋体"/>
                <w:color w:val="000000"/>
                <w:kern w:val="0"/>
                <w:sz w:val="22"/>
                <w:szCs w:val="22"/>
                <w:highlight w:val="none"/>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DEBC3BF">
            <w:pPr>
              <w:pStyle w:val="8"/>
              <w:keepNext w:val="0"/>
              <w:keepLines w:val="0"/>
              <w:suppressLineNumbers w:val="0"/>
              <w:spacing w:before="0" w:beforeLines="0" w:beforeAutospacing="0" w:afterLines="0" w:afterAutospacing="0"/>
              <w:ind w:left="0" w:right="0"/>
              <w:rPr>
                <w:rFonts w:hint="default"/>
                <w:sz w:val="21"/>
                <w:szCs w:val="24"/>
                <w:highlight w:val="none"/>
              </w:rPr>
            </w:pPr>
          </w:p>
        </w:tc>
      </w:tr>
      <w:tr w14:paraId="753B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041A9">
            <w:pPr>
              <w:keepNext w:val="0"/>
              <w:keepLines w:val="0"/>
              <w:widowControl/>
              <w:suppressLineNumbers w:val="0"/>
              <w:spacing w:before="0" w:beforeLines="0" w:beforeAutospacing="0" w:after="0" w:afterLines="0" w:afterAutospacing="0"/>
              <w:ind w:left="0" w:right="0"/>
              <w:jc w:val="center"/>
              <w:rPr>
                <w:rFonts w:hint="default"/>
                <w:sz w:val="21"/>
                <w:szCs w:val="24"/>
                <w:highlight w:val="none"/>
              </w:rPr>
            </w:pPr>
            <w:r>
              <w:rPr>
                <w:rFonts w:hint="eastAsia" w:ascii="宋体" w:hAnsi="宋体" w:cs="宋体"/>
                <w:color w:val="000000"/>
                <w:kern w:val="0"/>
                <w:sz w:val="22"/>
                <w:szCs w:val="22"/>
                <w:highlight w:val="none"/>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566C94B6">
            <w:pPr>
              <w:pStyle w:val="8"/>
              <w:keepNext w:val="0"/>
              <w:keepLines w:val="0"/>
              <w:suppressLineNumbers w:val="0"/>
              <w:spacing w:before="0" w:beforeLines="0" w:beforeAutospacing="0" w:afterLines="0" w:afterAutospacing="0"/>
              <w:ind w:left="0" w:right="0"/>
              <w:rPr>
                <w:rFonts w:hint="default"/>
                <w:sz w:val="21"/>
                <w:szCs w:val="24"/>
                <w:highlight w:val="none"/>
              </w:rPr>
            </w:pPr>
          </w:p>
        </w:tc>
      </w:tr>
      <w:tr w14:paraId="1663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68B7B1">
            <w:pPr>
              <w:keepNext w:val="0"/>
              <w:keepLines w:val="0"/>
              <w:widowControl/>
              <w:suppressLineNumbers w:val="0"/>
              <w:spacing w:before="0" w:beforeLines="0" w:beforeAutospacing="0" w:after="0" w:afterLines="0" w:afterAutospacing="0"/>
              <w:ind w:left="0" w:right="0"/>
              <w:jc w:val="center"/>
              <w:rPr>
                <w:rFonts w:hint="default"/>
                <w:sz w:val="21"/>
                <w:szCs w:val="24"/>
                <w:highlight w:val="none"/>
              </w:rPr>
            </w:pPr>
            <w:r>
              <w:rPr>
                <w:rFonts w:hint="eastAsia" w:ascii="宋体" w:hAnsi="宋体" w:cs="宋体"/>
                <w:color w:val="000000"/>
                <w:kern w:val="0"/>
                <w:sz w:val="22"/>
                <w:szCs w:val="22"/>
                <w:highlight w:val="none"/>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00A811D">
            <w:pPr>
              <w:pStyle w:val="8"/>
              <w:keepNext w:val="0"/>
              <w:keepLines w:val="0"/>
              <w:suppressLineNumbers w:val="0"/>
              <w:spacing w:before="0" w:beforeLines="0" w:beforeAutospacing="0" w:afterLines="0" w:afterAutospacing="0"/>
              <w:ind w:left="0" w:right="0"/>
              <w:rPr>
                <w:rFonts w:hint="default"/>
                <w:sz w:val="21"/>
                <w:szCs w:val="24"/>
                <w:highlight w:val="none"/>
              </w:rPr>
            </w:pPr>
          </w:p>
        </w:tc>
      </w:tr>
      <w:tr w14:paraId="1002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15868">
            <w:pPr>
              <w:keepNext w:val="0"/>
              <w:keepLines w:val="0"/>
              <w:widowControl/>
              <w:suppressLineNumbers w:val="0"/>
              <w:spacing w:before="0" w:beforeLines="0" w:beforeAutospacing="0" w:after="0" w:afterLines="0" w:afterAutospacing="0"/>
              <w:ind w:left="0" w:right="0"/>
              <w:jc w:val="center"/>
              <w:rPr>
                <w:rFonts w:hint="default"/>
                <w:sz w:val="21"/>
                <w:szCs w:val="24"/>
                <w:highlight w:val="none"/>
              </w:rPr>
            </w:pPr>
            <w:r>
              <w:rPr>
                <w:rFonts w:hint="eastAsia" w:ascii="宋体" w:hAnsi="宋体" w:cs="宋体"/>
                <w:color w:val="000000"/>
                <w:kern w:val="0"/>
                <w:sz w:val="22"/>
                <w:szCs w:val="22"/>
                <w:highlight w:val="none"/>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4C562D85">
            <w:pPr>
              <w:pStyle w:val="8"/>
              <w:keepNext w:val="0"/>
              <w:keepLines w:val="0"/>
              <w:suppressLineNumbers w:val="0"/>
              <w:spacing w:before="0" w:beforeLines="0" w:beforeAutospacing="0" w:afterLines="0" w:afterAutospacing="0"/>
              <w:ind w:left="0" w:right="0"/>
              <w:rPr>
                <w:rFonts w:hint="default"/>
                <w:sz w:val="21"/>
                <w:szCs w:val="24"/>
                <w:highlight w:val="none"/>
              </w:rPr>
            </w:pPr>
          </w:p>
        </w:tc>
      </w:tr>
      <w:tr w14:paraId="4BBD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61823D">
            <w:pPr>
              <w:keepNext w:val="0"/>
              <w:keepLines w:val="0"/>
              <w:widowControl/>
              <w:suppressLineNumbers w:val="0"/>
              <w:spacing w:before="0" w:beforeLines="0" w:beforeAutospacing="0" w:after="0" w:afterLines="0" w:afterAutospacing="0"/>
              <w:ind w:left="0" w:right="0"/>
              <w:jc w:val="center"/>
              <w:rPr>
                <w:rFonts w:hint="default"/>
                <w:sz w:val="21"/>
                <w:szCs w:val="24"/>
                <w:highlight w:val="none"/>
              </w:rPr>
            </w:pPr>
            <w:r>
              <w:rPr>
                <w:rFonts w:hint="eastAsia" w:ascii="宋体" w:hAnsi="宋体" w:cs="宋体"/>
                <w:color w:val="000000"/>
                <w:kern w:val="0"/>
                <w:sz w:val="22"/>
                <w:szCs w:val="22"/>
                <w:highlight w:val="none"/>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FB0C7">
            <w:pPr>
              <w:keepNext w:val="0"/>
              <w:keepLines w:val="0"/>
              <w:widowControl/>
              <w:suppressLineNumbers w:val="0"/>
              <w:spacing w:before="0" w:beforeLines="0" w:beforeAutospacing="0" w:after="0" w:afterLines="0" w:afterAutospacing="0"/>
              <w:ind w:left="0" w:right="0"/>
              <w:rPr>
                <w:rFonts w:hint="default"/>
                <w:sz w:val="21"/>
                <w:szCs w:val="24"/>
                <w:highlight w:val="none"/>
              </w:rPr>
            </w:pPr>
            <w:r>
              <w:rPr>
                <w:rFonts w:hint="eastAsia" w:ascii="Times New Roman" w:hAnsi="Times New Roman" w:eastAsia="Times New Roman"/>
                <w:color w:val="000000"/>
                <w:kern w:val="0"/>
                <w:sz w:val="22"/>
                <w:szCs w:val="22"/>
                <w:highlight w:val="none"/>
                <w:lang w:bidi="ar"/>
              </w:rPr>
              <w:t>1.</w:t>
            </w:r>
            <w:r>
              <w:rPr>
                <w:rFonts w:hint="eastAsia" w:ascii="宋体" w:hAnsi="宋体" w:cs="宋体"/>
                <w:color w:val="000000"/>
                <w:kern w:val="0"/>
                <w:sz w:val="22"/>
                <w:szCs w:val="22"/>
                <w:highlight w:val="none"/>
                <w:lang w:bidi="ar"/>
              </w:rPr>
              <w:t>我公司承诺本表提供的内容及相关资料均属实；</w:t>
            </w:r>
          </w:p>
          <w:p w14:paraId="15B08D22">
            <w:pPr>
              <w:keepNext w:val="0"/>
              <w:keepLines w:val="0"/>
              <w:widowControl/>
              <w:suppressLineNumbers w:val="0"/>
              <w:spacing w:before="0" w:beforeLines="0" w:beforeAutospacing="0" w:after="0" w:afterLines="0" w:afterAutospacing="0"/>
              <w:ind w:left="0" w:right="0"/>
              <w:rPr>
                <w:rFonts w:hint="default"/>
                <w:sz w:val="21"/>
                <w:szCs w:val="24"/>
                <w:highlight w:val="none"/>
              </w:rPr>
            </w:pPr>
            <w:r>
              <w:rPr>
                <w:rFonts w:hint="eastAsia" w:ascii="Times New Roman" w:hAnsi="Times New Roman" w:eastAsia="Times New Roman"/>
                <w:color w:val="000000"/>
                <w:kern w:val="0"/>
                <w:sz w:val="22"/>
                <w:szCs w:val="22"/>
                <w:highlight w:val="none"/>
                <w:lang w:bidi="ar"/>
              </w:rPr>
              <w:t>2.</w:t>
            </w:r>
            <w:r>
              <w:rPr>
                <w:rFonts w:hint="eastAsia" w:ascii="宋体" w:hAnsi="宋体" w:cs="宋体"/>
                <w:color w:val="000000"/>
                <w:kern w:val="0"/>
                <w:sz w:val="22"/>
                <w:szCs w:val="22"/>
                <w:highlight w:val="none"/>
                <w:lang w:bidi="ar"/>
              </w:rPr>
              <w:t>我公司承诺没有招标文件约定的降低投标报价的禁止情形；</w:t>
            </w:r>
          </w:p>
          <w:p w14:paraId="627073BA">
            <w:pPr>
              <w:keepNext w:val="0"/>
              <w:keepLines w:val="0"/>
              <w:widowControl/>
              <w:suppressLineNumbers w:val="0"/>
              <w:spacing w:before="0" w:beforeLines="0" w:beforeAutospacing="0" w:after="0" w:afterLines="0" w:afterAutospacing="0"/>
              <w:ind w:left="0" w:right="0"/>
              <w:rPr>
                <w:rFonts w:hint="default"/>
                <w:sz w:val="21"/>
                <w:szCs w:val="24"/>
                <w:highlight w:val="none"/>
              </w:rPr>
            </w:pPr>
            <w:r>
              <w:rPr>
                <w:rFonts w:hint="eastAsia" w:ascii="Times New Roman" w:hAnsi="Times New Roman" w:eastAsia="Times New Roman"/>
                <w:color w:val="000000"/>
                <w:kern w:val="0"/>
                <w:sz w:val="22"/>
                <w:szCs w:val="22"/>
                <w:highlight w:val="none"/>
                <w:lang w:bidi="ar"/>
              </w:rPr>
              <w:t>3.</w:t>
            </w:r>
            <w:r>
              <w:rPr>
                <w:rFonts w:hint="eastAsia" w:ascii="宋体" w:hAnsi="宋体" w:cs="宋体"/>
                <w:color w:val="000000"/>
                <w:kern w:val="0"/>
                <w:sz w:val="22"/>
                <w:szCs w:val="22"/>
                <w:highlight w:val="none"/>
                <w:lang w:bidi="ar"/>
              </w:rPr>
              <w:t>我公司承诺具备合同履行能力及工程质量安全控制能力。</w:t>
            </w:r>
          </w:p>
        </w:tc>
      </w:tr>
    </w:tbl>
    <w:p w14:paraId="758D9198">
      <w:pPr>
        <w:widowControl/>
        <w:spacing w:beforeLines="0" w:afterLines="0"/>
        <w:jc w:val="left"/>
        <w:rPr>
          <w:rFonts w:hint="eastAsia" w:ascii="宋体" w:hAnsi="宋体" w:cs="宋体"/>
          <w:sz w:val="21"/>
          <w:szCs w:val="24"/>
          <w:highlight w:val="none"/>
        </w:rPr>
      </w:pPr>
      <w:r>
        <w:rPr>
          <w:rFonts w:hint="eastAsia" w:ascii="宋体" w:hAnsi="宋体" w:cs="宋体"/>
          <w:color w:val="000000"/>
          <w:kern w:val="0"/>
          <w:sz w:val="22"/>
          <w:szCs w:val="22"/>
          <w:highlight w:val="none"/>
          <w:lang w:bidi="ar"/>
        </w:rPr>
        <w:t xml:space="preserve">注： </w:t>
      </w:r>
    </w:p>
    <w:p w14:paraId="03F0CA60">
      <w:pPr>
        <w:widowControl/>
        <w:spacing w:beforeLines="0" w:afterLines="0"/>
        <w:jc w:val="left"/>
        <w:rPr>
          <w:rFonts w:hint="eastAsia" w:ascii="宋体" w:hAnsi="宋体" w:cs="宋体"/>
          <w:sz w:val="21"/>
          <w:szCs w:val="24"/>
          <w:highlight w:val="none"/>
        </w:rPr>
      </w:pPr>
      <w:r>
        <w:rPr>
          <w:rFonts w:hint="eastAsia" w:ascii="宋体" w:hAnsi="宋体" w:cs="宋体"/>
          <w:color w:val="000000"/>
          <w:kern w:val="0"/>
          <w:sz w:val="22"/>
          <w:szCs w:val="22"/>
          <w:highlight w:val="none"/>
          <w:lang w:bidi="ar"/>
        </w:rPr>
        <w:t xml:space="preserve">1.此表格后附异常低价评审的相关证明材料； </w:t>
      </w:r>
    </w:p>
    <w:p w14:paraId="786F1069">
      <w:pPr>
        <w:widowControl/>
        <w:spacing w:beforeLines="0" w:afterLines="0"/>
        <w:jc w:val="left"/>
        <w:rPr>
          <w:rFonts w:hint="eastAsia" w:ascii="宋体" w:hAnsi="宋体" w:cs="宋体"/>
          <w:sz w:val="21"/>
          <w:szCs w:val="24"/>
          <w:highlight w:val="none"/>
        </w:rPr>
      </w:pPr>
      <w:r>
        <w:rPr>
          <w:rFonts w:hint="eastAsia" w:ascii="宋体" w:hAnsi="宋体" w:cs="宋体"/>
          <w:color w:val="000000"/>
          <w:kern w:val="0"/>
          <w:sz w:val="22"/>
          <w:szCs w:val="22"/>
          <w:highlight w:val="none"/>
          <w:lang w:bidi="ar"/>
        </w:rPr>
        <w:t>2.投标人在制作投标文件时该页可放置在报价文件-其他的资料中，或在评标委员会发询标函时作为附件提供。</w:t>
      </w:r>
    </w:p>
    <w:p w14:paraId="64BE5BB3">
      <w:pPr>
        <w:widowControl/>
        <w:spacing w:beforeLines="0" w:afterLines="0"/>
        <w:jc w:val="left"/>
        <w:rPr>
          <w:rFonts w:hint="eastAsia" w:ascii="黑体" w:hAnsi="黑体" w:eastAsia="黑体" w:cs="黑体"/>
          <w:b/>
          <w:color w:val="000000"/>
          <w:kern w:val="0"/>
          <w:sz w:val="28"/>
          <w:szCs w:val="28"/>
          <w:lang w:bidi="ar"/>
        </w:rPr>
      </w:pPr>
    </w:p>
    <w:p w14:paraId="3D94BD1A">
      <w:pPr>
        <w:widowControl/>
        <w:spacing w:beforeLines="0" w:afterLines="0"/>
        <w:jc w:val="left"/>
        <w:rPr>
          <w:rFonts w:hint="default"/>
          <w:sz w:val="21"/>
          <w:szCs w:val="24"/>
        </w:rPr>
      </w:pPr>
      <w:r>
        <w:rPr>
          <w:rFonts w:hint="eastAsia" w:ascii="宋体" w:hAnsi="宋体" w:cs="宋体"/>
          <w:b/>
          <w:color w:val="000000"/>
          <w:kern w:val="0"/>
          <w:sz w:val="22"/>
          <w:szCs w:val="22"/>
          <w:lang w:bidi="ar"/>
        </w:rPr>
        <w:t xml:space="preserve"> </w:t>
      </w:r>
    </w:p>
    <w:p w14:paraId="41FCC9D6">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C627878">
      <w:pPr>
        <w:jc w:val="left"/>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1. </w:t>
      </w:r>
      <w:r>
        <w:rPr>
          <w:rFonts w:hint="eastAsia" w:ascii="Times New Roman" w:hAnsi="Times New Roman" w:eastAsia="黑体"/>
          <w:color w:val="auto"/>
          <w:sz w:val="24"/>
          <w:szCs w:val="32"/>
          <w:highlight w:val="none"/>
        </w:rPr>
        <w:t>评审方法</w:t>
      </w:r>
    </w:p>
    <w:p w14:paraId="33EA580D">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1.1本次评审采用最低价法。评审小组对满足询比文件实质性要求的响应文件，按照评审价由低到高的顺序依次推荐成交候选人。如报价相同的，按照评审办法前附表中的规定确定成交候选人顺序。</w:t>
      </w:r>
    </w:p>
    <w:p w14:paraId="251CEB30">
      <w:pPr>
        <w:spacing w:line="440" w:lineRule="exact"/>
        <w:ind w:firstLine="420"/>
        <w:rPr>
          <w:rFonts w:hint="eastAsia" w:ascii="Times New Roman" w:hAnsi="Times New Roman" w:eastAsiaTheme="minorEastAsia"/>
          <w:b w:val="0"/>
          <w:bCs w:val="0"/>
          <w:color w:val="auto"/>
          <w:sz w:val="21"/>
          <w:szCs w:val="24"/>
          <w:highlight w:val="yellow"/>
          <w:lang w:eastAsia="zh-CN"/>
        </w:rPr>
      </w:pPr>
      <w:r>
        <w:rPr>
          <w:rFonts w:hint="eastAsia" w:ascii="Times New Roman" w:hAnsi="Times New Roman"/>
          <w:b w:val="0"/>
          <w:bCs w:val="0"/>
          <w:color w:val="auto"/>
          <w:sz w:val="21"/>
          <w:szCs w:val="24"/>
          <w:highlight w:val="yellow"/>
          <w:lang w:val="en-US" w:eastAsia="zh-CN"/>
        </w:rPr>
        <w:t>1.2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采购人可以按照评审小组提出的成交候选供应商名单排序依次确定其他成交候选供应商为成交供应商（重新确定成交供应商的，采购人有权与其二次谈判价格）。依次确定其他成交候选供应商与采购人预期差距较大，或者对采购人明显不利的，采购人可以重新采购。</w:t>
      </w:r>
    </w:p>
    <w:p w14:paraId="294BE65D">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 </w:t>
      </w:r>
      <w:r>
        <w:rPr>
          <w:rFonts w:hint="eastAsia" w:ascii="Times New Roman" w:hAnsi="Times New Roman" w:eastAsia="黑体"/>
          <w:color w:val="auto"/>
          <w:sz w:val="24"/>
          <w:szCs w:val="32"/>
          <w:highlight w:val="none"/>
        </w:rPr>
        <w:t>评审标准</w:t>
      </w:r>
    </w:p>
    <w:p w14:paraId="4417430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2.1 </w:t>
      </w:r>
      <w:r>
        <w:rPr>
          <w:rFonts w:hint="eastAsia" w:ascii="Times New Roman" w:hAnsi="Times New Roman" w:eastAsia="黑体"/>
          <w:color w:val="auto"/>
          <w:sz w:val="24"/>
          <w:szCs w:val="32"/>
          <w:highlight w:val="none"/>
        </w:rPr>
        <w:t>初步评审标准</w:t>
      </w:r>
    </w:p>
    <w:p w14:paraId="1C952C4E">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2.1.1 </w:t>
      </w:r>
      <w:r>
        <w:rPr>
          <w:rFonts w:hint="eastAsia" w:ascii="Times New Roman" w:hAnsi="Times New Roman"/>
          <w:color w:val="auto"/>
          <w:sz w:val="21"/>
          <w:szCs w:val="24"/>
          <w:highlight w:val="none"/>
        </w:rPr>
        <w:t>形式评审标准：见评审办法前附表。</w:t>
      </w:r>
    </w:p>
    <w:p w14:paraId="26E4FF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2.1.2 </w:t>
      </w:r>
      <w:r>
        <w:rPr>
          <w:rFonts w:hint="eastAsia" w:ascii="Times New Roman" w:hAnsi="Times New Roman"/>
          <w:color w:val="auto"/>
          <w:sz w:val="21"/>
          <w:szCs w:val="24"/>
          <w:highlight w:val="none"/>
        </w:rPr>
        <w:t>资格评审标准：见评审办法前附表。</w:t>
      </w:r>
    </w:p>
    <w:p w14:paraId="4B8844F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2.1.3 </w:t>
      </w:r>
      <w:r>
        <w:rPr>
          <w:rFonts w:hint="eastAsia" w:ascii="Times New Roman" w:hAnsi="Times New Roman"/>
          <w:color w:val="auto"/>
          <w:sz w:val="21"/>
          <w:szCs w:val="24"/>
          <w:highlight w:val="none"/>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2.2 </w:t>
      </w:r>
      <w:r>
        <w:rPr>
          <w:rFonts w:hint="eastAsia" w:ascii="Times New Roman" w:hAnsi="Times New Roman" w:eastAsia="黑体"/>
          <w:color w:val="auto"/>
          <w:sz w:val="24"/>
          <w:szCs w:val="32"/>
          <w:highlight w:val="none"/>
        </w:rPr>
        <w:t>分值构成与评审标准</w:t>
      </w:r>
    </w:p>
    <w:p w14:paraId="2FFCF1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2.2.1</w:t>
      </w:r>
      <w:r>
        <w:rPr>
          <w:rFonts w:hint="eastAsia" w:ascii="Times New Roman" w:hAnsi="Times New Roman"/>
          <w:color w:val="auto"/>
          <w:sz w:val="21"/>
          <w:szCs w:val="24"/>
          <w:highlight w:val="none"/>
        </w:rPr>
        <w:t>分值构成：</w:t>
      </w:r>
    </w:p>
    <w:p w14:paraId="79DE43A5">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业绩</w:t>
      </w:r>
      <w:r>
        <w:rPr>
          <w:rFonts w:ascii="Times New Roman" w:hAnsi="Times New Roman" w:cs="Times New Roman"/>
        </w:rPr>
        <w:t>：见评审办法前附表；</w:t>
      </w:r>
    </w:p>
    <w:p w14:paraId="5ED61856">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技术性能</w:t>
      </w:r>
      <w:r>
        <w:rPr>
          <w:rFonts w:ascii="Times New Roman" w:hAnsi="Times New Roman" w:cs="Times New Roman"/>
        </w:rPr>
        <w:t>：见评审办法前附表；</w:t>
      </w:r>
    </w:p>
    <w:p w14:paraId="56707DC6">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供货方案</w:t>
      </w:r>
      <w:r>
        <w:rPr>
          <w:rFonts w:ascii="Times New Roman" w:hAnsi="Times New Roman" w:cs="Times New Roman"/>
        </w:rPr>
        <w:t>：见评审办法前附表；</w:t>
      </w:r>
    </w:p>
    <w:p w14:paraId="3495E94D">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：见评审办法前附表。</w:t>
      </w:r>
    </w:p>
    <w:p w14:paraId="7623F6AD">
      <w:pPr>
        <w:spacing w:line="440" w:lineRule="exact"/>
        <w:ind w:firstLine="420"/>
        <w:rPr>
          <w:rFonts w:ascii="Times New Roman" w:hAnsi="Times New Roman" w:cs="Times New Roman"/>
        </w:rPr>
      </w:pPr>
      <w:r>
        <w:rPr>
          <w:rFonts w:ascii="Times New Roman" w:hAnsi="Times New Roman" w:cs="Times New Roman"/>
        </w:rPr>
        <w:t>2.2.2 评审基准价计算</w:t>
      </w:r>
    </w:p>
    <w:p w14:paraId="5CBB4488">
      <w:pPr>
        <w:spacing w:line="440" w:lineRule="exact"/>
        <w:ind w:firstLine="420"/>
        <w:rPr>
          <w:rFonts w:ascii="Times New Roman" w:hAnsi="Times New Roman" w:cs="Times New Roman"/>
        </w:rPr>
      </w:pPr>
      <w:r>
        <w:rPr>
          <w:rFonts w:ascii="Times New Roman" w:hAnsi="Times New Roman" w:cs="Times New Roman"/>
        </w:rPr>
        <w:t>评审基准价计算方法：见评审办法前附表。</w:t>
      </w:r>
    </w:p>
    <w:p w14:paraId="1740EEA6">
      <w:pPr>
        <w:spacing w:line="440" w:lineRule="exact"/>
        <w:ind w:firstLine="420"/>
        <w:rPr>
          <w:rFonts w:ascii="Times New Roman" w:hAnsi="Times New Roman" w:cs="Times New Roman"/>
        </w:rPr>
      </w:pPr>
      <w:r>
        <w:rPr>
          <w:rFonts w:ascii="Times New Roman" w:hAnsi="Times New Roman" w:cs="Times New Roman"/>
        </w:rPr>
        <w:t>2.2.3 评审价的偏差率计算</w:t>
      </w:r>
    </w:p>
    <w:p w14:paraId="31101698">
      <w:pPr>
        <w:spacing w:line="440" w:lineRule="exact"/>
        <w:ind w:firstLine="420"/>
        <w:rPr>
          <w:rFonts w:ascii="Times New Roman" w:hAnsi="Times New Roman" w:cs="Times New Roman"/>
        </w:rPr>
      </w:pPr>
      <w:r>
        <w:rPr>
          <w:rFonts w:ascii="Times New Roman" w:hAnsi="Times New Roman" w:cs="Times New Roman"/>
        </w:rPr>
        <w:t>评审价的偏差率计算公式：见评审办法前附表。</w:t>
      </w:r>
    </w:p>
    <w:p w14:paraId="513F9936">
      <w:pPr>
        <w:spacing w:line="440" w:lineRule="exact"/>
        <w:ind w:firstLine="420"/>
        <w:rPr>
          <w:rFonts w:ascii="Times New Roman" w:hAnsi="Times New Roman" w:cs="Times New Roman"/>
        </w:rPr>
      </w:pPr>
      <w:r>
        <w:rPr>
          <w:rFonts w:ascii="Times New Roman" w:hAnsi="Times New Roman" w:cs="Times New Roman"/>
        </w:rPr>
        <w:t>2.2.4评分标准：</w:t>
      </w:r>
    </w:p>
    <w:p w14:paraId="0FE59E36">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业绩</w:t>
      </w:r>
      <w:r>
        <w:rPr>
          <w:rFonts w:ascii="Times New Roman" w:hAnsi="Times New Roman" w:cs="Times New Roman"/>
        </w:rPr>
        <w:t>评分标准：见评审办法前附表；</w:t>
      </w:r>
    </w:p>
    <w:p w14:paraId="76F33F2D">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技术性能</w:t>
      </w:r>
      <w:r>
        <w:rPr>
          <w:rFonts w:ascii="Times New Roman" w:hAnsi="Times New Roman" w:cs="Times New Roman"/>
        </w:rPr>
        <w:t>评分标准：见评审办法前附表；</w:t>
      </w:r>
    </w:p>
    <w:p w14:paraId="6CCB9F13">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供货方案</w:t>
      </w:r>
      <w:r>
        <w:rPr>
          <w:rFonts w:ascii="Times New Roman" w:hAnsi="Times New Roman" w:cs="Times New Roman"/>
        </w:rPr>
        <w:t>评分标准：见评审办法前附表；</w:t>
      </w:r>
    </w:p>
    <w:p w14:paraId="5AA29450">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 </w:t>
      </w:r>
      <w:r>
        <w:rPr>
          <w:rFonts w:hint="eastAsia" w:ascii="Times New Roman" w:hAnsi="Times New Roman" w:eastAsia="黑体"/>
          <w:color w:val="auto"/>
          <w:sz w:val="24"/>
          <w:szCs w:val="32"/>
          <w:highlight w:val="none"/>
        </w:rPr>
        <w:t>评审程序</w:t>
      </w:r>
    </w:p>
    <w:p w14:paraId="2F8BD502">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3.1 </w:t>
      </w:r>
      <w:r>
        <w:rPr>
          <w:rFonts w:hint="eastAsia" w:ascii="Times New Roman" w:hAnsi="Times New Roman" w:eastAsia="黑体"/>
          <w:color w:val="auto"/>
          <w:sz w:val="24"/>
          <w:szCs w:val="32"/>
          <w:highlight w:val="none"/>
        </w:rPr>
        <w:t>初步评审</w:t>
      </w:r>
    </w:p>
    <w:p w14:paraId="7847808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3.1.1</w:t>
      </w:r>
      <w:r>
        <w:rPr>
          <w:rFonts w:hint="eastAsia" w:ascii="Times New Roman" w:hAnsi="Times New Roman"/>
          <w:color w:val="auto"/>
          <w:sz w:val="21"/>
          <w:szCs w:val="24"/>
          <w:highlight w:val="none"/>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4 修正后的最终报价若超过最高限价（如有），评审小组应否决其报价。</w:t>
      </w:r>
    </w:p>
    <w:p w14:paraId="32CC1B59">
      <w:pPr>
        <w:spacing w:line="440" w:lineRule="exact"/>
        <w:ind w:firstLine="420"/>
        <w:rPr>
          <w:rFonts w:hint="default"/>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5</w:t>
      </w:r>
      <w:r>
        <w:rPr>
          <w:rFonts w:hint="default" w:ascii="Times New Roman" w:hAnsi="Times New Roman" w:eastAsia="Times New Roman"/>
          <w:color w:val="auto"/>
          <w:sz w:val="21"/>
          <w:szCs w:val="24"/>
          <w:highlight w:val="none"/>
        </w:rPr>
        <w:t xml:space="preserve"> </w:t>
      </w:r>
      <w:r>
        <w:rPr>
          <w:rFonts w:hint="eastAsia" w:ascii="Times New Roman" w:hAnsi="Times New Roman"/>
          <w:color w:val="auto"/>
          <w:sz w:val="21"/>
          <w:szCs w:val="21"/>
          <w:highlight w:val="none"/>
        </w:rPr>
        <w:t>修正后的</w:t>
      </w:r>
      <w:r>
        <w:rPr>
          <w:rFonts w:hint="eastAsia" w:ascii="Times New Roman" w:hAnsi="Times New Roman"/>
          <w:color w:val="auto"/>
          <w:sz w:val="21"/>
          <w:szCs w:val="24"/>
          <w:highlight w:val="none"/>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4"/>
          <w:szCs w:val="32"/>
          <w:highlight w:val="none"/>
        </w:rPr>
        <w:t xml:space="preserve">3.2 </w:t>
      </w:r>
      <w:r>
        <w:rPr>
          <w:rFonts w:hint="eastAsia" w:ascii="Times New Roman" w:hAnsi="Times New Roman" w:eastAsia="黑体"/>
          <w:color w:val="auto"/>
          <w:sz w:val="24"/>
          <w:szCs w:val="32"/>
          <w:highlight w:val="none"/>
        </w:rPr>
        <w:t>详细评审</w:t>
      </w:r>
    </w:p>
    <w:p w14:paraId="746A9FA6">
      <w:pPr>
        <w:spacing w:line="400" w:lineRule="exact"/>
        <w:ind w:firstLine="420" w:firstLineChars="200"/>
        <w:rPr>
          <w:rFonts w:ascii="Times New Roman" w:hAnsi="Times New Roman" w:cs="Times New Roman"/>
        </w:rPr>
      </w:pPr>
      <w:r>
        <w:rPr>
          <w:rFonts w:ascii="Times New Roman" w:hAnsi="Times New Roman" w:cs="Times New Roman"/>
        </w:rPr>
        <w:t xml:space="preserve">3.2.1 </w:t>
      </w:r>
      <w:r>
        <w:rPr>
          <w:rFonts w:hint="eastAsia" w:ascii="Times New Roman" w:hAnsi="Times New Roman" w:cs="Times New Roman"/>
        </w:rPr>
        <w:t>评审小组</w:t>
      </w:r>
      <w:r>
        <w:rPr>
          <w:rFonts w:ascii="Times New Roman" w:hAnsi="Times New Roman" w:cs="Times New Roman"/>
        </w:rPr>
        <w:t>按本章第2.2款规定的量化因素和分值进行打分，</w:t>
      </w:r>
    </w:p>
    <w:p w14:paraId="69E5F53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3.3 </w:t>
      </w:r>
      <w:r>
        <w:rPr>
          <w:rFonts w:hint="eastAsia" w:ascii="Times New Roman" w:hAnsi="Times New Roman" w:eastAsia="黑体"/>
          <w:color w:val="auto"/>
          <w:sz w:val="24"/>
          <w:szCs w:val="32"/>
          <w:highlight w:val="none"/>
        </w:rPr>
        <w:t>否决响应文件的其他情形</w:t>
      </w:r>
    </w:p>
    <w:p w14:paraId="68153C5D">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3.4 </w:t>
      </w:r>
      <w:r>
        <w:rPr>
          <w:rFonts w:hint="eastAsia" w:ascii="Times New Roman" w:hAnsi="Times New Roman" w:eastAsia="黑体"/>
          <w:color w:val="auto"/>
          <w:sz w:val="24"/>
          <w:szCs w:val="32"/>
          <w:highlight w:val="none"/>
        </w:rPr>
        <w:t>响应文件的澄清</w:t>
      </w:r>
    </w:p>
    <w:p w14:paraId="283ECFE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3.4.1 </w:t>
      </w:r>
      <w:r>
        <w:rPr>
          <w:rFonts w:hint="eastAsia" w:ascii="Times New Roman" w:hAnsi="Times New Roman"/>
          <w:color w:val="auto"/>
          <w:sz w:val="21"/>
          <w:szCs w:val="24"/>
          <w:highlight w:val="none"/>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highlight w:val="none"/>
        </w:rPr>
      </w:pPr>
      <w:r>
        <w:rPr>
          <w:rFonts w:hint="default" w:ascii="Times New Roman" w:hAnsi="Times New Roman" w:eastAsia="Times New Roman"/>
          <w:color w:val="auto"/>
          <w:sz w:val="21"/>
          <w:szCs w:val="24"/>
          <w:highlight w:val="none"/>
        </w:rPr>
        <w:t xml:space="preserve">3.4.2 </w:t>
      </w:r>
      <w:r>
        <w:rPr>
          <w:rFonts w:hint="eastAsia" w:ascii="Times New Roman" w:hAnsi="Times New Roman"/>
          <w:color w:val="auto"/>
          <w:sz w:val="21"/>
          <w:szCs w:val="24"/>
          <w:highlight w:val="none"/>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3.</w:t>
      </w:r>
      <w:r>
        <w:rPr>
          <w:rFonts w:hint="eastAsia" w:ascii="Times New Roman" w:hAnsi="Times New Roman" w:eastAsia="黑体"/>
          <w:color w:val="auto"/>
          <w:sz w:val="24"/>
          <w:szCs w:val="32"/>
          <w:highlight w:val="none"/>
        </w:rPr>
        <w:t>5</w:t>
      </w:r>
      <w:r>
        <w:rPr>
          <w:rFonts w:hint="default" w:ascii="Times New Roman" w:hAnsi="Times New Roman" w:eastAsia="Times New Roman"/>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1C481DD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3A8539E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CC1F14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51F01AA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7833215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74A49CB5">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、评审办法（最低价法）</w:t>
      </w:r>
    </w:p>
    <w:p w14:paraId="2985AF9E">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557CF8E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w:t>
      </w:r>
    </w:p>
    <w:p w14:paraId="582F18D3">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55A482D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1AC8D6B9">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2DFE5F0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057702A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725C6CBB">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64384"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63" name="文本框 63"/>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102251">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64384;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AB6Q7QVQIA&#10;AJ8EAAAOAAAAAAAAAAEAIAAAACUBAABkcnMvZTJvRG9jLnhtbFBLBQYAAAAABgAGAFkBAADsBQAA&#10;AAA=&#10;">
                <v:fill on="t" focussize="0,0"/>
                <v:stroke on="f" weight="0.5pt"/>
                <v:imagedata o:title=""/>
                <o:lock v:ext="edit" aspectratio="f"/>
                <v:textbox>
                  <w:txbxContent>
                    <w:p w14:paraId="2D102251">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1、投标登记表</w:t>
      </w:r>
    </w:p>
    <w:p w14:paraId="2DE9D058">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0E1B8EA8">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3、唱标记录表</w:t>
      </w:r>
    </w:p>
    <w:p w14:paraId="0EBA0C6B">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66EA2400">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6673ED9E">
      <w:pPr>
        <w:spacing w:line="440" w:lineRule="exact"/>
        <w:ind w:firstLine="420"/>
        <w:rPr>
          <w:rFonts w:hint="eastAsia" w:ascii="Times New Roman" w:hAnsi="Times New Roman"/>
          <w:color w:val="auto"/>
          <w:sz w:val="21"/>
          <w:szCs w:val="24"/>
          <w:highlight w:val="none"/>
          <w:lang w:val="en-US" w:eastAsia="zh-CN"/>
        </w:rPr>
      </w:pPr>
    </w:p>
    <w:p w14:paraId="2B46C734">
      <w:pPr>
        <w:spacing w:line="440" w:lineRule="exact"/>
        <w:ind w:firstLine="420"/>
        <w:rPr>
          <w:rFonts w:hint="eastAsia" w:ascii="Times New Roman" w:hAnsi="Times New Roman"/>
          <w:color w:val="auto"/>
          <w:sz w:val="21"/>
          <w:szCs w:val="24"/>
          <w:highlight w:val="none"/>
          <w:lang w:val="en-US" w:eastAsia="zh-CN"/>
        </w:rPr>
      </w:pPr>
    </w:p>
    <w:p w14:paraId="1EE23E44">
      <w:pPr>
        <w:spacing w:line="440" w:lineRule="exact"/>
        <w:ind w:firstLine="420"/>
        <w:rPr>
          <w:rFonts w:hint="eastAsia" w:ascii="Times New Roman" w:hAnsi="Times New Roman"/>
          <w:color w:val="auto"/>
          <w:sz w:val="21"/>
          <w:szCs w:val="24"/>
          <w:highlight w:val="none"/>
          <w:lang w:val="en-US" w:eastAsia="zh-CN"/>
        </w:rPr>
      </w:pPr>
    </w:p>
    <w:p w14:paraId="7F9EE705">
      <w:pPr>
        <w:pStyle w:val="2"/>
        <w:numPr>
          <w:ilvl w:val="0"/>
          <w:numId w:val="0"/>
        </w:numPr>
        <w:spacing w:before="312" w:after="312"/>
        <w:ind w:leftChars="0"/>
        <w:jc w:val="center"/>
        <w:rPr>
          <w:rFonts w:ascii="Times New Roman" w:hAnsi="Times New Roman" w:eastAsia="宋体" w:cs="Times New Roman"/>
          <w:color w:val="auto"/>
          <w:highlight w:val="none"/>
        </w:rPr>
      </w:pPr>
      <w:bookmarkStart w:id="63" w:name="_Toc10047"/>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bookmarkEnd w:id="63"/>
    </w:p>
    <w:p w14:paraId="1558D023">
      <w:pPr>
        <w:rPr>
          <w:color w:val="auto"/>
          <w:highlight w:val="none"/>
        </w:rPr>
      </w:pPr>
    </w:p>
    <w:p w14:paraId="37368B5D">
      <w:pPr>
        <w:pStyle w:val="33"/>
        <w:rPr>
          <w:rFonts w:hint="eastAsia" w:ascii="Times New Roman" w:hAnsi="Times New Roman" w:eastAsia="宋体" w:cs="Times New Roman"/>
          <w:color w:val="auto"/>
          <w:highlight w:val="none"/>
        </w:rPr>
      </w:pPr>
    </w:p>
    <w:p w14:paraId="0E6FDAD6">
      <w:pPr>
        <w:pStyle w:val="33"/>
        <w:rPr>
          <w:rFonts w:hint="eastAsia" w:ascii="Times New Roman" w:hAnsi="Times New Roman" w:eastAsia="宋体" w:cs="Times New Roman"/>
          <w:color w:val="auto"/>
          <w:highlight w:val="none"/>
        </w:rPr>
      </w:pPr>
    </w:p>
    <w:p w14:paraId="58CDC6FF">
      <w:pPr>
        <w:pStyle w:val="33"/>
        <w:rPr>
          <w:rFonts w:hint="eastAsia" w:ascii="Times New Roman" w:hAnsi="Times New Roman" w:eastAsia="宋体" w:cs="Times New Roman"/>
          <w:color w:val="auto"/>
          <w:highlight w:val="none"/>
        </w:rPr>
      </w:pPr>
    </w:p>
    <w:p w14:paraId="4C8D3807">
      <w:pPr>
        <w:rPr>
          <w:rFonts w:hint="eastAsia" w:ascii="方正小标宋简体" w:hAnsi="方正小标宋简体" w:eastAsia="方正小标宋简体" w:cs="方正小标宋简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lang w:eastAsia="zh-CN"/>
        </w:rPr>
        <w:br w:type="page"/>
      </w:r>
    </w:p>
    <w:p w14:paraId="06CDA17A">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lang w:val="en-US" w:eastAsia="zh-CN"/>
        </w:rPr>
        <w:t>采购及安装</w:t>
      </w:r>
      <w:r>
        <w:rPr>
          <w:rFonts w:hint="eastAsia" w:ascii="方正小标宋简体" w:hAnsi="方正小标宋简体" w:eastAsia="方正小标宋简体" w:cs="方正小标宋简体"/>
          <w:bCs/>
          <w:color w:val="auto"/>
          <w:sz w:val="44"/>
          <w:szCs w:val="44"/>
          <w:highlight w:val="none"/>
          <w:lang w:eastAsia="zh-CN"/>
        </w:rPr>
        <w:t>合同</w:t>
      </w:r>
    </w:p>
    <w:permEnd w:id="0"/>
    <w:p w14:paraId="2EFA6C49">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6D0DC30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1"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rPr>
        <w:t>（以</w:t>
      </w:r>
      <w:permEnd w:id="1"/>
      <w:r>
        <w:rPr>
          <w:rFonts w:hint="eastAsia" w:ascii="仿宋_GB2312" w:hAnsi="仿宋_GB2312" w:eastAsia="仿宋_GB2312" w:cs="仿宋_GB2312"/>
          <w:color w:val="auto"/>
          <w:sz w:val="28"/>
          <w:szCs w:val="28"/>
          <w:highlight w:val="none"/>
        </w:rPr>
        <w:t>下简称甲方）</w:t>
      </w:r>
    </w:p>
    <w:p w14:paraId="296795F2">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permStart w:id="2" w:edGrp="everyone"/>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xml:space="preserve">（以下简称乙方） </w:t>
      </w:r>
      <w:permEnd w:id="2"/>
      <w:r>
        <w:rPr>
          <w:rFonts w:hint="eastAsia" w:ascii="仿宋_GB2312" w:hAnsi="仿宋_GB2312" w:eastAsia="仿宋_GB2312" w:cs="仿宋_GB2312"/>
          <w:color w:val="auto"/>
          <w:sz w:val="28"/>
          <w:szCs w:val="28"/>
          <w:highlight w:val="none"/>
        </w:rPr>
        <w:t xml:space="preserve"> </w:t>
      </w:r>
    </w:p>
    <w:p w14:paraId="25307EF8">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w:t>
      </w:r>
      <w:permStart w:id="3" w:edGrp="everyone"/>
      <w:r>
        <w:rPr>
          <w:rFonts w:hint="eastAsia" w:ascii="仿宋_GB2312" w:hAnsi="仿宋_GB2312" w:eastAsia="仿宋_GB2312" w:cs="仿宋_GB2312"/>
          <w:color w:val="auto"/>
          <w:sz w:val="28"/>
          <w:szCs w:val="28"/>
          <w:highlight w:val="none"/>
          <w:lang w:val="en-US" w:eastAsia="zh-CN"/>
        </w:rPr>
        <w:t>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1FC4DE01">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6636210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1.本合同总价人民币大写：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ermEnd w:id="3"/>
    <w:p w14:paraId="77622A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560" w:firstLineChars="200"/>
        <w:jc w:val="both"/>
        <w:textAlignment w:val="auto"/>
      </w:pPr>
      <w:r>
        <w:rPr>
          <w:rFonts w:hint="eastAsia" w:ascii="仿宋_GB2312" w:hAnsi="Calibri" w:eastAsia="仿宋_GB2312" w:cs="仿宋_GB2312"/>
          <w:kern w:val="2"/>
          <w:sz w:val="28"/>
          <w:szCs w:val="28"/>
          <w:lang w:val="en-US" w:eastAsia="zh-CN" w:bidi="ar"/>
        </w:rPr>
        <w:t>2.具体报价清单见附件，本合同价款包括但不限于所有人工费、材料设备费、机械费、调试运行、技术培训、措施项目清单费用(包含安全文明措施费用、施工技术措施费用)、检验试验费(含所有材料、完工后的成品等检测与试验)、管理费、保险费、规费、利润、移交前的维护和缺陷修补、施工水电费、成品保护费、相关政府部门报检费、验收费、风险费用、市场变化，合同执行期内，材料单价不因市场波动、政策调整、人工涨跌等原因做任何形式的调整。在本合同所列工程量为暂估数量，最终以签收数量（乙方无条件补货与退货，并承担相应的运输、装卸货等费用）和固定综合单价进行结算。</w:t>
      </w:r>
    </w:p>
    <w:p w14:paraId="079CDD65">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0B9E8A4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w:t>
      </w:r>
    </w:p>
    <w:p w14:paraId="61FADA4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2.交货地点：甲方指定地点，乙方负责运送至甲方指定现场，并按甲方指定地点卸货。货物在验收合格并交付给甲方前的毁损、灭失，损失由乙方全额承担。</w:t>
      </w:r>
    </w:p>
    <w:p w14:paraId="09477A1E">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w:t>
      </w:r>
      <w:r>
        <w:rPr>
          <w:rFonts w:hint="eastAsia" w:ascii="仿宋_GB2312" w:hAnsi="仿宋_GB2312" w:eastAsia="仿宋_GB2312" w:cs="仿宋_GB2312"/>
          <w:color w:val="auto"/>
          <w:kern w:val="2"/>
          <w:sz w:val="28"/>
          <w:szCs w:val="28"/>
          <w:highlight w:val="yellow"/>
          <w:lang w:val="en-US" w:eastAsia="zh-CN" w:bidi="ar-SA"/>
        </w:rPr>
        <w:t>：在接到甲方通知之日起，25天内防火门交货进场、进场后7天门扇安装完成（具体根据实际情况安排进度）</w:t>
      </w:r>
      <w:r>
        <w:rPr>
          <w:rFonts w:hint="eastAsia" w:ascii="仿宋_GB2312" w:hAnsi="仿宋_GB2312" w:eastAsia="仿宋_GB2312" w:cs="仿宋_GB2312"/>
          <w:color w:val="auto"/>
          <w:kern w:val="2"/>
          <w:sz w:val="28"/>
          <w:szCs w:val="28"/>
          <w:highlight w:val="none"/>
          <w:lang w:val="en-US" w:eastAsia="zh-CN" w:bidi="ar-SA"/>
        </w:rPr>
        <w:t>。通知方式包括但不限于电话、短信、邮件、传真、微信，</w:t>
      </w:r>
      <w:permStart w:id="4" w:edGrp="everyone"/>
      <w:r>
        <w:rPr>
          <w:rFonts w:hint="eastAsia" w:ascii="仿宋_GB2312" w:hAnsi="仿宋_GB2312" w:eastAsia="仿宋_GB2312" w:cs="仿宋_GB2312"/>
          <w:color w:val="auto"/>
          <w:kern w:val="2"/>
          <w:sz w:val="28"/>
          <w:szCs w:val="28"/>
          <w:highlight w:val="none"/>
          <w:lang w:val="en-US" w:eastAsia="zh-CN" w:bidi="ar-SA"/>
        </w:rPr>
        <w:t>乙方确认其有效联系人姓名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permEnd w:id="4"/>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3FA3298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04699D1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后，需将货物卸至甲方指定地点，并经甲方签收确认。甲方指定</w:t>
      </w:r>
      <w:permStart w:id="5"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permEnd w:id="5"/>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19840CD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25FDD8E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7C35AE3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047A63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Calibri" w:eastAsia="仿宋_GB2312" w:cs="仿宋_GB2312"/>
          <w:kern w:val="2"/>
          <w:sz w:val="28"/>
          <w:szCs w:val="28"/>
          <w:highlight w:val="yellow"/>
          <w:lang w:val="en-US" w:eastAsia="zh-CN" w:bidi="ar"/>
        </w:rPr>
      </w:pPr>
      <w:r>
        <w:rPr>
          <w:rFonts w:hint="eastAsia" w:ascii="仿宋_GB2312" w:hAnsi="Calibri" w:eastAsia="仿宋_GB2312" w:cs="仿宋_GB2312"/>
          <w:kern w:val="2"/>
          <w:sz w:val="28"/>
          <w:szCs w:val="28"/>
          <w:highlight w:val="yellow"/>
          <w:lang w:val="en-US" w:eastAsia="zh-CN" w:bidi="ar"/>
        </w:rPr>
        <w:t>5.满足建设单位、监理单位、总承包单位关于现场安全文明施工、现场管理制度等的规定。</w:t>
      </w:r>
    </w:p>
    <w:p w14:paraId="6FD3B2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Calibri" w:eastAsia="仿宋_GB2312" w:cs="仿宋_GB2312"/>
          <w:kern w:val="2"/>
          <w:sz w:val="28"/>
          <w:szCs w:val="28"/>
          <w:highlight w:val="yellow"/>
          <w:lang w:val="en-US" w:eastAsia="zh-CN" w:bidi="ar"/>
        </w:rPr>
        <w:t>6.乙方负责配合甲方的验收工作，包含提供出具出厂合格证、检测报告及安装完成后的第三方检测报告（涉及到整体验收所需要的全部防火门的第三方检测报告及资料），保证乙方所承担的施工范围验收合格。</w:t>
      </w:r>
    </w:p>
    <w:p w14:paraId="702291D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703B41F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lang w:val="en-US" w:eastAsia="zh-CN"/>
        </w:rPr>
        <w:t xml:space="preserve"> 2 </w:t>
      </w:r>
      <w:permEnd w:id="6"/>
      <w:r>
        <w:rPr>
          <w:rFonts w:hint="eastAsia" w:ascii="仿宋_GB2312" w:hAnsi="仿宋_GB2312" w:eastAsia="仿宋_GB2312" w:cs="仿宋_GB2312"/>
          <w:color w:val="auto"/>
          <w:sz w:val="28"/>
          <w:szCs w:val="28"/>
          <w:highlight w:val="none"/>
          <w:lang w:val="en-US" w:eastAsia="zh-CN"/>
        </w:rPr>
        <w:t>年，质量保证期（以下简称质保期）为交工验收合格后</w:t>
      </w:r>
      <w:r>
        <w:rPr>
          <w:rFonts w:hint="eastAsia" w:ascii="仿宋_GB2312" w:hAnsi="仿宋_GB2312" w:eastAsia="仿宋_GB2312" w:cs="仿宋_GB2312"/>
          <w:color w:val="auto"/>
          <w:sz w:val="28"/>
          <w:szCs w:val="28"/>
          <w:highlight w:val="none"/>
          <w:u w:val="single"/>
          <w:lang w:val="en-US" w:eastAsia="zh-CN"/>
        </w:rPr>
        <w:t xml:space="preserve"> </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若乙方在响应文件中承诺质保期更长的，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08F2902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35C1611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5C22DCA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4.合同标的中若有进口产品，则乙方必须提供原产地证明、单机产品序列号、原生产厂商质量保证书、报关单等证明材料。</w:t>
      </w:r>
    </w:p>
    <w:p w14:paraId="0C57031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4959021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第五条  结算方式及期限</w:t>
      </w:r>
    </w:p>
    <w:p w14:paraId="5AFA8A40">
      <w:pPr>
        <w:keepNext w:val="0"/>
        <w:keepLines w:val="0"/>
        <w:pageBreakBefore w:val="0"/>
        <w:widowControl w:val="0"/>
        <w:kinsoku/>
        <w:wordWrap w:val="0"/>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1.全部产品到达甲方项目现场，甲方支付至合同金额</w:t>
      </w:r>
      <w:r>
        <w:rPr>
          <w:rFonts w:hint="eastAsia" w:ascii="仿宋_GB2312" w:hAnsi="仿宋_GB2312" w:eastAsia="仿宋_GB2312" w:cs="仿宋_GB2312"/>
          <w:color w:val="auto"/>
          <w:sz w:val="28"/>
          <w:szCs w:val="28"/>
          <w:highlight w:val="yellow"/>
          <w:u w:val="single"/>
          <w:lang w:val="en-US" w:eastAsia="zh-CN"/>
        </w:rPr>
        <w:t>50%</w:t>
      </w:r>
      <w:r>
        <w:rPr>
          <w:rFonts w:hint="eastAsia" w:ascii="仿宋_GB2312" w:hAnsi="仿宋_GB2312" w:eastAsia="仿宋_GB2312" w:cs="仿宋_GB2312"/>
          <w:color w:val="auto"/>
          <w:sz w:val="28"/>
          <w:szCs w:val="28"/>
          <w:highlight w:val="yellow"/>
          <w:lang w:val="en-US" w:eastAsia="zh-CN"/>
        </w:rPr>
        <w:t>的货款，全部产品安装完成后支付至合同金额的</w:t>
      </w:r>
      <w:r>
        <w:rPr>
          <w:rFonts w:hint="eastAsia" w:ascii="仿宋_GB2312" w:hAnsi="仿宋_GB2312" w:eastAsia="仿宋_GB2312" w:cs="仿宋_GB2312"/>
          <w:color w:val="auto"/>
          <w:sz w:val="28"/>
          <w:szCs w:val="28"/>
          <w:highlight w:val="yellow"/>
          <w:u w:val="single"/>
          <w:lang w:val="en-US" w:eastAsia="zh-CN"/>
        </w:rPr>
        <w:t>80%</w:t>
      </w:r>
      <w:r>
        <w:rPr>
          <w:rFonts w:hint="eastAsia" w:ascii="仿宋_GB2312" w:hAnsi="仿宋_GB2312" w:eastAsia="仿宋_GB2312" w:cs="仿宋_GB2312"/>
          <w:color w:val="auto"/>
          <w:sz w:val="28"/>
          <w:szCs w:val="28"/>
          <w:highlight w:val="yellow"/>
          <w:lang w:val="en-US" w:eastAsia="zh-CN"/>
        </w:rPr>
        <w:t>；经使用单位、甲方等验收合格后，支付至结算金额的</w:t>
      </w:r>
      <w:r>
        <w:rPr>
          <w:rFonts w:hint="eastAsia" w:ascii="仿宋_GB2312" w:hAnsi="仿宋_GB2312" w:eastAsia="仿宋_GB2312" w:cs="仿宋_GB2312"/>
          <w:color w:val="auto"/>
          <w:sz w:val="28"/>
          <w:szCs w:val="28"/>
          <w:highlight w:val="yellow"/>
          <w:u w:val="single"/>
          <w:lang w:val="en-US" w:eastAsia="zh-CN"/>
        </w:rPr>
        <w:t>97%</w:t>
      </w:r>
      <w:r>
        <w:rPr>
          <w:rFonts w:hint="eastAsia" w:ascii="仿宋_GB2312" w:hAnsi="仿宋_GB2312" w:eastAsia="仿宋_GB2312" w:cs="仿宋_GB2312"/>
          <w:color w:val="auto"/>
          <w:sz w:val="28"/>
          <w:szCs w:val="28"/>
          <w:highlight w:val="yellow"/>
          <w:lang w:val="en-US" w:eastAsia="zh-CN"/>
        </w:rPr>
        <w:t>；剩余3%作为质保金，在缺陷责任期后无质量问题一次性无息支付。</w:t>
      </w:r>
    </w:p>
    <w:p w14:paraId="3DA0D71F">
      <w:pPr>
        <w:keepNext w:val="0"/>
        <w:keepLines w:val="0"/>
        <w:pageBreakBefore w:val="0"/>
        <w:widowControl w:val="0"/>
        <w:kinsoku/>
        <w:wordWrap w:val="0"/>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2.履约保证金在合同履行完成无违约行为并经甲方认定同意后28天内无息退还。</w:t>
      </w:r>
    </w:p>
    <w:p w14:paraId="1B396E6B">
      <w:pPr>
        <w:keepNext w:val="0"/>
        <w:keepLines w:val="0"/>
        <w:pageBreakBefore w:val="0"/>
        <w:widowControl w:val="0"/>
        <w:kinsoku/>
        <w:wordWrap w:val="0"/>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乙方供货后15日内将所送货物的送货单(需为经甲方指定签收人签字确认的有效送货单)汇总后向甲方提交书面对账清单；最终结算乙方需派专业造价人员编制终期结算单，经甲方确认后方可作为价款结算和付款依据。若因乙方迟延提交对账清单，因此造成的损失由乙方自行承担。</w:t>
      </w:r>
    </w:p>
    <w:p w14:paraId="508079CA">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.乙方提供符合采购人财务要求的国家税务局13%增值税专用发票后办理结算，发票需要做到“三流一致”，也即“货物、劳务及应税服务流”、“资金流”、“发票流”必须都是同一受票方。</w:t>
      </w:r>
    </w:p>
    <w:p w14:paraId="3CD9C9D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3A8CC98B">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若逾期交货，需支付甲方逾期交货部分价款每日5%的违约金，迟延交付超过3日的，甲方有权解除合同或将乙方未完成的合同内容直接委托第三方继续履行，由第三方履行增加的费用，甲方将直接从乙方材料款中扣除。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14:paraId="52324302">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14:paraId="51C98C09">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3.乙方违反合同约定的其他自身义务时，给甲方造成损失的，甲方均有权解除合同，并有权要求乙方按上述第1、2项规定承担赔偿责任，支付违约金。</w:t>
      </w:r>
    </w:p>
    <w:p w14:paraId="01BC0B5C">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4.对于乙方因违反本合同约定需支付的违约金，甲方有权在应付货款中直接予以扣除。</w:t>
      </w:r>
    </w:p>
    <w:p w14:paraId="72B22A9F">
      <w:pPr>
        <w:keepNext w:val="0"/>
        <w:keepLines w:val="0"/>
        <w:pageBreakBefore w:val="0"/>
        <w:overflowPunct/>
        <w:bidi w:val="0"/>
        <w:spacing w:line="540" w:lineRule="atLeas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5.禁止转包分包</w:t>
      </w:r>
    </w:p>
    <w:p w14:paraId="28733A15">
      <w:pPr>
        <w:keepNext w:val="0"/>
        <w:keepLines w:val="0"/>
        <w:pageBreakBefore w:val="0"/>
        <w:overflowPunct/>
        <w:bidi w:val="0"/>
        <w:spacing w:line="540" w:lineRule="atLeas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鉴于保护合同双方权益及确保工程质量和进度，双方明确以下转包分包相关事项:</w:t>
      </w:r>
    </w:p>
    <w:p w14:paraId="495171FD">
      <w:pPr>
        <w:keepNext w:val="0"/>
        <w:keepLines w:val="0"/>
        <w:pageBreakBefore w:val="0"/>
        <w:overflowPunct/>
        <w:bidi w:val="0"/>
        <w:spacing w:line="540" w:lineRule="atLeas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（1）乙方不得将本合同项下的任何部分工程转包或分包给任何第三方。如有特殊情况，必须经甲方书面同意。</w:t>
      </w:r>
    </w:p>
    <w:p w14:paraId="3B6F688B">
      <w:pPr>
        <w:keepNext w:val="0"/>
        <w:keepLines w:val="0"/>
        <w:pageBreakBefore w:val="0"/>
        <w:overflowPunct/>
        <w:bidi w:val="0"/>
        <w:spacing w:line="540" w:lineRule="atLeas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（2）若乙方未经甲方同意擅自转包或分包 ,甲方有权立即终止本合同并要求乙方承担由此造成的一切损失。</w:t>
      </w:r>
    </w:p>
    <w:p w14:paraId="12A55565">
      <w:pPr>
        <w:keepNext w:val="0"/>
        <w:keepLines w:val="0"/>
        <w:pageBreakBefore w:val="0"/>
        <w:overflowPunct/>
        <w:bidi w:val="0"/>
        <w:spacing w:line="540" w:lineRule="atLeas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（3）乙方与任何第三方签订的与本合同相关的协议或承诺书 ,对甲方不具有法律约束力，除非得到甲方的书面确认。</w:t>
      </w:r>
    </w:p>
    <w:p w14:paraId="3039B242">
      <w:pPr>
        <w:keepNext w:val="0"/>
        <w:keepLines w:val="0"/>
        <w:pageBreakBefore w:val="0"/>
        <w:overflowPunct/>
        <w:bidi w:val="0"/>
        <w:spacing w:line="540" w:lineRule="atLeast"/>
        <w:ind w:firstLine="562" w:firstLineChars="200"/>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7D108CC1">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0AB4C1E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5008757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2.乙方必须服从甲方指定项目部的全面协调管理工作，乙方在装卸中，严格遵守执行安全操作规范、防火规定、工艺规范等规范规定以及质量标准。</w:t>
      </w:r>
    </w:p>
    <w:p w14:paraId="63786B5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61D4D8C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62BB100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6E08287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在履行合同期间发生纠份，先由双方协商解决，协商不成，双方约定向甲方所在地人民法院提起诉讼。</w:t>
      </w:r>
    </w:p>
    <w:p w14:paraId="03B5A32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23321BA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72EED80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2.本合同自甲乙双方签字盖章之日起生效。</w:t>
      </w:r>
    </w:p>
    <w:p w14:paraId="54795CED">
      <w:pPr>
        <w:pStyle w:val="8"/>
        <w:keepNext w:val="0"/>
        <w:keepLines w:val="0"/>
        <w:pageBreakBefore w:val="0"/>
        <w:widowControl w:val="0"/>
        <w:kinsoku/>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 xml:space="preserve"> 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74FBDBE6">
      <w:pPr>
        <w:rPr>
          <w:rFonts w:hint="eastAsia"/>
          <w:color w:val="auto"/>
          <w:highlight w:val="none"/>
          <w:lang w:val="en-US" w:eastAsia="zh-CN"/>
        </w:rPr>
      </w:pPr>
    </w:p>
    <w:p w14:paraId="0E539A8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54C52340">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0F441F75">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296516E5">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145CF001">
      <w:pPr>
        <w:bidi w:val="0"/>
        <w:rPr>
          <w:rFonts w:hint="eastAsia"/>
          <w:color w:val="auto"/>
          <w:highlight w:val="none"/>
          <w:lang w:val="en-US" w:eastAsia="zh-CN"/>
        </w:rPr>
      </w:pPr>
    </w:p>
    <w:p w14:paraId="42CAA3C3">
      <w:pPr>
        <w:bidi w:val="0"/>
        <w:rPr>
          <w:rFonts w:hint="eastAsia"/>
          <w:color w:val="auto"/>
          <w:highlight w:val="none"/>
          <w:lang w:val="en-US" w:eastAsia="zh-CN"/>
        </w:rPr>
      </w:pPr>
    </w:p>
    <w:p w14:paraId="0459B56F">
      <w:pPr>
        <w:bidi w:val="0"/>
        <w:rPr>
          <w:rFonts w:hint="eastAsia"/>
          <w:color w:val="auto"/>
          <w:highlight w:val="none"/>
          <w:lang w:val="en-US" w:eastAsia="zh-CN"/>
        </w:rPr>
      </w:pPr>
    </w:p>
    <w:p w14:paraId="7E48442B">
      <w:pPr>
        <w:bidi w:val="0"/>
        <w:rPr>
          <w:rFonts w:hint="eastAsia"/>
          <w:color w:val="auto"/>
          <w:highlight w:val="none"/>
          <w:lang w:val="en-US" w:eastAsia="zh-CN"/>
        </w:rPr>
      </w:pPr>
    </w:p>
    <w:p w14:paraId="5C6DD48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8"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2E275CE1">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252969D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21C2B73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3D54B84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439D6B04">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3AFF306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2E8B940">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B9AFF4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28B146F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14:paraId="4F17CE9C">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5E2C09FA">
      <w:pPr>
        <w:pStyle w:val="8"/>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ermEnd w:id="8"/>
    <w:p w14:paraId="48133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180351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31156F85">
      <w:pPr>
        <w:pStyle w:val="8"/>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35EC4B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9" w:edGrp="everyone"/>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9"/>
      <w:r>
        <w:rPr>
          <w:rFonts w:hint="eastAsia" w:ascii="仿宋_GB2312" w:hAnsi="仿宋_GB2312" w:eastAsia="仿宋_GB2312" w:cs="仿宋_GB2312"/>
          <w:color w:val="auto"/>
          <w:sz w:val="28"/>
          <w:szCs w:val="28"/>
          <w:highlight w:val="none"/>
          <w:lang w:val="en-US" w:eastAsia="zh-CN"/>
        </w:rPr>
        <w:t>项目名称）的采购人</w:t>
      </w:r>
      <w:permStart w:id="10"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0"/>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1" w:edGrp="everyone"/>
      <w:r>
        <w:rPr>
          <w:rFonts w:hint="eastAsia" w:ascii="仿宋_GB2312" w:hAnsi="仿宋_GB2312" w:eastAsia="仿宋_GB2312" w:cs="仿宋_GB2312"/>
          <w:color w:val="auto"/>
          <w:sz w:val="28"/>
          <w:szCs w:val="28"/>
          <w:highlight w:val="none"/>
          <w:u w:val="single"/>
          <w:lang w:val="en-US" w:eastAsia="zh-CN"/>
        </w:rPr>
        <w:t xml:space="preserve">               </w:t>
      </w:r>
      <w:permEnd w:id="11"/>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7FB627F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32C2B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118726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2"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2"/>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49CF44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BFBE22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6DCFD39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C66157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56F5C3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172FB8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2B4CA19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6A0EAB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7954EC1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58F3ABD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D308A6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6481D8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35DC8C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26DB0A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16747EB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7B8295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31BE16A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5E200EA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1FE92E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0249BA9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140B07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6F9F57B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6347C8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67E9B1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3" w:edGrp="everyone"/>
      <w:r>
        <w:rPr>
          <w:rFonts w:hint="eastAsia" w:ascii="仿宋_GB2312" w:hAnsi="仿宋_GB2312" w:eastAsia="仿宋_GB2312" w:cs="仿宋_GB2312"/>
          <w:color w:val="auto"/>
          <w:sz w:val="28"/>
          <w:szCs w:val="28"/>
          <w:highlight w:val="none"/>
          <w:u w:val="single"/>
          <w:lang w:val="en-US" w:eastAsia="zh-CN"/>
        </w:rPr>
        <w:t xml:space="preserve">                             </w:t>
      </w:r>
      <w:permEnd w:id="13"/>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5B244C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6204CED3">
      <w:pPr>
        <w:pStyle w:val="8"/>
        <w:rPr>
          <w:rFonts w:hint="eastAsia" w:ascii="仿宋_GB2312" w:hAnsi="仿宋_GB2312" w:eastAsia="仿宋_GB2312" w:cs="仿宋_GB2312"/>
          <w:color w:val="auto"/>
          <w:sz w:val="28"/>
          <w:szCs w:val="28"/>
          <w:highlight w:val="none"/>
          <w:lang w:val="en-US" w:eastAsia="zh-CN"/>
        </w:rPr>
      </w:pPr>
    </w:p>
    <w:p w14:paraId="338FDA26">
      <w:pPr>
        <w:rPr>
          <w:rFonts w:hint="eastAsia"/>
          <w:color w:val="auto"/>
          <w:highlight w:val="none"/>
        </w:rPr>
      </w:pPr>
    </w:p>
    <w:p w14:paraId="7A62828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85089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法定代表或</w:t>
      </w:r>
    </w:p>
    <w:p w14:paraId="6B3319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04871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6A5AC290">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textWrapping"/>
      </w:r>
    </w:p>
    <w:p w14:paraId="5CC82B49">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046723DE">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2426871">
      <w:pPr>
        <w:pStyle w:val="8"/>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1286EE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permStart w:id="14" w:edGrp="everyone"/>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4"/>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 xml:space="preserve">采购人 </w:t>
      </w:r>
      <w:permStart w:id="15" w:edGrp="everyone"/>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5"/>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6" w:edGrp="everyone"/>
      <w:r>
        <w:rPr>
          <w:rFonts w:hint="eastAsia" w:ascii="仿宋_GB2312" w:hAnsi="仿宋_GB2312" w:eastAsia="仿宋_GB2312" w:cs="仿宋_GB2312"/>
          <w:color w:val="auto"/>
          <w:sz w:val="28"/>
          <w:szCs w:val="28"/>
          <w:highlight w:val="none"/>
          <w:u w:val="single"/>
          <w:lang w:val="en-US" w:eastAsia="zh-CN"/>
        </w:rPr>
        <w:t xml:space="preserve">              </w:t>
      </w:r>
      <w:permEnd w:id="16"/>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2E5E85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相关安全法律、行政法规和规章，在平等、自愿、公平和诚实信用的原则下，双方就材料供应、运输安全事项协商一致，双方达成如下协议：</w:t>
      </w:r>
    </w:p>
    <w:p w14:paraId="242E3B1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7AB19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14:paraId="731BB4C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3FF7D1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488D41D6">
      <w:pPr>
        <w:pStyle w:val="8"/>
        <w:rPr>
          <w:rFonts w:hint="eastAsia"/>
          <w:color w:val="auto"/>
          <w:highlight w:val="none"/>
        </w:rPr>
      </w:pPr>
    </w:p>
    <w:p w14:paraId="637765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w:t>
      </w:r>
    </w:p>
    <w:p w14:paraId="6E44A0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六、乙方应确保货物在卸载过程中，装卸工有安全防护措施，发现不安全因素，及时处理。在甲方区域，禁止出现无证操作、无证驾驶现象。</w:t>
      </w:r>
    </w:p>
    <w:p w14:paraId="234279C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3D7D98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2A61F0C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 xml:space="preserve">、争议的解决 </w:t>
      </w:r>
    </w:p>
    <w:p w14:paraId="5AAF72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27AC82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4E82B3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5FA16A4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344703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315DCC8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2F51B0FA">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05A2561D">
      <w:pPr>
        <w:pStyle w:val="11"/>
        <w:adjustRightInd w:val="0"/>
        <w:snapToGrid w:val="0"/>
        <w:jc w:val="left"/>
        <w:rPr>
          <w:rFonts w:hint="eastAsia" w:ascii="仿宋_GB2312" w:hAnsi="仿宋_GB2312" w:eastAsia="仿宋_GB2312" w:cs="仿宋_GB2312"/>
          <w:b/>
          <w:color w:val="auto"/>
          <w:sz w:val="28"/>
          <w:szCs w:val="28"/>
          <w:highlight w:val="none"/>
          <w:lang w:val="en-US" w:eastAsia="zh-CN"/>
        </w:rPr>
      </w:pPr>
    </w:p>
    <w:p w14:paraId="08910F88">
      <w:pPr>
        <w:pStyle w:val="11"/>
        <w:adjustRightInd w:val="0"/>
        <w:snapToGrid w:val="0"/>
        <w:jc w:val="left"/>
        <w:rPr>
          <w:rFonts w:hint="default" w:ascii="Times New Roman" w:hAnsi="Times New Roman" w:eastAsia="华文中宋" w:cs="Times New Roman"/>
          <w:b/>
          <w:smallCaps/>
          <w:color w:val="auto"/>
          <w:sz w:val="24"/>
          <w:szCs w:val="24"/>
          <w:highlight w:val="none"/>
          <w:lang w:val="en-US" w:eastAsia="zh-CN"/>
        </w:rPr>
      </w:pPr>
      <w:r>
        <w:rPr>
          <w:rFonts w:hint="eastAsia" w:ascii="仿宋_GB2312" w:hAnsi="仿宋_GB2312" w:eastAsia="仿宋_GB2312" w:cs="仿宋_GB2312"/>
          <w:b/>
          <w:color w:val="auto"/>
          <w:sz w:val="28"/>
          <w:szCs w:val="28"/>
          <w:highlight w:val="none"/>
          <w:lang w:val="en-US" w:eastAsia="zh-CN"/>
        </w:rPr>
        <w:t>附件3：后附报价清单</w:t>
      </w:r>
    </w:p>
    <w:p w14:paraId="729876BA">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lang w:val="en-US" w:eastAsia="zh-CN"/>
        </w:rPr>
      </w:pPr>
    </w:p>
    <w:p w14:paraId="44C7AAEA">
      <w:pPr>
        <w:pStyle w:val="9"/>
        <w:bidi w:val="0"/>
        <w:rPr>
          <w:rFonts w:hint="eastAsia"/>
          <w:color w:val="auto"/>
          <w:highlight w:val="none"/>
        </w:rPr>
      </w:pPr>
    </w:p>
    <w:p w14:paraId="57FD5F42">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0D1130A1">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316DFA0D">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2033EE4E">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12E9AE00">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2F26F749">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582EACC5">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09840CA3">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4992CA58">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69DC150F">
      <w:pPr>
        <w:pStyle w:val="33"/>
        <w:jc w:val="center"/>
        <w:rPr>
          <w:rFonts w:hint="eastAsia" w:ascii="宋体" w:hAnsi="宋体" w:eastAsia="宋体" w:cs="宋体"/>
          <w:b/>
          <w:bCs/>
          <w:color w:val="auto"/>
          <w:sz w:val="28"/>
          <w:szCs w:val="28"/>
          <w:highlight w:val="none"/>
          <w:lang w:val="en-US" w:eastAsia="zh-CN"/>
        </w:rPr>
      </w:pPr>
    </w:p>
    <w:p w14:paraId="56324A43">
      <w:pPr>
        <w:pStyle w:val="33"/>
        <w:jc w:val="center"/>
        <w:rPr>
          <w:rFonts w:hint="eastAsia" w:ascii="宋体" w:hAnsi="宋体" w:eastAsia="宋体" w:cs="宋体"/>
          <w:b/>
          <w:bCs/>
          <w:color w:val="auto"/>
          <w:sz w:val="28"/>
          <w:szCs w:val="28"/>
          <w:highlight w:val="none"/>
          <w:lang w:val="en-US" w:eastAsia="zh-CN"/>
        </w:rPr>
      </w:pPr>
    </w:p>
    <w:p w14:paraId="40178912">
      <w:pPr>
        <w:pStyle w:val="33"/>
        <w:jc w:val="center"/>
        <w:rPr>
          <w:rFonts w:hint="eastAsia" w:ascii="宋体" w:hAnsi="宋体" w:eastAsia="宋体" w:cs="宋体"/>
          <w:b/>
          <w:bCs/>
          <w:color w:val="auto"/>
          <w:sz w:val="28"/>
          <w:szCs w:val="28"/>
          <w:highlight w:val="none"/>
          <w:lang w:val="en-US" w:eastAsia="zh-CN"/>
        </w:rPr>
      </w:pPr>
    </w:p>
    <w:p w14:paraId="3D9FB0D6">
      <w:pPr>
        <w:pStyle w:val="33"/>
        <w:jc w:val="center"/>
        <w:rPr>
          <w:rFonts w:hint="eastAsia" w:ascii="宋体" w:hAnsi="宋体" w:eastAsia="宋体" w:cs="宋体"/>
          <w:b/>
          <w:bCs/>
          <w:color w:val="auto"/>
          <w:sz w:val="28"/>
          <w:szCs w:val="28"/>
          <w:highlight w:val="none"/>
          <w:lang w:val="en-US" w:eastAsia="zh-CN"/>
        </w:rPr>
      </w:pPr>
    </w:p>
    <w:p w14:paraId="2A3C4900">
      <w:pPr>
        <w:pStyle w:val="33"/>
        <w:jc w:val="center"/>
        <w:rPr>
          <w:rFonts w:hint="eastAsia" w:ascii="宋体" w:hAnsi="宋体" w:eastAsia="宋体" w:cs="宋体"/>
          <w:b/>
          <w:bCs/>
          <w:color w:val="auto"/>
          <w:sz w:val="28"/>
          <w:szCs w:val="28"/>
          <w:highlight w:val="none"/>
          <w:lang w:val="en-US" w:eastAsia="zh-CN"/>
        </w:rPr>
      </w:pPr>
    </w:p>
    <w:p w14:paraId="297C38F8">
      <w:pPr>
        <w:pStyle w:val="2"/>
        <w:numPr>
          <w:ilvl w:val="255"/>
          <w:numId w:val="0"/>
        </w:numPr>
        <w:spacing w:before="312" w:after="312"/>
        <w:ind w:left="402"/>
        <w:rPr>
          <w:rFonts w:ascii="Times New Roman" w:hAnsi="Times New Roman" w:eastAsia="宋体" w:cs="Times New Roman"/>
          <w:color w:val="auto"/>
          <w:highlight w:val="none"/>
        </w:rPr>
      </w:pPr>
      <w:bookmarkStart w:id="64" w:name="_Toc17748"/>
      <w:r>
        <w:rPr>
          <w:rFonts w:hint="eastAsia" w:ascii="Times New Roman" w:hAnsi="Times New Roman" w:eastAsia="宋体" w:cs="Times New Roman"/>
          <w:color w:val="auto"/>
          <w:highlight w:val="none"/>
          <w:lang w:val="en-US" w:eastAsia="zh-CN"/>
        </w:rPr>
        <w:t>第五章</w:t>
      </w:r>
      <w:r>
        <w:rPr>
          <w:rFonts w:hint="eastAsia" w:ascii="Times New Roman" w:hAnsi="Times New Roman" w:eastAsia="宋体" w:cs="Times New Roman"/>
          <w:color w:val="FF0000"/>
          <w:highlight w:val="none"/>
          <w:lang w:val="en-US" w:eastAsia="zh-CN"/>
        </w:rPr>
        <w:t xml:space="preserve"> </w:t>
      </w:r>
      <w:bookmarkStart w:id="65" w:name="_Toc25485"/>
      <w:bookmarkStart w:id="66" w:name="_Toc31285"/>
      <w:r>
        <w:rPr>
          <w:rFonts w:hint="eastAsia" w:ascii="Times New Roman" w:hAnsi="Times New Roman" w:eastAsia="宋体" w:cs="Times New Roman"/>
          <w:color w:val="auto"/>
          <w:highlight w:val="none"/>
          <w:lang w:val="en-US" w:eastAsia="zh-CN"/>
        </w:rPr>
        <w:t>采购需求及清单</w:t>
      </w:r>
      <w:bookmarkEnd w:id="64"/>
      <w:bookmarkEnd w:id="65"/>
      <w:bookmarkEnd w:id="66"/>
    </w:p>
    <w:p w14:paraId="59E52AAF">
      <w:pPr>
        <w:pStyle w:val="19"/>
        <w:numPr>
          <w:ilvl w:val="0"/>
          <w:numId w:val="0"/>
        </w:numPr>
        <w:jc w:val="both"/>
        <w:rPr>
          <w:rFonts w:hint="eastAsia" w:ascii="宋体" w:hAnsi="宋体" w:cs="宋体"/>
          <w:b/>
          <w:color w:val="auto"/>
          <w:sz w:val="21"/>
          <w:szCs w:val="21"/>
          <w:highlight w:val="none"/>
        </w:rPr>
      </w:pPr>
    </w:p>
    <w:p w14:paraId="4FA5350D">
      <w:pPr>
        <w:pStyle w:val="19"/>
        <w:numPr>
          <w:ilvl w:val="0"/>
          <w:numId w:val="0"/>
        </w:numPr>
        <w:jc w:val="both"/>
        <w:rPr>
          <w:rFonts w:hint="eastAsia" w:ascii="宋体" w:hAnsi="宋体" w:cs="宋体"/>
          <w:b/>
          <w:color w:val="auto"/>
          <w:sz w:val="21"/>
          <w:szCs w:val="21"/>
          <w:highlight w:val="none"/>
        </w:rPr>
      </w:pPr>
    </w:p>
    <w:p w14:paraId="45C5A6E3">
      <w:pPr>
        <w:pStyle w:val="19"/>
        <w:numPr>
          <w:ilvl w:val="0"/>
          <w:numId w:val="4"/>
        </w:numPr>
        <w:ind w:firstLine="0" w:firstLineChars="0"/>
        <w:jc w:val="center"/>
        <w:rPr>
          <w:rFonts w:hint="eastAsia" w:ascii="宋体" w:hAnsi="宋体" w:cs="宋体"/>
          <w:b/>
          <w:color w:val="auto"/>
          <w:sz w:val="21"/>
          <w:szCs w:val="21"/>
          <w:highlight w:val="yellow"/>
        </w:rPr>
      </w:pPr>
      <w:r>
        <w:rPr>
          <w:rFonts w:hint="eastAsia" w:ascii="宋体" w:hAnsi="宋体" w:cs="宋体"/>
          <w:b/>
          <w:color w:val="auto"/>
          <w:sz w:val="28"/>
          <w:szCs w:val="28"/>
          <w:highlight w:val="yellow"/>
        </w:rPr>
        <w:t>材料报价清单</w:t>
      </w:r>
    </w:p>
    <w:p w14:paraId="6041B04F">
      <w:pPr>
        <w:snapToGrid w:val="0"/>
        <w:spacing w:line="400" w:lineRule="exact"/>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（清单详见附件）</w:t>
      </w:r>
    </w:p>
    <w:p w14:paraId="2AA64ED5">
      <w:pPr>
        <w:pStyle w:val="8"/>
        <w:rPr>
          <w:rFonts w:hint="eastAsia"/>
          <w:color w:val="auto"/>
          <w:sz w:val="21"/>
          <w:szCs w:val="24"/>
          <w:highlight w:val="none"/>
        </w:rPr>
      </w:pPr>
    </w:p>
    <w:p w14:paraId="42DEFAB8">
      <w:pPr>
        <w:snapToGrid w:val="0"/>
        <w:spacing w:line="400" w:lineRule="exact"/>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备注：</w:t>
      </w:r>
      <w:r>
        <w:rPr>
          <w:rFonts w:hint="eastAsia" w:ascii="宋体" w:hAnsi="宋体" w:cs="宋体"/>
          <w:color w:val="auto"/>
          <w:sz w:val="24"/>
          <w:szCs w:val="24"/>
          <w:highlight w:val="none"/>
        </w:rPr>
        <w:t>1.上述费用包括货物的原材料、生产、包装、运输、</w:t>
      </w:r>
      <w:r>
        <w:rPr>
          <w:rFonts w:hint="eastAsia" w:ascii="宋体" w:hAnsi="宋体" w:cs="宋体"/>
          <w:color w:val="auto"/>
          <w:sz w:val="24"/>
          <w:szCs w:val="24"/>
          <w:highlight w:val="none"/>
          <w:lang w:val="en-US" w:eastAsia="zh-CN"/>
        </w:rPr>
        <w:t>安装费、</w:t>
      </w:r>
      <w:r>
        <w:rPr>
          <w:rFonts w:hint="eastAsia" w:ascii="宋体" w:hAnsi="宋体" w:cs="宋体"/>
          <w:color w:val="auto"/>
          <w:sz w:val="24"/>
          <w:szCs w:val="24"/>
          <w:highlight w:val="none"/>
        </w:rPr>
        <w:t>保险、卸货叉车费（如有）、人工费、卸车费、利润、税费等相关费用。</w:t>
      </w:r>
    </w:p>
    <w:p w14:paraId="0E76C909">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2.最终结算以实际供货数量为准，送货时附带相关检测报告。</w:t>
      </w:r>
    </w:p>
    <w:p w14:paraId="726843D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A7DD4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none"/>
          <w:lang w:val="en-US" w:eastAsia="zh-CN"/>
        </w:rPr>
        <w:t>标的物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B0779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供货进度应满足采购人工程进度分批次实施的安排和要求，中标人应充分理解并全力配合采购人的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材料采购、进场工作，并承担因送货次数增加而引起的运输成本增加等相应风险。</w:t>
      </w:r>
    </w:p>
    <w:p w14:paraId="60782775">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6.中标人对提供的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材料质量问题，将视作违约，中标人须赔偿由此造成返工的全部工程建设费用及其他一切损失，同时由采购人追究中标人的违约责任，情节严重的，依法追究相关责任。</w:t>
      </w:r>
    </w:p>
    <w:p w14:paraId="04BA7EFC">
      <w:pPr>
        <w:spacing w:beforeLines="0" w:afterLines="0"/>
        <w:rPr>
          <w:rFonts w:hint="default"/>
          <w:color w:val="auto"/>
          <w:sz w:val="21"/>
          <w:szCs w:val="24"/>
          <w:highlight w:val="none"/>
        </w:rPr>
      </w:pPr>
    </w:p>
    <w:p w14:paraId="2B294AE4">
      <w:pPr>
        <w:bidi w:val="0"/>
        <w:rPr>
          <w:rFonts w:hint="eastAsia"/>
          <w:color w:val="auto"/>
          <w:highlight w:val="none"/>
          <w:lang w:val="en-US" w:eastAsia="zh-CN"/>
        </w:rPr>
      </w:pPr>
    </w:p>
    <w:p w14:paraId="621B7C68">
      <w:pPr>
        <w:bidi w:val="0"/>
        <w:rPr>
          <w:rFonts w:hint="eastAsia"/>
          <w:color w:val="auto"/>
          <w:highlight w:val="none"/>
          <w:lang w:val="en-US" w:eastAsia="zh-CN"/>
        </w:rPr>
      </w:pPr>
    </w:p>
    <w:p w14:paraId="3D82E133">
      <w:pPr>
        <w:bidi w:val="0"/>
        <w:rPr>
          <w:rFonts w:hint="eastAsia"/>
          <w:color w:val="auto"/>
          <w:highlight w:val="none"/>
          <w:lang w:val="en-US" w:eastAsia="zh-CN"/>
        </w:rPr>
      </w:pPr>
    </w:p>
    <w:p w14:paraId="31AE0F03">
      <w:pPr>
        <w:bidi w:val="0"/>
        <w:rPr>
          <w:rFonts w:hint="eastAsia"/>
          <w:color w:val="auto"/>
          <w:highlight w:val="none"/>
          <w:lang w:val="en-US" w:eastAsia="zh-CN"/>
        </w:rPr>
      </w:pPr>
    </w:p>
    <w:p w14:paraId="7768D7FB">
      <w:pPr>
        <w:bidi w:val="0"/>
        <w:rPr>
          <w:rFonts w:hint="eastAsia"/>
          <w:color w:val="auto"/>
          <w:highlight w:val="none"/>
          <w:lang w:val="en-US" w:eastAsia="zh-CN"/>
        </w:rPr>
      </w:pPr>
    </w:p>
    <w:p w14:paraId="3624D419">
      <w:pPr>
        <w:bidi w:val="0"/>
        <w:rPr>
          <w:rFonts w:hint="eastAsia"/>
          <w:color w:val="auto"/>
          <w:highlight w:val="none"/>
          <w:lang w:val="en-US" w:eastAsia="zh-CN"/>
        </w:rPr>
      </w:pPr>
    </w:p>
    <w:p w14:paraId="1CA144A5">
      <w:pPr>
        <w:bidi w:val="0"/>
        <w:rPr>
          <w:rFonts w:hint="eastAsia"/>
          <w:color w:val="auto"/>
          <w:highlight w:val="none"/>
          <w:lang w:val="en-US" w:eastAsia="zh-CN"/>
        </w:rPr>
      </w:pPr>
    </w:p>
    <w:p w14:paraId="5898F86C">
      <w:pPr>
        <w:bidi w:val="0"/>
        <w:rPr>
          <w:rFonts w:hint="eastAsia"/>
          <w:color w:val="auto"/>
          <w:highlight w:val="none"/>
          <w:lang w:val="en-US" w:eastAsia="zh-CN"/>
        </w:rPr>
      </w:pPr>
    </w:p>
    <w:p w14:paraId="32051DD8">
      <w:pPr>
        <w:bidi w:val="0"/>
        <w:rPr>
          <w:rFonts w:hint="eastAsia"/>
          <w:color w:val="auto"/>
          <w:highlight w:val="none"/>
          <w:lang w:val="en-US" w:eastAsia="zh-CN"/>
        </w:rPr>
      </w:pPr>
    </w:p>
    <w:p w14:paraId="32999A66">
      <w:pPr>
        <w:bidi w:val="0"/>
        <w:rPr>
          <w:rFonts w:hint="eastAsia"/>
          <w:color w:val="auto"/>
          <w:highlight w:val="none"/>
          <w:lang w:val="en-US" w:eastAsia="zh-CN"/>
        </w:rPr>
      </w:pPr>
    </w:p>
    <w:p w14:paraId="0C026B4F">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highlight w:val="none"/>
          <w:lang w:val="en-US" w:eastAsia="zh-CN"/>
        </w:rPr>
      </w:pPr>
    </w:p>
    <w:p w14:paraId="7A209A64">
      <w:pPr>
        <w:rPr>
          <w:rFonts w:hint="eastAsia"/>
          <w:color w:val="auto"/>
          <w:highlight w:val="none"/>
          <w:lang w:val="en-US" w:eastAsia="zh-CN"/>
        </w:rPr>
      </w:pPr>
    </w:p>
    <w:p w14:paraId="79600E89">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highlight w:val="none"/>
        </w:rPr>
      </w:pPr>
      <w:bookmarkStart w:id="67" w:name="_Toc7895"/>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bookmarkEnd w:id="67"/>
    </w:p>
    <w:p w14:paraId="09D6E9D9">
      <w:pPr>
        <w:pStyle w:val="4"/>
        <w:rPr>
          <w:rFonts w:hint="eastAsia" w:ascii="方正小标宋简体" w:hAnsi="方正小标宋简体" w:eastAsia="方正小标宋简体" w:cs="方正小标宋简体"/>
          <w:color w:val="auto"/>
          <w:kern w:val="2"/>
          <w:sz w:val="44"/>
          <w:szCs w:val="44"/>
          <w:highlight w:val="none"/>
          <w:u w:val="single"/>
        </w:rPr>
      </w:pPr>
      <w:bookmarkStart w:id="68" w:name="_Toc26419"/>
    </w:p>
    <w:p w14:paraId="6E954DF9">
      <w:pPr>
        <w:rPr>
          <w:rFonts w:hint="eastAsia" w:ascii="方正小标宋简体" w:hAnsi="方正小标宋简体" w:eastAsia="方正小标宋简体" w:cs="方正小标宋简体"/>
          <w:color w:val="auto"/>
          <w:kern w:val="2"/>
          <w:sz w:val="44"/>
          <w:szCs w:val="44"/>
          <w:highlight w:val="none"/>
          <w:u w:val="single"/>
        </w:rPr>
      </w:pPr>
    </w:p>
    <w:p w14:paraId="7078C935">
      <w:pPr>
        <w:pStyle w:val="8"/>
        <w:rPr>
          <w:rFonts w:hint="eastAsia" w:ascii="方正小标宋简体" w:hAnsi="方正小标宋简体" w:eastAsia="方正小标宋简体" w:cs="方正小标宋简体"/>
          <w:color w:val="auto"/>
          <w:kern w:val="2"/>
          <w:sz w:val="44"/>
          <w:szCs w:val="44"/>
          <w:highlight w:val="none"/>
          <w:u w:val="single"/>
        </w:rPr>
      </w:pPr>
    </w:p>
    <w:p w14:paraId="3514E7CF">
      <w:pPr>
        <w:pStyle w:val="13"/>
        <w:rPr>
          <w:rFonts w:hint="eastAsia" w:ascii="方正小标宋简体" w:hAnsi="方正小标宋简体" w:eastAsia="方正小标宋简体" w:cs="方正小标宋简体"/>
          <w:color w:val="auto"/>
          <w:kern w:val="2"/>
          <w:sz w:val="44"/>
          <w:szCs w:val="44"/>
          <w:highlight w:val="none"/>
          <w:u w:val="single"/>
        </w:rPr>
      </w:pPr>
    </w:p>
    <w:p w14:paraId="367D7D36">
      <w:pPr>
        <w:pStyle w:val="14"/>
        <w:rPr>
          <w:rFonts w:hint="eastAsia" w:ascii="方正小标宋简体" w:hAnsi="方正小标宋简体" w:eastAsia="方正小标宋简体" w:cs="方正小标宋简体"/>
          <w:color w:val="auto"/>
          <w:kern w:val="2"/>
          <w:sz w:val="44"/>
          <w:szCs w:val="44"/>
          <w:highlight w:val="none"/>
          <w:u w:val="single"/>
        </w:rPr>
      </w:pPr>
    </w:p>
    <w:p w14:paraId="7DCB3744">
      <w:pPr>
        <w:rPr>
          <w:rFonts w:hint="eastAsia" w:ascii="方正小标宋简体" w:hAnsi="方正小标宋简体" w:eastAsia="方正小标宋简体" w:cs="方正小标宋简体"/>
          <w:color w:val="auto"/>
          <w:kern w:val="2"/>
          <w:sz w:val="44"/>
          <w:szCs w:val="44"/>
          <w:highlight w:val="none"/>
          <w:u w:val="single"/>
        </w:rPr>
      </w:pPr>
    </w:p>
    <w:p w14:paraId="3B18BD7D">
      <w:pPr>
        <w:rPr>
          <w:rFonts w:hint="eastAsia" w:ascii="方正小标宋简体" w:hAnsi="方正小标宋简体" w:eastAsia="方正小标宋简体" w:cs="方正小标宋简体"/>
          <w:color w:val="auto"/>
          <w:kern w:val="2"/>
          <w:sz w:val="44"/>
          <w:szCs w:val="44"/>
          <w:highlight w:val="none"/>
          <w:u w:val="single"/>
        </w:rPr>
      </w:pPr>
    </w:p>
    <w:p w14:paraId="35D4A841">
      <w:pPr>
        <w:rPr>
          <w:rFonts w:hint="eastAsia" w:ascii="方正小标宋简体" w:hAnsi="方正小标宋简体" w:eastAsia="方正小标宋简体" w:cs="方正小标宋简体"/>
          <w:color w:val="auto"/>
          <w:kern w:val="2"/>
          <w:sz w:val="44"/>
          <w:szCs w:val="44"/>
          <w:highlight w:val="none"/>
          <w:u w:val="single"/>
        </w:rPr>
      </w:pPr>
    </w:p>
    <w:p w14:paraId="0C1DE984">
      <w:pPr>
        <w:rPr>
          <w:rFonts w:hint="eastAsia" w:ascii="方正小标宋简体" w:hAnsi="方正小标宋简体" w:eastAsia="方正小标宋简体" w:cs="方正小标宋简体"/>
          <w:color w:val="auto"/>
          <w:kern w:val="2"/>
          <w:sz w:val="44"/>
          <w:szCs w:val="44"/>
          <w:highlight w:val="none"/>
          <w:u w:val="single"/>
        </w:rPr>
      </w:pPr>
    </w:p>
    <w:p w14:paraId="61716E06">
      <w:pPr>
        <w:rPr>
          <w:rFonts w:hint="eastAsia" w:ascii="方正小标宋简体" w:hAnsi="方正小标宋简体" w:eastAsia="方正小标宋简体" w:cs="方正小标宋简体"/>
          <w:color w:val="auto"/>
          <w:kern w:val="2"/>
          <w:sz w:val="44"/>
          <w:szCs w:val="44"/>
          <w:highlight w:val="none"/>
          <w:u w:val="single"/>
        </w:rPr>
      </w:pPr>
    </w:p>
    <w:p w14:paraId="74203487">
      <w:pPr>
        <w:pStyle w:val="8"/>
        <w:rPr>
          <w:rFonts w:hint="eastAsia" w:ascii="方正小标宋简体" w:hAnsi="方正小标宋简体" w:eastAsia="方正小标宋简体" w:cs="方正小标宋简体"/>
          <w:color w:val="auto"/>
          <w:kern w:val="2"/>
          <w:sz w:val="44"/>
          <w:szCs w:val="44"/>
          <w:highlight w:val="none"/>
          <w:u w:val="single"/>
        </w:rPr>
      </w:pPr>
    </w:p>
    <w:p w14:paraId="01B234F1">
      <w:pPr>
        <w:pStyle w:val="13"/>
        <w:rPr>
          <w:rFonts w:hint="eastAsia" w:ascii="方正小标宋简体" w:hAnsi="方正小标宋简体" w:eastAsia="方正小标宋简体" w:cs="方正小标宋简体"/>
          <w:color w:val="auto"/>
          <w:kern w:val="2"/>
          <w:sz w:val="44"/>
          <w:szCs w:val="44"/>
          <w:highlight w:val="none"/>
          <w:u w:val="single"/>
        </w:rPr>
      </w:pPr>
    </w:p>
    <w:p w14:paraId="7646EDF7">
      <w:pPr>
        <w:pStyle w:val="14"/>
        <w:rPr>
          <w:rFonts w:hint="eastAsia" w:ascii="方正小标宋简体" w:hAnsi="方正小标宋简体" w:eastAsia="方正小标宋简体" w:cs="方正小标宋简体"/>
          <w:color w:val="auto"/>
          <w:kern w:val="2"/>
          <w:sz w:val="44"/>
          <w:szCs w:val="44"/>
          <w:highlight w:val="none"/>
          <w:u w:val="single"/>
        </w:rPr>
      </w:pPr>
    </w:p>
    <w:p w14:paraId="7486429C">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p>
    <w:bookmarkEnd w:id="68"/>
    <w:p w14:paraId="2AAFFD7E">
      <w:pPr>
        <w:spacing w:line="400" w:lineRule="atLeast"/>
        <w:jc w:val="left"/>
        <w:rPr>
          <w:rFonts w:ascii="Times New Roman" w:hAnsi="Times New Roman" w:cs="Times New Roman"/>
          <w:color w:val="auto"/>
          <w:sz w:val="24"/>
          <w:szCs w:val="28"/>
          <w:highlight w:val="none"/>
        </w:rPr>
      </w:pPr>
    </w:p>
    <w:p w14:paraId="26618A24">
      <w:pPr>
        <w:spacing w:line="440" w:lineRule="exact"/>
        <w:jc w:val="center"/>
        <w:rPr>
          <w:rFonts w:hint="eastAsia" w:ascii="方正小标宋简体" w:hAnsi="方正小标宋简体" w:eastAsia="方正小标宋简体" w:cs="方正小标宋简体"/>
          <w:color w:val="auto"/>
          <w:sz w:val="44"/>
          <w:szCs w:val="44"/>
          <w:highlight w:val="none"/>
          <w:u w:val="single"/>
          <w:lang w:val="en-US" w:eastAsia="zh-CN"/>
        </w:rPr>
      </w:pPr>
    </w:p>
    <w:p w14:paraId="31EF6985">
      <w:pPr>
        <w:spacing w:line="360" w:lineRule="auto"/>
        <w:jc w:val="center"/>
        <w:outlineLvl w:val="0"/>
        <w:rPr>
          <w:rFonts w:hint="eastAsia" w:ascii="微软雅黑" w:hAnsi="微软雅黑" w:eastAsia="微软雅黑" w:cs="微软雅黑"/>
          <w:color w:val="auto"/>
          <w:sz w:val="48"/>
          <w:szCs w:val="48"/>
          <w:u w:val="single"/>
        </w:rPr>
      </w:pPr>
      <w:r>
        <w:rPr>
          <w:rFonts w:hint="eastAsia" w:ascii="微软雅黑" w:hAnsi="微软雅黑" w:eastAsia="微软雅黑" w:cs="微软雅黑"/>
          <w:color w:val="auto"/>
          <w:sz w:val="48"/>
          <w:szCs w:val="48"/>
          <w:u w:val="single"/>
        </w:rPr>
        <w:t>合肥市包河区BH202437号地块防火门</w:t>
      </w:r>
    </w:p>
    <w:p w14:paraId="44BD6859">
      <w:pPr>
        <w:spacing w:line="360" w:lineRule="auto"/>
        <w:jc w:val="center"/>
        <w:outlineLvl w:val="0"/>
        <w:rPr>
          <w:rFonts w:hint="eastAsia" w:ascii="微软雅黑" w:hAnsi="微软雅黑" w:eastAsia="微软雅黑" w:cs="微软雅黑"/>
          <w:color w:val="000000"/>
          <w:sz w:val="48"/>
          <w:szCs w:val="48"/>
        </w:rPr>
      </w:pPr>
      <w:r>
        <w:rPr>
          <w:rFonts w:hint="eastAsia" w:ascii="微软雅黑" w:hAnsi="微软雅黑" w:eastAsia="微软雅黑" w:cs="微软雅黑"/>
          <w:color w:val="auto"/>
          <w:sz w:val="48"/>
          <w:szCs w:val="48"/>
          <w:u w:val="single"/>
        </w:rPr>
        <w:t>采购及安装项目</w:t>
      </w:r>
      <w:r>
        <w:rPr>
          <w:rFonts w:hint="eastAsia" w:ascii="微软雅黑" w:hAnsi="微软雅黑" w:eastAsia="微软雅黑" w:cs="微软雅黑"/>
          <w:color w:val="FF0000"/>
          <w:sz w:val="48"/>
          <w:szCs w:val="48"/>
        </w:rPr>
        <w:t xml:space="preserve"> </w:t>
      </w:r>
      <w:r>
        <w:rPr>
          <w:rFonts w:hint="eastAsia" w:ascii="微软雅黑" w:hAnsi="微软雅黑" w:eastAsia="微软雅黑" w:cs="微软雅黑"/>
          <w:color w:val="000000"/>
          <w:sz w:val="48"/>
          <w:szCs w:val="48"/>
        </w:rPr>
        <w:t xml:space="preserve"> </w:t>
      </w:r>
    </w:p>
    <w:p w14:paraId="31590848">
      <w:pPr>
        <w:spacing w:line="440" w:lineRule="exact"/>
        <w:rPr>
          <w:rFonts w:ascii="Times New Roman" w:hAnsi="Times New Roman" w:eastAsia="黑体" w:cs="Times New Roman"/>
          <w:sz w:val="24"/>
        </w:rPr>
      </w:pPr>
    </w:p>
    <w:p w14:paraId="3F9F85DA">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65DED1E9">
      <w:pPr>
        <w:spacing w:line="440" w:lineRule="exact"/>
        <w:rPr>
          <w:rFonts w:ascii="Times New Roman" w:hAnsi="Times New Roman" w:eastAsia="黑体" w:cs="Times New Roman"/>
          <w:sz w:val="40"/>
          <w:szCs w:val="40"/>
        </w:rPr>
      </w:pPr>
    </w:p>
    <w:p w14:paraId="3027D00E">
      <w:pPr>
        <w:spacing w:line="440" w:lineRule="exact"/>
        <w:jc w:val="center"/>
        <w:rPr>
          <w:rFonts w:ascii="Times New Roman" w:hAnsi="Times New Roman" w:eastAsia="黑体" w:cs="Times New Roman"/>
          <w:sz w:val="40"/>
          <w:szCs w:val="40"/>
        </w:rPr>
      </w:pPr>
    </w:p>
    <w:p w14:paraId="02657EF5">
      <w:pPr>
        <w:spacing w:line="440" w:lineRule="exact"/>
        <w:jc w:val="center"/>
        <w:rPr>
          <w:rFonts w:ascii="Times New Roman" w:hAnsi="Times New Roman" w:eastAsia="黑体" w:cs="Times New Roman"/>
          <w:sz w:val="40"/>
          <w:szCs w:val="40"/>
        </w:rPr>
      </w:pPr>
    </w:p>
    <w:p w14:paraId="0AC436A1">
      <w:pPr>
        <w:spacing w:line="440" w:lineRule="exact"/>
        <w:jc w:val="center"/>
        <w:rPr>
          <w:rFonts w:ascii="Times New Roman" w:hAnsi="Times New Roman" w:eastAsia="黑体" w:cs="Times New Roman"/>
          <w:sz w:val="40"/>
          <w:szCs w:val="40"/>
        </w:rPr>
      </w:pPr>
    </w:p>
    <w:p w14:paraId="247065C1">
      <w:pPr>
        <w:jc w:val="center"/>
        <w:rPr>
          <w:rFonts w:ascii="Times New Roman" w:hAnsi="Times New Roman" w:eastAsia="黑体" w:cs="Times New Roman"/>
          <w:sz w:val="50"/>
          <w:szCs w:val="50"/>
        </w:rPr>
      </w:pPr>
      <w:bookmarkStart w:id="69" w:name="_Toc25266_WPSOffice_Level1"/>
      <w:bookmarkStart w:id="70" w:name="_Toc15083_WPSOffice_Level1"/>
      <w:bookmarkStart w:id="71" w:name="_Toc26260_WPSOffice_Level1"/>
      <w:r>
        <w:rPr>
          <w:rFonts w:ascii="Times New Roman" w:hAnsi="Times New Roman" w:eastAsia="黑体" w:cs="Times New Roman"/>
          <w:sz w:val="50"/>
          <w:szCs w:val="50"/>
        </w:rPr>
        <w:t>响  应  文  件</w:t>
      </w:r>
      <w:bookmarkEnd w:id="69"/>
      <w:bookmarkEnd w:id="70"/>
      <w:bookmarkEnd w:id="71"/>
    </w:p>
    <w:p w14:paraId="06FC6E7B">
      <w:pPr>
        <w:spacing w:line="440" w:lineRule="exact"/>
        <w:rPr>
          <w:rFonts w:ascii="Times New Roman" w:hAnsi="Times New Roman" w:eastAsia="黑体" w:cs="Times New Roman"/>
          <w:sz w:val="20"/>
          <w:szCs w:val="20"/>
        </w:rPr>
      </w:pPr>
    </w:p>
    <w:p w14:paraId="1D2712F4">
      <w:pPr>
        <w:spacing w:line="440" w:lineRule="exact"/>
        <w:rPr>
          <w:rFonts w:ascii="Times New Roman" w:hAnsi="Times New Roman" w:eastAsia="黑体" w:cs="Times New Roman"/>
          <w:sz w:val="20"/>
          <w:szCs w:val="20"/>
        </w:rPr>
      </w:pPr>
    </w:p>
    <w:p w14:paraId="7F0EE78D">
      <w:pPr>
        <w:spacing w:line="440" w:lineRule="exact"/>
        <w:rPr>
          <w:rFonts w:ascii="Times New Roman" w:hAnsi="Times New Roman" w:eastAsia="黑体" w:cs="Times New Roman"/>
          <w:sz w:val="20"/>
          <w:szCs w:val="20"/>
        </w:rPr>
      </w:pPr>
    </w:p>
    <w:p w14:paraId="79D60AA9">
      <w:pPr>
        <w:spacing w:line="440" w:lineRule="exact"/>
        <w:rPr>
          <w:rFonts w:ascii="Times New Roman" w:hAnsi="Times New Roman" w:eastAsia="黑体" w:cs="Times New Roman"/>
          <w:sz w:val="20"/>
          <w:szCs w:val="20"/>
        </w:rPr>
      </w:pPr>
    </w:p>
    <w:p w14:paraId="2363F659">
      <w:pPr>
        <w:spacing w:line="440" w:lineRule="exact"/>
        <w:rPr>
          <w:rFonts w:ascii="Times New Roman" w:hAnsi="Times New Roman" w:eastAsia="黑体" w:cs="Times New Roman"/>
          <w:sz w:val="20"/>
          <w:szCs w:val="20"/>
        </w:rPr>
      </w:pPr>
    </w:p>
    <w:p w14:paraId="4CEE7F09">
      <w:pPr>
        <w:spacing w:line="440" w:lineRule="exact"/>
        <w:rPr>
          <w:rFonts w:ascii="Times New Roman" w:hAnsi="Times New Roman" w:eastAsia="黑体" w:cs="Times New Roman"/>
          <w:sz w:val="20"/>
          <w:szCs w:val="20"/>
        </w:rPr>
      </w:pPr>
    </w:p>
    <w:p w14:paraId="748C59C7">
      <w:pPr>
        <w:spacing w:line="440" w:lineRule="exact"/>
        <w:rPr>
          <w:rFonts w:ascii="Times New Roman" w:hAnsi="Times New Roman" w:eastAsia="黑体" w:cs="Times New Roman"/>
          <w:sz w:val="20"/>
          <w:szCs w:val="20"/>
        </w:rPr>
      </w:pPr>
    </w:p>
    <w:p w14:paraId="475D1B82">
      <w:pPr>
        <w:spacing w:line="440" w:lineRule="exact"/>
        <w:rPr>
          <w:rFonts w:ascii="Times New Roman" w:hAnsi="Times New Roman" w:eastAsia="黑体" w:cs="Times New Roman"/>
          <w:sz w:val="20"/>
          <w:szCs w:val="20"/>
        </w:rPr>
      </w:pPr>
    </w:p>
    <w:p w14:paraId="59F51993">
      <w:pPr>
        <w:spacing w:line="440" w:lineRule="exact"/>
        <w:rPr>
          <w:rFonts w:ascii="Times New Roman" w:hAnsi="Times New Roman" w:eastAsia="黑体" w:cs="Times New Roman"/>
          <w:sz w:val="20"/>
          <w:szCs w:val="20"/>
        </w:rPr>
      </w:pPr>
    </w:p>
    <w:p w14:paraId="2AE303F4">
      <w:pPr>
        <w:spacing w:line="440" w:lineRule="exact"/>
        <w:rPr>
          <w:rFonts w:ascii="Times New Roman" w:hAnsi="Times New Roman" w:eastAsia="黑体" w:cs="Times New Roman"/>
          <w:sz w:val="20"/>
          <w:szCs w:val="20"/>
        </w:rPr>
      </w:pPr>
    </w:p>
    <w:p w14:paraId="621B8287">
      <w:pPr>
        <w:spacing w:line="440" w:lineRule="exact"/>
        <w:rPr>
          <w:rFonts w:ascii="Times New Roman" w:hAnsi="Times New Roman" w:eastAsia="黑体" w:cs="Times New Roman"/>
          <w:sz w:val="20"/>
          <w:szCs w:val="20"/>
        </w:rPr>
      </w:pPr>
    </w:p>
    <w:p w14:paraId="546B5B8B">
      <w:pPr>
        <w:spacing w:line="440" w:lineRule="exact"/>
        <w:rPr>
          <w:rFonts w:ascii="Times New Roman" w:hAnsi="Times New Roman" w:eastAsia="黑体" w:cs="Times New Roman"/>
          <w:sz w:val="20"/>
          <w:szCs w:val="20"/>
        </w:rPr>
      </w:pPr>
    </w:p>
    <w:p w14:paraId="35A3CFEB">
      <w:pPr>
        <w:spacing w:line="440" w:lineRule="exact"/>
        <w:jc w:val="center"/>
        <w:rPr>
          <w:rFonts w:ascii="Times New Roman" w:hAnsi="Times New Roman" w:eastAsia="黑体" w:cs="Times New Roman"/>
          <w:sz w:val="28"/>
          <w:szCs w:val="28"/>
        </w:rPr>
      </w:pPr>
      <w:bookmarkStart w:id="72" w:name="_Toc3653_WPSOffice_Level1"/>
      <w:bookmarkStart w:id="73" w:name="_Toc14769_WPSOffice_Level2"/>
      <w:bookmarkStart w:id="74" w:name="_Toc16389_WPSOffice_Level1"/>
      <w:bookmarkStart w:id="75" w:name="_Toc21458_WPSOffice_Level2"/>
      <w:bookmarkStart w:id="76" w:name="_Toc2006_WPSOffice_Level2"/>
      <w:bookmarkStart w:id="77" w:name="_Toc23599_WPSOffice_Level2"/>
      <w:bookmarkStart w:id="78" w:name="_Toc28179_WPSOffice_Level2"/>
      <w:bookmarkStart w:id="79" w:name="_Toc5520_WPSOffice_Level2"/>
      <w:bookmarkStart w:id="80"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72"/>
      <w:bookmarkEnd w:id="73"/>
      <w:bookmarkEnd w:id="74"/>
      <w:bookmarkEnd w:id="75"/>
      <w:bookmarkEnd w:id="76"/>
      <w:bookmarkEnd w:id="77"/>
      <w:bookmarkEnd w:id="78"/>
      <w:bookmarkEnd w:id="79"/>
      <w:bookmarkEnd w:id="80"/>
      <w:r>
        <w:rPr>
          <w:rFonts w:ascii="Times New Roman" w:hAnsi="Times New Roman" w:eastAsia="黑体" w:cs="Times New Roman"/>
          <w:sz w:val="28"/>
          <w:szCs w:val="28"/>
          <w:u w:val="single"/>
        </w:rPr>
        <w:t xml:space="preserve">   </w:t>
      </w:r>
    </w:p>
    <w:p w14:paraId="686C3DD7">
      <w:pPr>
        <w:spacing w:line="440" w:lineRule="exact"/>
        <w:ind w:firstLine="2158" w:firstLineChars="771"/>
        <w:rPr>
          <w:rFonts w:ascii="Times New Roman" w:hAnsi="Times New Roman" w:eastAsia="黑体" w:cs="Times New Roman"/>
          <w:sz w:val="28"/>
          <w:szCs w:val="28"/>
        </w:rPr>
      </w:pPr>
    </w:p>
    <w:p w14:paraId="1B8D4849">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81" w:name="_Toc3668_WPSOffice_Level2"/>
      <w:bookmarkStart w:id="82" w:name="_Toc20398_WPSOffice_Level2"/>
      <w:bookmarkStart w:id="83" w:name="_Toc3948_WPSOffice_Level2"/>
      <w:bookmarkStart w:id="84" w:name="_Toc31577_WPSOffice_Level2"/>
      <w:bookmarkStart w:id="85" w:name="_Toc1902_WPSOffice_Level2"/>
      <w:bookmarkStart w:id="86" w:name="_Toc20076_WPSOffice_Level2"/>
      <w:bookmarkStart w:id="87" w:name="_Toc21748_WPSOffice_Level1"/>
      <w:bookmarkStart w:id="88" w:name="_Toc30763_WPSOffice_Level2"/>
      <w:bookmarkStart w:id="89" w:name="_Toc30382_WPSOffice_Level1"/>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81"/>
      <w:bookmarkEnd w:id="82"/>
      <w:bookmarkEnd w:id="83"/>
      <w:bookmarkEnd w:id="84"/>
      <w:bookmarkEnd w:id="85"/>
      <w:bookmarkEnd w:id="86"/>
      <w:bookmarkEnd w:id="87"/>
      <w:bookmarkEnd w:id="88"/>
      <w:bookmarkEnd w:id="89"/>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0"/>
          <w:szCs w:val="20"/>
          <w:highlight w:val="none"/>
        </w:rPr>
      </w:pPr>
      <w:r>
        <w:rPr>
          <w:rFonts w:ascii="Times New Roman" w:hAnsi="Times New Roman" w:eastAsia="黑体" w:cs="Times New Roman"/>
          <w:color w:val="auto"/>
          <w:sz w:val="20"/>
          <w:szCs w:val="20"/>
          <w:highlight w:val="none"/>
        </w:rPr>
        <w:br w:type="page"/>
      </w:r>
    </w:p>
    <w:p w14:paraId="1DC01F6C">
      <w:pPr>
        <w:spacing w:line="440" w:lineRule="exact"/>
        <w:jc w:val="center"/>
        <w:rPr>
          <w:rFonts w:ascii="Times New Roman" w:hAnsi="Times New Roman" w:eastAsia="黑体" w:cs="Times New Roman"/>
          <w:sz w:val="28"/>
          <w:szCs w:val="28"/>
        </w:rPr>
      </w:pPr>
      <w:bookmarkStart w:id="90" w:name="_Toc96_WPSOffice_Level1"/>
      <w:bookmarkStart w:id="91" w:name="_Toc22351_WPSOffice_Level2"/>
      <w:bookmarkStart w:id="92" w:name="_Toc7952_WPSOffice_Level2"/>
      <w:bookmarkStart w:id="93" w:name="_Toc31224_WPSOffice_Level2"/>
      <w:bookmarkStart w:id="94" w:name="_Toc882_WPSOffice_Level2"/>
      <w:bookmarkStart w:id="95" w:name="_Toc29095_WPSOffice_Level2"/>
      <w:bookmarkStart w:id="96" w:name="_Toc9551_WPSOffice_Level1"/>
      <w:bookmarkStart w:id="97" w:name="_Toc21974_WPSOffice_Level2"/>
      <w:bookmarkStart w:id="98" w:name="_Toc24832_WPSOffice_Level2"/>
      <w:r>
        <w:rPr>
          <w:rFonts w:ascii="Times New Roman" w:hAnsi="Times New Roman" w:eastAsia="黑体" w:cs="Times New Roman"/>
          <w:sz w:val="28"/>
          <w:szCs w:val="28"/>
        </w:rPr>
        <w:t>目     录</w:t>
      </w:r>
      <w:bookmarkEnd w:id="90"/>
      <w:bookmarkEnd w:id="91"/>
      <w:bookmarkEnd w:id="92"/>
      <w:bookmarkEnd w:id="93"/>
      <w:bookmarkEnd w:id="94"/>
      <w:bookmarkEnd w:id="95"/>
      <w:bookmarkEnd w:id="96"/>
      <w:bookmarkEnd w:id="97"/>
      <w:bookmarkEnd w:id="98"/>
    </w:p>
    <w:p w14:paraId="6E82366B">
      <w:pPr>
        <w:spacing w:line="440" w:lineRule="exact"/>
        <w:rPr>
          <w:rFonts w:ascii="Times New Roman" w:hAnsi="Times New Roman" w:eastAsia="黑体" w:cs="Times New Roman"/>
          <w:sz w:val="20"/>
          <w:szCs w:val="20"/>
        </w:rPr>
      </w:pPr>
    </w:p>
    <w:p w14:paraId="146E8BF4">
      <w:pPr>
        <w:spacing w:line="440" w:lineRule="exact"/>
        <w:ind w:left="1619" w:leftChars="771"/>
        <w:rPr>
          <w:rFonts w:ascii="Times New Roman" w:hAnsi="Times New Roman" w:eastAsia="黑体" w:cs="Times New Roman"/>
          <w:sz w:val="24"/>
        </w:rPr>
      </w:pPr>
      <w:bookmarkStart w:id="99" w:name="_Toc11424_WPSOffice_Level1"/>
      <w:bookmarkStart w:id="100" w:name="_Toc30529_WPSOffice_Level1"/>
      <w:bookmarkStart w:id="101" w:name="_Toc6353_WPSOffice_Level1"/>
      <w:bookmarkStart w:id="102" w:name="_Toc12670_WPSOffice_Level1"/>
      <w:bookmarkStart w:id="103" w:name="_Toc26987_WPSOffice_Level1"/>
      <w:bookmarkStart w:id="104" w:name="_Toc23368_WPSOffice_Level1"/>
      <w:bookmarkStart w:id="105" w:name="_Toc9021_WPSOffice_Level1"/>
      <w:r>
        <w:rPr>
          <w:rFonts w:ascii="Times New Roman" w:hAnsi="Times New Roman" w:eastAsia="黑体" w:cs="Times New Roman"/>
          <w:sz w:val="24"/>
        </w:rPr>
        <w:t>一、报价函</w:t>
      </w:r>
      <w:bookmarkEnd w:id="99"/>
      <w:bookmarkEnd w:id="100"/>
      <w:bookmarkEnd w:id="101"/>
      <w:bookmarkEnd w:id="102"/>
      <w:bookmarkEnd w:id="103"/>
      <w:bookmarkEnd w:id="104"/>
      <w:bookmarkEnd w:id="105"/>
    </w:p>
    <w:p w14:paraId="6FFBC476">
      <w:pPr>
        <w:spacing w:line="440" w:lineRule="exact"/>
        <w:ind w:left="1619" w:leftChars="771"/>
        <w:rPr>
          <w:rFonts w:ascii="Times New Roman" w:hAnsi="Times New Roman" w:eastAsia="黑体" w:cs="Times New Roman"/>
          <w:sz w:val="24"/>
        </w:rPr>
      </w:pPr>
      <w:bookmarkStart w:id="106" w:name="_Toc32729_WPSOffice_Level1"/>
      <w:bookmarkStart w:id="107" w:name="_Toc21229_WPSOffice_Level1"/>
      <w:bookmarkStart w:id="108" w:name="_Toc5317_WPSOffice_Level1"/>
      <w:bookmarkStart w:id="109" w:name="_Toc14150_WPSOffice_Level1"/>
      <w:bookmarkStart w:id="110" w:name="_Toc31927_WPSOffice_Level1"/>
      <w:bookmarkStart w:id="111" w:name="_Toc3742_WPSOffice_Level1"/>
      <w:bookmarkStart w:id="112" w:name="_Toc26052_WPSOffice_Level1"/>
      <w:r>
        <w:rPr>
          <w:rFonts w:ascii="Times New Roman" w:hAnsi="Times New Roman" w:eastAsia="黑体" w:cs="Times New Roman"/>
          <w:sz w:val="24"/>
        </w:rPr>
        <w:t>二、授权委托书</w:t>
      </w:r>
      <w:bookmarkEnd w:id="106"/>
      <w:bookmarkEnd w:id="107"/>
      <w:bookmarkEnd w:id="108"/>
      <w:bookmarkEnd w:id="109"/>
      <w:bookmarkEnd w:id="110"/>
      <w:bookmarkEnd w:id="111"/>
      <w:bookmarkEnd w:id="112"/>
      <w:r>
        <w:rPr>
          <w:rFonts w:hint="eastAsia" w:ascii="Times New Roman" w:hAnsi="Times New Roman" w:eastAsia="黑体" w:cs="Times New Roman"/>
          <w:sz w:val="24"/>
        </w:rPr>
        <w:t>（如有）</w:t>
      </w:r>
    </w:p>
    <w:p w14:paraId="28ACE53F">
      <w:pPr>
        <w:spacing w:line="440" w:lineRule="exact"/>
        <w:ind w:left="1619" w:leftChars="771"/>
        <w:rPr>
          <w:rFonts w:ascii="Times New Roman" w:hAnsi="Times New Roman" w:eastAsia="黑体" w:cs="Times New Roman"/>
          <w:sz w:val="24"/>
        </w:rPr>
      </w:pPr>
      <w:bookmarkStart w:id="113" w:name="_Toc29085_WPSOffice_Level1"/>
      <w:bookmarkStart w:id="114" w:name="_Toc25652_WPSOffice_Level1"/>
      <w:bookmarkStart w:id="115" w:name="_Toc23356_WPSOffice_Level1"/>
      <w:bookmarkStart w:id="116" w:name="_Toc4728_WPSOffice_Level1"/>
      <w:bookmarkStart w:id="117" w:name="_Toc25965_WPSOffice_Level1"/>
      <w:bookmarkStart w:id="118" w:name="_Toc20535_WPSOffice_Level1"/>
      <w:bookmarkStart w:id="119" w:name="_Toc11822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的报</w:t>
      </w:r>
      <w:bookmarkEnd w:id="113"/>
      <w:r>
        <w:rPr>
          <w:rFonts w:hint="eastAsia" w:ascii="Times New Roman" w:hAnsi="Times New Roman" w:eastAsia="黑体" w:cs="Times New Roman"/>
          <w:sz w:val="24"/>
        </w:rPr>
        <w:t>价</w:t>
      </w:r>
      <w:r>
        <w:rPr>
          <w:rFonts w:ascii="Times New Roman" w:hAnsi="Times New Roman" w:eastAsia="黑体" w:cs="Times New Roman"/>
          <w:sz w:val="24"/>
        </w:rPr>
        <w:t>清单</w:t>
      </w:r>
      <w:bookmarkEnd w:id="114"/>
      <w:bookmarkEnd w:id="115"/>
      <w:bookmarkEnd w:id="116"/>
      <w:bookmarkEnd w:id="117"/>
      <w:bookmarkEnd w:id="118"/>
      <w:bookmarkEnd w:id="119"/>
    </w:p>
    <w:p w14:paraId="0BE35777">
      <w:pPr>
        <w:spacing w:line="440" w:lineRule="exact"/>
        <w:ind w:left="1619" w:leftChars="771"/>
        <w:rPr>
          <w:rFonts w:ascii="Times New Roman" w:hAnsi="Times New Roman" w:eastAsia="黑体" w:cs="Times New Roman"/>
          <w:sz w:val="24"/>
        </w:rPr>
      </w:pPr>
      <w:bookmarkStart w:id="120" w:name="_Toc10608_WPSOffice_Level1"/>
      <w:bookmarkStart w:id="121" w:name="_Toc18964_WPSOffice_Level1"/>
      <w:bookmarkStart w:id="122" w:name="_Toc7286_WPSOffice_Level1"/>
      <w:bookmarkStart w:id="123" w:name="_Toc7453_WPSOffice_Level1"/>
      <w:bookmarkStart w:id="124" w:name="_Toc27790_WPSOffice_Level1"/>
      <w:bookmarkStart w:id="125" w:name="_Toc23744_WPSOffice_Level1"/>
      <w:bookmarkStart w:id="126" w:name="_Toc24870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20"/>
      <w:bookmarkEnd w:id="121"/>
      <w:bookmarkEnd w:id="122"/>
      <w:bookmarkEnd w:id="123"/>
      <w:r>
        <w:rPr>
          <w:rFonts w:hint="eastAsia" w:ascii="Times New Roman" w:hAnsi="Times New Roman" w:eastAsia="黑体" w:cs="Times New Roman"/>
          <w:sz w:val="24"/>
        </w:rPr>
        <w:t>供应商基本情况</w:t>
      </w:r>
      <w:bookmarkEnd w:id="124"/>
      <w:bookmarkEnd w:id="125"/>
      <w:bookmarkEnd w:id="126"/>
    </w:p>
    <w:p w14:paraId="2B9F1ED6">
      <w:pPr>
        <w:spacing w:line="440" w:lineRule="exact"/>
        <w:ind w:left="1619" w:leftChars="771"/>
        <w:rPr>
          <w:rFonts w:ascii="Times New Roman" w:hAnsi="Times New Roman" w:eastAsia="黑体" w:cs="Times New Roman"/>
          <w:sz w:val="24"/>
        </w:rPr>
      </w:pPr>
      <w:r>
        <w:rPr>
          <w:rFonts w:hint="eastAsia" w:ascii="Times New Roman" w:hAnsi="Times New Roman" w:eastAsia="黑体" w:cs="Times New Roman"/>
          <w:sz w:val="24"/>
        </w:rPr>
        <w:t>五、近年类似业绩情况</w:t>
      </w:r>
    </w:p>
    <w:p w14:paraId="126ED0D6">
      <w:pPr>
        <w:spacing w:line="440" w:lineRule="exact"/>
        <w:ind w:left="1619" w:leftChars="771"/>
        <w:rPr>
          <w:rFonts w:ascii="Times New Roman" w:hAnsi="Times New Roman" w:eastAsia="黑体" w:cs="Times New Roman"/>
          <w:sz w:val="24"/>
        </w:rPr>
      </w:pPr>
      <w:bookmarkStart w:id="127" w:name="_Toc16988_WPSOffice_Level1"/>
      <w:bookmarkStart w:id="128" w:name="_Toc5885_WPSOffice_Level1"/>
      <w:bookmarkStart w:id="129" w:name="_Toc21092_WPSOffice_Level1"/>
      <w:bookmarkStart w:id="130" w:name="_Toc8423_WPSOffice_Level1"/>
      <w:r>
        <w:rPr>
          <w:rFonts w:hint="eastAsia" w:ascii="Times New Roman" w:hAnsi="Times New Roman" w:eastAsia="黑体" w:cs="Times New Roman"/>
          <w:sz w:val="24"/>
        </w:rPr>
        <w:t>六、</w:t>
      </w:r>
      <w:bookmarkEnd w:id="127"/>
      <w:bookmarkEnd w:id="128"/>
      <w:bookmarkEnd w:id="129"/>
      <w:bookmarkEnd w:id="130"/>
      <w:r>
        <w:rPr>
          <w:rFonts w:hint="eastAsia" w:ascii="Times New Roman" w:hAnsi="Times New Roman" w:eastAsia="黑体" w:cs="Times New Roman"/>
          <w:sz w:val="24"/>
        </w:rPr>
        <w:t>信誉情况</w:t>
      </w:r>
    </w:p>
    <w:p w14:paraId="404E5418">
      <w:pPr>
        <w:spacing w:line="440" w:lineRule="exact"/>
        <w:ind w:left="1619" w:leftChars="771"/>
        <w:rPr>
          <w:rFonts w:ascii="Times New Roman" w:hAnsi="Times New Roman" w:eastAsia="黑体" w:cs="Times New Roman"/>
          <w:sz w:val="24"/>
        </w:rPr>
      </w:pPr>
      <w:r>
        <w:rPr>
          <w:rFonts w:hint="eastAsia" w:ascii="Times New Roman" w:hAnsi="Times New Roman" w:eastAsia="黑体" w:cs="Times New Roman"/>
          <w:sz w:val="24"/>
        </w:rPr>
        <w:t>七、其它材料</w:t>
      </w:r>
    </w:p>
    <w:p w14:paraId="07EA2305">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0"/>
          <w:szCs w:val="20"/>
          <w:highlight w:val="none"/>
        </w:rPr>
      </w:pPr>
    </w:p>
    <w:p w14:paraId="14E29A91">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0"/>
          <w:szCs w:val="20"/>
          <w:highlight w:val="none"/>
        </w:rPr>
      </w:pPr>
    </w:p>
    <w:p w14:paraId="477A05A4">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0"/>
          <w:szCs w:val="20"/>
          <w:highlight w:val="none"/>
        </w:rPr>
      </w:pPr>
    </w:p>
    <w:p w14:paraId="1367E3E0">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0"/>
          <w:szCs w:val="20"/>
          <w:highlight w:val="none"/>
        </w:rPr>
      </w:pPr>
    </w:p>
    <w:p w14:paraId="538BE364">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0"/>
          <w:szCs w:val="20"/>
          <w:highlight w:val="none"/>
        </w:rPr>
      </w:pPr>
    </w:p>
    <w:p w14:paraId="30CE6343">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0"/>
          <w:szCs w:val="20"/>
          <w:highlight w:val="none"/>
        </w:rPr>
      </w:pPr>
    </w:p>
    <w:p w14:paraId="19F27C4C">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0"/>
          <w:szCs w:val="20"/>
          <w:highlight w:val="none"/>
        </w:rPr>
      </w:pPr>
    </w:p>
    <w:p w14:paraId="059C62C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0"/>
          <w:szCs w:val="20"/>
          <w:highlight w:val="none"/>
        </w:rPr>
      </w:pPr>
    </w:p>
    <w:p w14:paraId="7FB43A40">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0"/>
          <w:szCs w:val="20"/>
          <w:highlight w:val="none"/>
        </w:rPr>
      </w:pPr>
    </w:p>
    <w:p w14:paraId="623B4ABF">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0"/>
          <w:szCs w:val="20"/>
          <w:highlight w:val="none"/>
        </w:rPr>
      </w:pPr>
    </w:p>
    <w:p w14:paraId="39A7460A">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0"/>
          <w:szCs w:val="20"/>
          <w:highlight w:val="none"/>
        </w:rPr>
      </w:pPr>
    </w:p>
    <w:p w14:paraId="0A5D944B">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0"/>
          <w:szCs w:val="20"/>
          <w:highlight w:val="none"/>
        </w:rPr>
      </w:pPr>
    </w:p>
    <w:p w14:paraId="71BA5E21">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0"/>
          <w:szCs w:val="20"/>
          <w:highlight w:val="none"/>
        </w:rPr>
      </w:pPr>
    </w:p>
    <w:p w14:paraId="63E0CEB0">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0"/>
          <w:szCs w:val="20"/>
          <w:highlight w:val="none"/>
        </w:rPr>
      </w:pPr>
    </w:p>
    <w:p w14:paraId="1A4A03A9">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0"/>
          <w:szCs w:val="20"/>
          <w:highlight w:val="none"/>
        </w:rPr>
      </w:pPr>
    </w:p>
    <w:p w14:paraId="69219754">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0"/>
          <w:szCs w:val="20"/>
          <w:highlight w:val="none"/>
        </w:rPr>
      </w:pPr>
    </w:p>
    <w:p w14:paraId="1DBC7F88">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0"/>
          <w:szCs w:val="20"/>
          <w:highlight w:val="none"/>
        </w:rPr>
      </w:pPr>
    </w:p>
    <w:p w14:paraId="42E13069">
      <w:pPr>
        <w:adjustRightInd w:val="0"/>
        <w:snapToGrid w:val="0"/>
        <w:rPr>
          <w:rFonts w:ascii="Times New Roman" w:hAnsi="Times New Roman" w:eastAsia="黑体" w:cs="Times New Roman"/>
          <w:color w:val="auto"/>
          <w:sz w:val="20"/>
          <w:szCs w:val="20"/>
          <w:highlight w:val="none"/>
        </w:rPr>
      </w:pPr>
    </w:p>
    <w:p w14:paraId="4424CAE2">
      <w:pPr>
        <w:spacing w:line="440" w:lineRule="exact"/>
        <w:jc w:val="center"/>
        <w:outlineLvl w:val="1"/>
        <w:rPr>
          <w:rFonts w:ascii="Times New Roman" w:hAnsi="Times New Roman" w:eastAsia="黑体" w:cs="Times New Roman"/>
          <w:sz w:val="28"/>
          <w:szCs w:val="28"/>
        </w:rPr>
      </w:pPr>
      <w:r>
        <w:rPr>
          <w:rFonts w:ascii="Times New Roman" w:hAnsi="Times New Roman" w:eastAsia="黑体" w:cs="Times New Roman"/>
          <w:sz w:val="28"/>
          <w:szCs w:val="28"/>
        </w:rPr>
        <w:t>一、报价函</w:t>
      </w:r>
    </w:p>
    <w:p w14:paraId="52880E40">
      <w:pPr>
        <w:spacing w:line="440" w:lineRule="exact"/>
        <w:rPr>
          <w:rFonts w:ascii="Times New Roman" w:hAnsi="Times New Roman" w:cs="Times New Roman"/>
          <w:sz w:val="24"/>
        </w:rPr>
      </w:pPr>
      <w:r>
        <w:rPr>
          <w:rFonts w:ascii="Times New Roman" w:hAnsi="Times New Roman" w:cs="Times New Roman"/>
          <w:sz w:val="24"/>
        </w:rPr>
        <w:t xml:space="preserve"> </w:t>
      </w:r>
    </w:p>
    <w:p w14:paraId="29F5DB0D">
      <w:pPr>
        <w:spacing w:line="440" w:lineRule="exact"/>
        <w:rPr>
          <w:rFonts w:hint="eastAsia" w:ascii="Times New Roman" w:hAnsi="Times New Roman" w:eastAsia="Times New Roman"/>
          <w:sz w:val="24"/>
          <w:szCs w:val="24"/>
          <w:highlight w:val="none"/>
        </w:rPr>
      </w:pPr>
      <w:r>
        <w:rPr>
          <w:rFonts w:hint="eastAsia" w:ascii="Times New Roman" w:hAnsi="Times New Roman"/>
          <w:sz w:val="24"/>
          <w:szCs w:val="24"/>
          <w:highlight w:val="none"/>
          <w:u w:val="single"/>
          <w:lang w:eastAsia="zh-CN"/>
        </w:rPr>
        <w:t>安徽省经工物资有限公司</w:t>
      </w:r>
      <w:r>
        <w:rPr>
          <w:rFonts w:hint="eastAsia" w:ascii="Times New Roman" w:hAnsi="Times New Roman"/>
          <w:sz w:val="24"/>
          <w:szCs w:val="24"/>
          <w:highlight w:val="none"/>
        </w:rPr>
        <w:t>：</w:t>
      </w:r>
    </w:p>
    <w:p w14:paraId="46E67331">
      <w:pPr>
        <w:pStyle w:val="8"/>
        <w:rPr>
          <w:rFonts w:hint="default"/>
          <w:sz w:val="21"/>
          <w:szCs w:val="24"/>
          <w:highlight w:val="none"/>
        </w:rPr>
      </w:pPr>
    </w:p>
    <w:p w14:paraId="046F8CE2">
      <w:pPr>
        <w:widowControl/>
        <w:ind w:firstLine="480" w:firstLineChars="200"/>
        <w:jc w:val="left"/>
        <w:rPr>
          <w:rFonts w:hint="eastAsia" w:ascii="Times New Roman" w:hAnsi="Times New Roman" w:eastAsia="Times New Roman"/>
          <w:sz w:val="24"/>
          <w:szCs w:val="24"/>
          <w:highlight w:val="none"/>
        </w:rPr>
      </w:pPr>
      <w:r>
        <w:rPr>
          <w:rFonts w:hint="eastAsia" w:ascii="Times New Roman" w:hAnsi="Times New Roman" w:eastAsia="Times New Roman"/>
          <w:sz w:val="24"/>
          <w:szCs w:val="24"/>
          <w:highlight w:val="none"/>
        </w:rPr>
        <w:t>1</w:t>
      </w:r>
      <w:r>
        <w:rPr>
          <w:rFonts w:hint="eastAsia" w:ascii="Times New Roman" w:hAnsi="Times New Roman"/>
          <w:sz w:val="24"/>
          <w:szCs w:val="24"/>
          <w:highlight w:val="none"/>
        </w:rPr>
        <w:t>．我方已仔细研究</w:t>
      </w:r>
      <w:r>
        <w:rPr>
          <w:rFonts w:hint="eastAsia" w:ascii="Times New Roman" w:hAnsi="Times New Roman"/>
          <w:color w:val="auto"/>
          <w:sz w:val="24"/>
          <w:szCs w:val="24"/>
          <w:highlight w:val="none"/>
        </w:rPr>
        <w:t>了</w:t>
      </w:r>
      <w:r>
        <w:rPr>
          <w:rFonts w:hint="eastAsia" w:ascii="Times New Roman" w:hAnsi="Times New Roman" w:eastAsia="Times New Roman"/>
          <w:color w:val="auto"/>
          <w:sz w:val="24"/>
          <w:szCs w:val="24"/>
          <w:highlight w:val="none"/>
          <w:u w:val="single"/>
        </w:rPr>
        <w:t>合肥市包河区BH202437号地块防火门采购及安装项目</w:t>
      </w:r>
      <w:r>
        <w:rPr>
          <w:rFonts w:hint="eastAsia" w:ascii="Times New Roman" w:hAnsi="Times New Roman" w:eastAsia="Times New Roman"/>
          <w:color w:val="auto"/>
          <w:sz w:val="24"/>
          <w:szCs w:val="24"/>
          <w:highlight w:val="none"/>
        </w:rPr>
        <w:t>(</w:t>
      </w:r>
      <w:r>
        <w:rPr>
          <w:rFonts w:hint="eastAsia" w:ascii="Times New Roman" w:hAnsi="Times New Roman"/>
          <w:color w:val="auto"/>
          <w:sz w:val="24"/>
          <w:szCs w:val="24"/>
          <w:highlight w:val="none"/>
        </w:rPr>
        <w:t>项目名称)采购文件的全</w:t>
      </w:r>
      <w:r>
        <w:rPr>
          <w:rFonts w:hint="eastAsia" w:ascii="Times New Roman" w:hAnsi="Times New Roman"/>
          <w:sz w:val="24"/>
          <w:szCs w:val="24"/>
          <w:highlight w:val="none"/>
        </w:rPr>
        <w:t>部内容（包括工程量清单和施工图纸及采购文件中所述的各种因素），愿意以人民币（大写）</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r>
        <w:rPr>
          <w:rFonts w:hint="eastAsia" w:ascii="Times New Roman" w:hAnsi="Times New Roman" w:eastAsia="Times New Roman"/>
          <w:sz w:val="24"/>
          <w:szCs w:val="24"/>
          <w:highlight w:val="none"/>
        </w:rPr>
        <w:t>¥</w:t>
      </w:r>
      <w:r>
        <w:rPr>
          <w:rFonts w:hint="eastAsia" w:ascii="Times New Roman" w:hAnsi="Times New Roman"/>
          <w:sz w:val="24"/>
          <w:szCs w:val="24"/>
          <w:highlight w:val="none"/>
          <w:u w:val="single"/>
        </w:rPr>
        <w:t xml:space="preserve">     </w:t>
      </w:r>
      <w:r>
        <w:rPr>
          <w:rFonts w:hint="eastAsia" w:ascii="Times New Roman" w:hAnsi="Times New Roman" w:eastAsia="Times New Roman"/>
          <w:sz w:val="24"/>
          <w:szCs w:val="24"/>
          <w:highlight w:val="none"/>
          <w:u w:val="single"/>
        </w:rPr>
        <w:t xml:space="preserve"> </w:t>
      </w:r>
      <w:r>
        <w:rPr>
          <w:rFonts w:hint="eastAsia" w:ascii="Times New Roman" w:hAnsi="Times New Roman"/>
          <w:sz w:val="24"/>
          <w:szCs w:val="24"/>
          <w:highlight w:val="none"/>
        </w:rPr>
        <w:t>）的响应总报价提供采购文件标明的货物要求、技术服务和质保期服务措施，并按合同约定履行义务。</w:t>
      </w:r>
    </w:p>
    <w:p w14:paraId="7A3FC489">
      <w:pPr>
        <w:spacing w:line="400" w:lineRule="exact"/>
        <w:ind w:firstLine="480" w:firstLineChars="200"/>
        <w:rPr>
          <w:rFonts w:hint="eastAsia" w:ascii="Times New Roman" w:hAnsi="Times New Roman"/>
          <w:sz w:val="24"/>
          <w:szCs w:val="24"/>
          <w:highlight w:val="none"/>
        </w:rPr>
      </w:pPr>
      <w:r>
        <w:rPr>
          <w:rFonts w:hint="eastAsia" w:ascii="Times New Roman" w:hAnsi="Times New Roman" w:eastAsia="Times New Roman"/>
          <w:sz w:val="24"/>
          <w:szCs w:val="24"/>
          <w:highlight w:val="none"/>
        </w:rPr>
        <w:t>2</w:t>
      </w:r>
      <w:r>
        <w:rPr>
          <w:rFonts w:hint="eastAsia" w:ascii="Times New Roman" w:hAnsi="Times New Roman"/>
          <w:sz w:val="24"/>
          <w:szCs w:val="24"/>
          <w:highlight w:val="none"/>
        </w:rPr>
        <w:t>．我方承诺在响应有效期内不修改、撤销响应文件。</w:t>
      </w:r>
    </w:p>
    <w:p w14:paraId="3D0F90D3">
      <w:pPr>
        <w:spacing w:line="400" w:lineRule="exact"/>
        <w:ind w:firstLine="480" w:firstLineChars="200"/>
        <w:rPr>
          <w:rFonts w:hint="default" w:ascii="Times New Roman" w:hAnsi="Times New Roman" w:eastAsiaTheme="minorEastAsia"/>
          <w:sz w:val="24"/>
          <w:szCs w:val="24"/>
          <w:highlight w:val="none"/>
          <w:lang w:val="en-US" w:eastAsia="zh-CN"/>
        </w:rPr>
      </w:pPr>
      <w:r>
        <w:rPr>
          <w:rFonts w:hint="eastAsia" w:ascii="Times New Roman" w:hAnsi="Times New Roman"/>
          <w:sz w:val="24"/>
          <w:szCs w:val="24"/>
          <w:highlight w:val="none"/>
          <w:lang w:val="en-US" w:eastAsia="zh-CN"/>
        </w:rPr>
        <w:t>3.</w:t>
      </w:r>
      <w:r>
        <w:rPr>
          <w:rFonts w:hint="eastAsia" w:ascii="Times New Roman" w:hAnsi="Times New Roman" w:cs="Times New Roman"/>
          <w:color w:val="auto"/>
          <w:sz w:val="24"/>
          <w:highlight w:val="none"/>
          <w:lang w:val="en-US" w:eastAsia="zh-CN"/>
        </w:rPr>
        <w:t>材料质量：</w:t>
      </w:r>
      <w:r>
        <w:rPr>
          <w:rFonts w:hint="eastAsia" w:ascii="Times New Roman" w:hAnsi="Times New Roman" w:cs="Times New Roman"/>
          <w:color w:val="auto"/>
          <w:sz w:val="24"/>
          <w:highlight w:val="none"/>
          <w:u w:val="single"/>
          <w:lang w:val="en-US" w:eastAsia="zh-CN"/>
        </w:rPr>
        <w:t>响应采购文件要求</w:t>
      </w:r>
      <w:r>
        <w:rPr>
          <w:rFonts w:hint="eastAsia" w:ascii="Times New Roman" w:hAnsi="Times New Roman" w:cs="Times New Roman"/>
          <w:color w:val="auto"/>
          <w:sz w:val="24"/>
          <w:highlight w:val="none"/>
          <w:u w:val="none"/>
          <w:lang w:val="en-US" w:eastAsia="zh-CN"/>
        </w:rPr>
        <w:t>；交货期：</w:t>
      </w:r>
      <w:r>
        <w:rPr>
          <w:rFonts w:hint="eastAsia" w:ascii="Times New Roman" w:hAnsi="Times New Roman" w:cs="Times New Roman"/>
          <w:color w:val="auto"/>
          <w:sz w:val="24"/>
          <w:highlight w:val="none"/>
          <w:u w:val="single"/>
          <w:lang w:val="en-US" w:eastAsia="zh-CN"/>
        </w:rPr>
        <w:t>响应采购文件要求。</w:t>
      </w:r>
    </w:p>
    <w:p w14:paraId="72EE3AA3">
      <w:pPr>
        <w:spacing w:line="40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eastAsia="宋体"/>
          <w:sz w:val="24"/>
          <w:szCs w:val="24"/>
          <w:highlight w:val="none"/>
          <w:lang w:val="en-US" w:eastAsia="zh-CN"/>
        </w:rPr>
        <w:t>4</w:t>
      </w:r>
      <w:r>
        <w:rPr>
          <w:rFonts w:hint="eastAsia" w:ascii="Times New Roman" w:hAnsi="Times New Roman"/>
          <w:sz w:val="24"/>
          <w:szCs w:val="24"/>
          <w:highlight w:val="none"/>
        </w:rPr>
        <w:t>．如我方成交：</w:t>
      </w:r>
    </w:p>
    <w:p w14:paraId="447038FD">
      <w:pPr>
        <w:spacing w:line="40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eastAsia="Times New Roman"/>
          <w:sz w:val="24"/>
          <w:szCs w:val="24"/>
          <w:highlight w:val="none"/>
        </w:rPr>
        <w:t>(1)</w:t>
      </w:r>
      <w:r>
        <w:rPr>
          <w:rFonts w:hint="eastAsia" w:ascii="Times New Roman" w:hAnsi="Times New Roman"/>
          <w:sz w:val="24"/>
          <w:szCs w:val="24"/>
          <w:highlight w:val="none"/>
        </w:rPr>
        <w:t>我方承诺在收到成交通知书后，在成交通知书规定的期限内与你方签订合同。</w:t>
      </w:r>
    </w:p>
    <w:p w14:paraId="4D5D5E23">
      <w:pPr>
        <w:spacing w:line="40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eastAsia="Times New Roman"/>
          <w:sz w:val="24"/>
          <w:szCs w:val="24"/>
          <w:highlight w:val="none"/>
        </w:rPr>
        <w:t>(2)</w:t>
      </w:r>
      <w:r>
        <w:rPr>
          <w:rFonts w:hint="eastAsia" w:ascii="Times New Roman" w:hAnsi="Times New Roman"/>
          <w:sz w:val="24"/>
          <w:szCs w:val="24"/>
          <w:highlight w:val="none"/>
        </w:rPr>
        <w:t>我方承诺按照采购文件规定向你方递交履约担保。</w:t>
      </w:r>
    </w:p>
    <w:p w14:paraId="65094E15">
      <w:pPr>
        <w:spacing w:line="40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eastAsia="Times New Roman"/>
          <w:sz w:val="24"/>
          <w:szCs w:val="24"/>
          <w:highlight w:val="none"/>
        </w:rPr>
        <w:t>(3)</w:t>
      </w:r>
      <w:r>
        <w:rPr>
          <w:rFonts w:hint="eastAsia" w:ascii="Times New Roman" w:hAnsi="Times New Roman"/>
          <w:sz w:val="24"/>
          <w:szCs w:val="24"/>
          <w:highlight w:val="none"/>
        </w:rPr>
        <w:t>我方承诺在合同约定的期限内完成全部合同任务。</w:t>
      </w:r>
    </w:p>
    <w:p w14:paraId="5F70497F">
      <w:pPr>
        <w:spacing w:line="40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eastAsia="宋体"/>
          <w:sz w:val="24"/>
          <w:szCs w:val="24"/>
          <w:highlight w:val="none"/>
          <w:lang w:val="en-US" w:eastAsia="zh-CN"/>
        </w:rPr>
        <w:t>5</w:t>
      </w:r>
      <w:r>
        <w:rPr>
          <w:rFonts w:hint="eastAsia" w:ascii="Times New Roman" w:hAnsi="Times New Roman"/>
          <w:sz w:val="24"/>
          <w:szCs w:val="24"/>
          <w:highlight w:val="none"/>
        </w:rPr>
        <w:t>．我方在此声明，所递交的响应文件及有关资料内容完整、真实和准确。</w:t>
      </w:r>
    </w:p>
    <w:p w14:paraId="3AFD038E">
      <w:pPr>
        <w:spacing w:line="40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eastAsia="宋体"/>
          <w:sz w:val="24"/>
          <w:szCs w:val="24"/>
          <w:highlight w:val="none"/>
          <w:lang w:val="en-US" w:eastAsia="zh-CN"/>
        </w:rPr>
        <w:t>6</w:t>
      </w:r>
      <w:r>
        <w:rPr>
          <w:rFonts w:hint="eastAsia" w:ascii="Times New Roman" w:hAnsi="Times New Roman"/>
          <w:sz w:val="24"/>
          <w:szCs w:val="24"/>
          <w:highlight w:val="none"/>
        </w:rPr>
        <w:t>．在合同协议书正式签署生效之前，本响应函连同你方的成交通知书将构成我们双方之间共同遵守的文件，对双方具有约束力。</w:t>
      </w:r>
    </w:p>
    <w:p w14:paraId="3E02E650">
      <w:pPr>
        <w:spacing w:line="40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eastAsia="宋体"/>
          <w:sz w:val="24"/>
          <w:szCs w:val="24"/>
          <w:highlight w:val="none"/>
          <w:lang w:val="en-US" w:eastAsia="zh-CN"/>
        </w:rPr>
        <w:t>7</w:t>
      </w:r>
      <w:r>
        <w:rPr>
          <w:rFonts w:hint="eastAsia" w:ascii="Times New Roman" w:hAnsi="Times New Roman"/>
          <w:sz w:val="24"/>
          <w:szCs w:val="24"/>
          <w:highlight w:val="none"/>
        </w:rPr>
        <w:t>．我方已按采购文件要求详细审核并确认全部采购文件及有关附件，充分理解采购价格不得低于企业个别成本有关规定。我方经成本核算，所填报的响应报价不低于企业个别成本。</w:t>
      </w:r>
    </w:p>
    <w:p w14:paraId="5DF97954">
      <w:pPr>
        <w:spacing w:line="400" w:lineRule="exact"/>
        <w:ind w:firstLine="480" w:firstLineChars="200"/>
        <w:rPr>
          <w:rFonts w:hint="eastAsia" w:ascii="Times New Roman" w:hAnsi="Times New Roman"/>
          <w:sz w:val="24"/>
          <w:szCs w:val="24"/>
          <w:highlight w:val="none"/>
        </w:rPr>
      </w:pPr>
      <w:r>
        <w:rPr>
          <w:rFonts w:hint="eastAsia" w:ascii="Times New Roman" w:hAnsi="Times New Roman"/>
          <w:sz w:val="24"/>
          <w:szCs w:val="24"/>
          <w:highlight w:val="none"/>
          <w:lang w:val="en-US" w:eastAsia="zh-CN"/>
        </w:rPr>
        <w:t>8</w:t>
      </w:r>
      <w:r>
        <w:rPr>
          <w:rFonts w:hint="eastAsia" w:ascii="Times New Roman" w:hAnsi="Times New Roman"/>
          <w:sz w:val="24"/>
          <w:szCs w:val="24"/>
          <w:highlight w:val="none"/>
        </w:rPr>
        <w:t>.____/____（其他补充说明）。</w:t>
      </w:r>
    </w:p>
    <w:p w14:paraId="3F6D9386">
      <w:pPr>
        <w:pStyle w:val="8"/>
        <w:rPr>
          <w:rFonts w:hint="eastAsia" w:ascii="Times New Roman" w:hAnsi="Times New Roman"/>
          <w:sz w:val="24"/>
          <w:szCs w:val="24"/>
          <w:highlight w:val="yellow"/>
        </w:rPr>
      </w:pPr>
    </w:p>
    <w:p w14:paraId="43FE553B">
      <w:pPr>
        <w:pStyle w:val="8"/>
        <w:tabs>
          <w:tab w:val="left" w:pos="6379"/>
        </w:tabs>
        <w:spacing w:beforeLines="0" w:afterLines="0" w:line="480" w:lineRule="exact"/>
        <w:jc w:val="both"/>
        <w:rPr>
          <w:rFonts w:hint="eastAsia" w:ascii="宋体" w:hAnsi="宋体" w:cs="宋体"/>
          <w:color w:val="auto"/>
          <w:sz w:val="24"/>
          <w:szCs w:val="24"/>
        </w:rPr>
      </w:pPr>
    </w:p>
    <w:p w14:paraId="76B08196">
      <w:pPr>
        <w:pStyle w:val="8"/>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供  应  商 ：</w:t>
      </w:r>
      <w:bookmarkStart w:id="131" w:name="_Hlk122530524"/>
      <w:r>
        <w:rPr>
          <w:rFonts w:hint="eastAsia" w:ascii="宋体" w:hAnsi="宋体" w:cs="宋体"/>
          <w:color w:val="auto"/>
          <w:sz w:val="24"/>
          <w:szCs w:val="24"/>
          <w:u w:val="single"/>
        </w:rPr>
        <w:t xml:space="preserve">           </w:t>
      </w:r>
      <w:bookmarkEnd w:id="131"/>
      <w:r>
        <w:rPr>
          <w:rFonts w:hint="eastAsia" w:ascii="宋体" w:hAnsi="宋体" w:cs="宋体"/>
          <w:color w:val="auto"/>
          <w:sz w:val="24"/>
          <w:szCs w:val="24"/>
        </w:rPr>
        <w:t>（盖单位</w:t>
      </w:r>
      <w:r>
        <w:rPr>
          <w:rFonts w:hint="eastAsia" w:ascii="宋体" w:hAnsi="宋体" w:cs="宋体"/>
          <w:color w:val="auto"/>
          <w:sz w:val="24"/>
          <w:szCs w:val="24"/>
          <w:lang w:val="en-US" w:eastAsia="zh-CN"/>
        </w:rPr>
        <w:t>公</w:t>
      </w:r>
      <w:r>
        <w:rPr>
          <w:rFonts w:hint="eastAsia" w:ascii="宋体" w:hAnsi="宋体" w:cs="宋体"/>
          <w:color w:val="auto"/>
          <w:sz w:val="24"/>
          <w:szCs w:val="24"/>
        </w:rPr>
        <w:t>章）</w:t>
      </w:r>
    </w:p>
    <w:p w14:paraId="7CB2BE99">
      <w:pPr>
        <w:pStyle w:val="8"/>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8"/>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 xml:space="preserve">日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期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265D28AE">
      <w:pPr>
        <w:spacing w:line="400" w:lineRule="exact"/>
        <w:ind w:firstLine="4740" w:firstLineChars="1975"/>
        <w:jc w:val="right"/>
        <w:rPr>
          <w:rFonts w:hint="eastAsia" w:ascii="Times New Roman" w:hAnsi="Times New Roman" w:eastAsia="Times New Roman"/>
          <w:sz w:val="24"/>
          <w:szCs w:val="24"/>
          <w:highlight w:val="yellow"/>
        </w:rPr>
      </w:pPr>
    </w:p>
    <w:p w14:paraId="06BD8875">
      <w:pPr>
        <w:spacing w:line="440" w:lineRule="exact"/>
        <w:ind w:firstLine="440"/>
        <w:jc w:val="right"/>
        <w:rPr>
          <w:rFonts w:ascii="Times New Roman" w:hAnsi="Times New Roman" w:eastAsia="黑体" w:cs="Times New Roman"/>
          <w:sz w:val="20"/>
          <w:szCs w:val="20"/>
        </w:rPr>
      </w:pPr>
    </w:p>
    <w:p w14:paraId="09A9B8C6">
      <w:pPr>
        <w:spacing w:line="440" w:lineRule="exact"/>
        <w:jc w:val="center"/>
        <w:outlineLvl w:val="1"/>
        <w:rPr>
          <w:rFonts w:ascii="Times New Roman" w:hAnsi="Times New Roman" w:eastAsia="黑体" w:cs="Times New Roman"/>
          <w:sz w:val="28"/>
          <w:szCs w:val="28"/>
        </w:rPr>
      </w:pPr>
      <w:bookmarkStart w:id="132" w:name="_Toc21389_WPSOffice_Level1"/>
      <w:bookmarkStart w:id="133" w:name="_Toc29236_WPSOffice_Level1"/>
    </w:p>
    <w:p w14:paraId="065C69A7">
      <w:pPr>
        <w:spacing w:line="440" w:lineRule="exact"/>
        <w:jc w:val="center"/>
        <w:outlineLvl w:val="1"/>
        <w:rPr>
          <w:rFonts w:ascii="Times New Roman" w:hAnsi="Times New Roman" w:eastAsia="黑体" w:cs="Times New Roman"/>
          <w:sz w:val="28"/>
          <w:szCs w:val="28"/>
        </w:rPr>
      </w:pPr>
    </w:p>
    <w:p w14:paraId="7C7CFC05">
      <w:pPr>
        <w:spacing w:line="440" w:lineRule="exact"/>
        <w:jc w:val="center"/>
        <w:outlineLvl w:val="1"/>
        <w:rPr>
          <w:rFonts w:ascii="Times New Roman" w:hAnsi="Times New Roman" w:eastAsia="黑体" w:cs="Times New Roman"/>
          <w:sz w:val="28"/>
          <w:szCs w:val="28"/>
        </w:rPr>
      </w:pPr>
    </w:p>
    <w:p w14:paraId="0173081A">
      <w:pPr>
        <w:spacing w:line="440" w:lineRule="exact"/>
        <w:jc w:val="center"/>
        <w:outlineLvl w:val="1"/>
        <w:rPr>
          <w:rFonts w:ascii="Times New Roman" w:hAnsi="Times New Roman" w:eastAsia="黑体" w:cs="Times New Roman"/>
          <w:sz w:val="28"/>
          <w:szCs w:val="28"/>
        </w:rPr>
      </w:pPr>
    </w:p>
    <w:p w14:paraId="3028955F">
      <w:pPr>
        <w:spacing w:line="440" w:lineRule="exact"/>
        <w:jc w:val="center"/>
        <w:outlineLvl w:val="1"/>
        <w:rPr>
          <w:rFonts w:ascii="Times New Roman" w:hAnsi="Times New Roman" w:eastAsia="黑体" w:cs="Times New Roman"/>
          <w:sz w:val="28"/>
          <w:szCs w:val="28"/>
        </w:rPr>
      </w:pPr>
      <w:r>
        <w:rPr>
          <w:rFonts w:ascii="Times New Roman" w:hAnsi="Times New Roman" w:eastAsia="黑体" w:cs="Times New Roman"/>
          <w:sz w:val="28"/>
          <w:szCs w:val="28"/>
        </w:rPr>
        <w:t>二、法定代表人身份证明及授权委托书</w:t>
      </w:r>
    </w:p>
    <w:p w14:paraId="1FF71F14">
      <w:pPr>
        <w:spacing w:line="440" w:lineRule="exact"/>
        <w:jc w:val="center"/>
        <w:rPr>
          <w:rFonts w:ascii="Times New Roman" w:hAnsi="Times New Roman" w:cs="Times New Roman"/>
          <w:sz w:val="28"/>
          <w:szCs w:val="28"/>
        </w:rPr>
      </w:pPr>
      <w:r>
        <w:rPr>
          <w:rFonts w:ascii="Times New Roman" w:hAnsi="Times New Roman" w:eastAsia="黑体" w:cs="Times New Roman"/>
          <w:bCs/>
          <w:sz w:val="28"/>
          <w:szCs w:val="28"/>
        </w:rPr>
        <w:t>2-1 法定代表人身份证明</w:t>
      </w:r>
    </w:p>
    <w:p w14:paraId="666FF344">
      <w:pPr>
        <w:spacing w:line="440" w:lineRule="exact"/>
        <w:rPr>
          <w:rFonts w:ascii="Times New Roman" w:hAnsi="Times New Roman" w:cs="Times New Roman"/>
          <w:sz w:val="20"/>
          <w:szCs w:val="20"/>
        </w:rPr>
      </w:pPr>
    </w:p>
    <w:p w14:paraId="6FD46FF6">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ascii="Times New Roman" w:hAnsi="Times New Roman" w:cs="Times New Roman"/>
          <w:sz w:val="24"/>
        </w:rPr>
        <w:t xml:space="preserve"> </w:t>
      </w:r>
    </w:p>
    <w:p w14:paraId="43D81EA9">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14:paraId="551D219E">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14:paraId="599F9DA3">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14:paraId="5B6F5DFD">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14:paraId="5A75A2B4">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ascii="Times New Roman" w:hAnsi="Times New Roman" w:cs="Times New Roman"/>
          <w:sz w:val="24"/>
        </w:rPr>
        <w:t xml:space="preserve"> 年龄：</w:t>
      </w:r>
      <w:r>
        <w:rPr>
          <w:rFonts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14:paraId="6DEFAD87">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14:paraId="1EE10197">
      <w:pPr>
        <w:spacing w:line="440" w:lineRule="exact"/>
        <w:ind w:firstLine="480" w:firstLineChars="200"/>
        <w:rPr>
          <w:rFonts w:ascii="Times New Roman" w:hAnsi="Times New Roman" w:cs="Times New Roman"/>
          <w:sz w:val="24"/>
        </w:rPr>
      </w:pPr>
    </w:p>
    <w:p w14:paraId="3906C6E9">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5409B64E">
      <w:pPr>
        <w:spacing w:line="440" w:lineRule="exact"/>
        <w:rPr>
          <w:rFonts w:ascii="Times New Roman" w:hAnsi="Times New Roman" w:cs="Times New Roman"/>
          <w:sz w:val="24"/>
        </w:rPr>
      </w:pPr>
    </w:p>
    <w:p w14:paraId="13A3AA20">
      <w:pPr>
        <w:spacing w:line="440" w:lineRule="exact"/>
        <w:rPr>
          <w:rFonts w:ascii="Times New Roman" w:hAnsi="Times New Roman" w:cs="Times New Roman"/>
          <w:sz w:val="24"/>
        </w:rPr>
      </w:pPr>
    </w:p>
    <w:p w14:paraId="08C254A9">
      <w:pPr>
        <w:spacing w:line="440" w:lineRule="exac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2236925E">
      <w:pPr>
        <w:spacing w:line="440" w:lineRule="exact"/>
        <w:jc w:val="cente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2299D1C1">
      <w:pPr>
        <w:pStyle w:val="20"/>
        <w:tabs>
          <w:tab w:val="left" w:pos="1078"/>
          <w:tab w:val="left" w:pos="1176"/>
          <w:tab w:val="left" w:pos="1638"/>
          <w:tab w:val="left" w:pos="3920"/>
          <w:tab w:val="left" w:pos="5670"/>
        </w:tabs>
        <w:ind w:firstLine="480"/>
        <w:rPr>
          <w:rFonts w:ascii="Times New Roman" w:hAnsi="Times New Roman" w:cs="Times New Roman"/>
          <w:sz w:val="24"/>
        </w:rPr>
      </w:pPr>
    </w:p>
    <w:p w14:paraId="02109609">
      <w:pPr>
        <w:pStyle w:val="20"/>
        <w:tabs>
          <w:tab w:val="left" w:pos="1078"/>
          <w:tab w:val="left" w:pos="1176"/>
          <w:tab w:val="left" w:pos="1638"/>
          <w:tab w:val="left" w:pos="3920"/>
          <w:tab w:val="left" w:pos="5670"/>
        </w:tabs>
        <w:ind w:firstLine="480"/>
        <w:rPr>
          <w:rFonts w:ascii="Times New Roman" w:hAnsi="Times New Roman" w:cs="Times New Roman"/>
          <w:sz w:val="24"/>
        </w:rPr>
      </w:pPr>
    </w:p>
    <w:p w14:paraId="51587E3B">
      <w:pPr>
        <w:pStyle w:val="20"/>
        <w:tabs>
          <w:tab w:val="left" w:pos="1078"/>
          <w:tab w:val="left" w:pos="1176"/>
          <w:tab w:val="left" w:pos="1638"/>
          <w:tab w:val="left" w:pos="3920"/>
          <w:tab w:val="left" w:pos="5670"/>
        </w:tabs>
        <w:ind w:firstLine="480"/>
        <w:rPr>
          <w:rFonts w:ascii="Times New Roman" w:hAnsi="Times New Roman" w:cs="Times New Roman"/>
          <w:sz w:val="24"/>
        </w:rPr>
      </w:pPr>
    </w:p>
    <w:p w14:paraId="4AEF88A8">
      <w:pPr>
        <w:pStyle w:val="20"/>
        <w:tabs>
          <w:tab w:val="left" w:pos="1078"/>
          <w:tab w:val="left" w:pos="1176"/>
          <w:tab w:val="left" w:pos="1638"/>
          <w:tab w:val="left" w:pos="3920"/>
          <w:tab w:val="left" w:pos="5670"/>
        </w:tabs>
        <w:ind w:firstLine="480"/>
        <w:rPr>
          <w:rFonts w:ascii="Times New Roman" w:hAnsi="Times New Roman" w:cs="Times New Roman"/>
          <w:sz w:val="24"/>
        </w:rPr>
      </w:pPr>
    </w:p>
    <w:p w14:paraId="625A8319">
      <w:pPr>
        <w:pStyle w:val="20"/>
        <w:tabs>
          <w:tab w:val="left" w:pos="1078"/>
          <w:tab w:val="left" w:pos="1176"/>
          <w:tab w:val="left" w:pos="1638"/>
          <w:tab w:val="left" w:pos="3920"/>
          <w:tab w:val="left" w:pos="5670"/>
        </w:tabs>
        <w:ind w:firstLine="480"/>
        <w:rPr>
          <w:rFonts w:ascii="Times New Roman" w:hAnsi="Times New Roman" w:cs="Times New Roman"/>
          <w:sz w:val="24"/>
        </w:rPr>
      </w:pPr>
    </w:p>
    <w:p w14:paraId="45644FC4">
      <w:pPr>
        <w:pStyle w:val="20"/>
        <w:tabs>
          <w:tab w:val="left" w:pos="1078"/>
          <w:tab w:val="left" w:pos="1176"/>
          <w:tab w:val="left" w:pos="1638"/>
          <w:tab w:val="left" w:pos="3920"/>
          <w:tab w:val="left" w:pos="5670"/>
        </w:tabs>
        <w:ind w:firstLine="480"/>
        <w:rPr>
          <w:rFonts w:ascii="Times New Roman" w:hAnsi="Times New Roman" w:cs="Times New Roman"/>
          <w:sz w:val="24"/>
        </w:rPr>
      </w:pPr>
    </w:p>
    <w:p w14:paraId="3454EB72">
      <w:pPr>
        <w:pStyle w:val="20"/>
        <w:tabs>
          <w:tab w:val="left" w:pos="1078"/>
          <w:tab w:val="left" w:pos="1176"/>
          <w:tab w:val="left" w:pos="1638"/>
          <w:tab w:val="left" w:pos="3920"/>
          <w:tab w:val="left" w:pos="5670"/>
        </w:tabs>
        <w:ind w:firstLine="480"/>
        <w:rPr>
          <w:rFonts w:ascii="Times New Roman" w:hAnsi="Times New Roman" w:cs="Times New Roman"/>
          <w:sz w:val="24"/>
        </w:rPr>
      </w:pPr>
    </w:p>
    <w:p w14:paraId="38D934B4">
      <w:pPr>
        <w:pStyle w:val="20"/>
        <w:tabs>
          <w:tab w:val="left" w:pos="1078"/>
          <w:tab w:val="left" w:pos="1176"/>
          <w:tab w:val="left" w:pos="1638"/>
          <w:tab w:val="left" w:pos="3920"/>
          <w:tab w:val="left" w:pos="5670"/>
        </w:tabs>
        <w:ind w:firstLine="480"/>
        <w:rPr>
          <w:rFonts w:ascii="Times New Roman" w:hAnsi="Times New Roman" w:cs="Times New Roman"/>
          <w:sz w:val="24"/>
        </w:rPr>
      </w:pPr>
    </w:p>
    <w:p w14:paraId="7FC7B162">
      <w:pPr>
        <w:pStyle w:val="20"/>
        <w:tabs>
          <w:tab w:val="left" w:pos="1078"/>
          <w:tab w:val="left" w:pos="1176"/>
          <w:tab w:val="left" w:pos="1638"/>
          <w:tab w:val="left" w:pos="3920"/>
          <w:tab w:val="left" w:pos="5670"/>
        </w:tabs>
        <w:ind w:firstLine="480"/>
        <w:rPr>
          <w:rFonts w:ascii="Times New Roman" w:hAnsi="Times New Roman" w:cs="Times New Roman"/>
          <w:sz w:val="24"/>
        </w:rPr>
      </w:pPr>
    </w:p>
    <w:p w14:paraId="2AECEE32">
      <w:pPr>
        <w:pStyle w:val="20"/>
        <w:tabs>
          <w:tab w:val="left" w:pos="1078"/>
          <w:tab w:val="left" w:pos="1176"/>
          <w:tab w:val="left" w:pos="1638"/>
          <w:tab w:val="left" w:pos="3920"/>
          <w:tab w:val="left" w:pos="5670"/>
        </w:tabs>
        <w:ind w:firstLine="480"/>
        <w:rPr>
          <w:rFonts w:ascii="Times New Roman" w:hAnsi="Times New Roman" w:cs="Times New Roman"/>
          <w:sz w:val="24"/>
        </w:rPr>
      </w:pPr>
    </w:p>
    <w:p w14:paraId="5E7AB5BA">
      <w:pPr>
        <w:pStyle w:val="20"/>
        <w:tabs>
          <w:tab w:val="left" w:pos="1078"/>
          <w:tab w:val="left" w:pos="1176"/>
          <w:tab w:val="left" w:pos="1638"/>
          <w:tab w:val="left" w:pos="3920"/>
          <w:tab w:val="left" w:pos="5670"/>
        </w:tabs>
        <w:ind w:left="0" w:leftChars="0" w:firstLine="0" w:firstLineChars="0"/>
        <w:rPr>
          <w:rFonts w:ascii="Times New Roman" w:hAnsi="Times New Roman" w:cs="Times New Roman"/>
          <w:sz w:val="24"/>
        </w:rPr>
      </w:pPr>
    </w:p>
    <w:p w14:paraId="249A77F0">
      <w:pPr>
        <w:pStyle w:val="19"/>
        <w:ind w:firstLine="240"/>
        <w:rPr>
          <w:rFonts w:ascii="Times New Roman" w:hAnsi="Times New Roman" w:cs="Times New Roman"/>
          <w:sz w:val="24"/>
        </w:rPr>
      </w:pPr>
    </w:p>
    <w:p w14:paraId="54F80415">
      <w:pPr>
        <w:pStyle w:val="19"/>
        <w:ind w:firstLine="240"/>
        <w:rPr>
          <w:rFonts w:ascii="Times New Roman" w:hAnsi="Times New Roman" w:cs="Times New Roman"/>
          <w:sz w:val="24"/>
        </w:rPr>
      </w:pPr>
    </w:p>
    <w:p w14:paraId="49C187EC">
      <w:pPr>
        <w:pStyle w:val="19"/>
        <w:ind w:firstLine="240"/>
        <w:rPr>
          <w:rFonts w:ascii="Times New Roman" w:hAnsi="Times New Roman" w:cs="Times New Roman"/>
          <w:sz w:val="24"/>
        </w:rPr>
      </w:pPr>
    </w:p>
    <w:p w14:paraId="0FE6FBEF">
      <w:pPr>
        <w:pStyle w:val="19"/>
        <w:ind w:firstLine="240"/>
        <w:rPr>
          <w:rFonts w:ascii="Times New Roman" w:hAnsi="Times New Roman" w:cs="Times New Roman"/>
          <w:sz w:val="24"/>
        </w:rPr>
      </w:pPr>
    </w:p>
    <w:p w14:paraId="208850F6">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2-2</w:t>
      </w:r>
      <w:r>
        <w:rPr>
          <w:rFonts w:ascii="Times New Roman" w:hAnsi="Times New Roman" w:eastAsia="黑体" w:cs="Times New Roman"/>
          <w:sz w:val="28"/>
          <w:szCs w:val="28"/>
        </w:rPr>
        <w:t>授权委托书</w:t>
      </w:r>
      <w:bookmarkEnd w:id="132"/>
      <w:bookmarkEnd w:id="133"/>
      <w:r>
        <w:rPr>
          <w:rFonts w:hint="eastAsia" w:ascii="Times New Roman" w:hAnsi="Times New Roman" w:eastAsia="黑体" w:cs="Times New Roman"/>
          <w:sz w:val="28"/>
          <w:szCs w:val="28"/>
        </w:rPr>
        <w:t>（如有）</w:t>
      </w:r>
    </w:p>
    <w:p w14:paraId="2896BA3F">
      <w:pPr>
        <w:spacing w:line="440" w:lineRule="exact"/>
        <w:rPr>
          <w:rFonts w:ascii="Times New Roman" w:hAnsi="Times New Roman" w:cs="Times New Roman"/>
          <w:sz w:val="20"/>
          <w:szCs w:val="20"/>
        </w:rPr>
      </w:pPr>
    </w:p>
    <w:p w14:paraId="3973C44D">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w:t>
      </w:r>
      <w:r>
        <w:rPr>
          <w:rFonts w:hint="eastAsia" w:ascii="Times New Roman" w:hAnsi="Times New Roman" w:cs="Times New Roman"/>
          <w:sz w:val="24"/>
          <w:u w:val="single"/>
        </w:rPr>
        <w:t xml:space="preserve">       </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color w:val="auto"/>
          <w:sz w:val="24"/>
          <w:u w:val="single"/>
        </w:rPr>
        <w:t>合肥市包河区BH202437号地块防火门采购及安装项目</w:t>
      </w:r>
      <w:r>
        <w:rPr>
          <w:rFonts w:ascii="Times New Roman" w:hAnsi="Times New Roman" w:cs="Times New Roman"/>
          <w:color w:val="auto"/>
          <w:sz w:val="24"/>
          <w:u w:val="single"/>
        </w:rPr>
        <w:t xml:space="preserve"> </w:t>
      </w:r>
      <w:r>
        <w:rPr>
          <w:rFonts w:ascii="Times New Roman" w:hAnsi="Times New Roman" w:cs="Times New Roman"/>
          <w:sz w:val="24"/>
        </w:rPr>
        <w:t>(项目名称)响应文件、签订合同和处理有关事宜，其法律后果由我方承担。</w:t>
      </w:r>
    </w:p>
    <w:p w14:paraId="293E8767">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5EDD548E">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6C01B921">
      <w:pPr>
        <w:spacing w:line="440" w:lineRule="exact"/>
        <w:ind w:firstLine="480" w:firstLineChars="200"/>
        <w:rPr>
          <w:rFonts w:ascii="Times New Roman" w:hAnsi="Times New Roman" w:cs="Times New Roman"/>
          <w:sz w:val="24"/>
        </w:rPr>
      </w:pPr>
    </w:p>
    <w:p w14:paraId="19281642">
      <w:pPr>
        <w:spacing w:line="440" w:lineRule="exact"/>
        <w:rPr>
          <w:rFonts w:ascii="Times New Roman" w:hAnsi="Times New Roman" w:cs="Times New Roman"/>
          <w:sz w:val="24"/>
        </w:rPr>
      </w:pPr>
    </w:p>
    <w:p w14:paraId="31EAB1C7">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3B2E3EE">
      <w:pPr>
        <w:spacing w:line="440" w:lineRule="exact"/>
        <w:rPr>
          <w:rFonts w:ascii="Times New Roman" w:hAnsi="Times New Roman" w:cs="Times New Roman"/>
          <w:sz w:val="24"/>
        </w:rPr>
      </w:pPr>
    </w:p>
    <w:p w14:paraId="50DEE39F">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(签</w:t>
      </w:r>
      <w:r>
        <w:rPr>
          <w:rFonts w:hint="eastAsia" w:ascii="Times New Roman" w:hAnsi="Times New Roman" w:cs="Times New Roman"/>
          <w:sz w:val="24"/>
        </w:rPr>
        <w:t>名或盖章</w:t>
      </w:r>
      <w:r>
        <w:rPr>
          <w:rFonts w:ascii="Times New Roman" w:hAnsi="Times New Roman" w:cs="Times New Roman"/>
          <w:sz w:val="24"/>
        </w:rPr>
        <w:t>)</w:t>
      </w:r>
    </w:p>
    <w:p w14:paraId="11CF3384">
      <w:pPr>
        <w:spacing w:line="440" w:lineRule="exact"/>
        <w:rPr>
          <w:rFonts w:ascii="Times New Roman" w:hAnsi="Times New Roman" w:cs="Times New Roman"/>
          <w:sz w:val="24"/>
        </w:rPr>
      </w:pPr>
    </w:p>
    <w:p w14:paraId="54F7FFE1">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49204C08">
      <w:pPr>
        <w:spacing w:line="440" w:lineRule="exact"/>
        <w:rPr>
          <w:rFonts w:ascii="Times New Roman" w:hAnsi="Times New Roman" w:cs="Times New Roman"/>
          <w:sz w:val="24"/>
        </w:rPr>
      </w:pPr>
    </w:p>
    <w:p w14:paraId="77119AF5">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(签</w:t>
      </w:r>
      <w:r>
        <w:rPr>
          <w:rFonts w:hint="eastAsia" w:ascii="Times New Roman" w:hAnsi="Times New Roman" w:cs="Times New Roman"/>
          <w:sz w:val="24"/>
        </w:rPr>
        <w:t>名</w:t>
      </w:r>
      <w:r>
        <w:rPr>
          <w:rFonts w:ascii="Times New Roman" w:hAnsi="Times New Roman" w:cs="Times New Roman"/>
          <w:sz w:val="24"/>
        </w:rPr>
        <w:t>)</w:t>
      </w:r>
    </w:p>
    <w:p w14:paraId="797290DA">
      <w:pPr>
        <w:spacing w:line="440" w:lineRule="exact"/>
        <w:rPr>
          <w:rFonts w:ascii="Times New Roman" w:hAnsi="Times New Roman" w:cs="Times New Roman"/>
          <w:sz w:val="24"/>
        </w:rPr>
      </w:pPr>
    </w:p>
    <w:p w14:paraId="3B2BF21B">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1FF3D9D7">
      <w:pPr>
        <w:spacing w:line="440" w:lineRule="exact"/>
        <w:rPr>
          <w:rFonts w:ascii="Times New Roman" w:hAnsi="Times New Roman" w:cs="Times New Roman"/>
          <w:sz w:val="24"/>
        </w:rPr>
      </w:pPr>
    </w:p>
    <w:p w14:paraId="68F8D363">
      <w:pPr>
        <w:spacing w:line="440" w:lineRule="exact"/>
        <w:rPr>
          <w:rFonts w:ascii="Times New Roman" w:hAnsi="Times New Roman" w:cs="Times New Roman"/>
          <w:sz w:val="24"/>
        </w:rPr>
      </w:pPr>
    </w:p>
    <w:p w14:paraId="2CD26557">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1E86956C">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14:paraId="2C1F0968">
      <w:pPr>
        <w:spacing w:line="360" w:lineRule="exact"/>
        <w:ind w:left="360" w:hanging="360" w:hangingChars="200"/>
        <w:rPr>
          <w:rFonts w:ascii="Times New Roman" w:hAnsi="Times New Roman" w:eastAsia="黑体" w:cs="Times New Roman"/>
          <w:sz w:val="18"/>
          <w:szCs w:val="18"/>
        </w:rPr>
      </w:pPr>
    </w:p>
    <w:p w14:paraId="3DB8A4F6">
      <w:pPr>
        <w:spacing w:line="440" w:lineRule="exact"/>
        <w:jc w:val="center"/>
        <w:rPr>
          <w:rFonts w:ascii="Times New Roman" w:hAnsi="Times New Roman" w:eastAsia="黑体" w:cs="Times New Roman"/>
          <w:sz w:val="24"/>
        </w:rPr>
      </w:pPr>
      <w:r>
        <w:rPr>
          <w:rFonts w:ascii="Times New Roman" w:hAnsi="Times New Roman" w:eastAsia="黑体" w:cs="Times New Roman"/>
          <w:sz w:val="24"/>
        </w:rPr>
        <w:br w:type="page"/>
      </w:r>
    </w:p>
    <w:p w14:paraId="6F9D4476">
      <w:pPr>
        <w:spacing w:line="440" w:lineRule="exact"/>
        <w:jc w:val="center"/>
        <w:outlineLvl w:val="1"/>
        <w:rPr>
          <w:rFonts w:ascii="Times New Roman" w:hAnsi="Times New Roman" w:eastAsia="黑体" w:cs="Times New Roman"/>
          <w:sz w:val="28"/>
          <w:szCs w:val="28"/>
        </w:rPr>
      </w:pPr>
      <w:bookmarkStart w:id="134" w:name="_Toc1902_WPSOffice_Level1"/>
      <w:bookmarkStart w:id="135" w:name="_Toc20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的报价</w:t>
      </w:r>
      <w:r>
        <w:rPr>
          <w:rFonts w:ascii="Times New Roman" w:hAnsi="Times New Roman" w:eastAsia="黑体" w:cs="Times New Roman"/>
          <w:sz w:val="28"/>
          <w:szCs w:val="28"/>
        </w:rPr>
        <w:t>清单</w:t>
      </w:r>
      <w:bookmarkEnd w:id="134"/>
      <w:bookmarkEnd w:id="135"/>
    </w:p>
    <w:p w14:paraId="7F584D90">
      <w:pPr>
        <w:spacing w:line="440" w:lineRule="exact"/>
        <w:rPr>
          <w:rFonts w:ascii="Times New Roman" w:hAnsi="Times New Roman" w:eastAsia="黑体" w:cs="Times New Roman"/>
          <w:sz w:val="24"/>
        </w:rPr>
      </w:pPr>
    </w:p>
    <w:p w14:paraId="79A48053">
      <w:pPr>
        <w:spacing w:line="440" w:lineRule="exact"/>
        <w:rPr>
          <w:rFonts w:ascii="Times New Roman" w:hAnsi="Times New Roman" w:eastAsia="黑体" w:cs="Times New Roman"/>
          <w:sz w:val="24"/>
        </w:rPr>
      </w:pPr>
    </w:p>
    <w:p w14:paraId="36DBE976">
      <w:pPr>
        <w:spacing w:line="440" w:lineRule="exact"/>
        <w:rPr>
          <w:rFonts w:ascii="Times New Roman" w:hAnsi="Times New Roman" w:eastAsia="黑体" w:cs="Times New Roman"/>
          <w:sz w:val="24"/>
        </w:rPr>
      </w:pPr>
      <w:r>
        <w:rPr>
          <w:rFonts w:hint="eastAsia" w:ascii="Times New Roman" w:hAnsi="Times New Roman" w:eastAsia="黑体" w:cs="Times New Roman"/>
          <w:sz w:val="24"/>
        </w:rPr>
        <w:t>请供应商按照响应文件附件清单逐一填写。</w:t>
      </w:r>
    </w:p>
    <w:p w14:paraId="2D9830B4"/>
    <w:p w14:paraId="5A1A9C9D">
      <w:pPr>
        <w:spacing w:line="360" w:lineRule="auto"/>
        <w:jc w:val="center"/>
        <w:rPr>
          <w:rFonts w:hint="eastAsia" w:ascii="宋体" w:hAnsi="宋体"/>
          <w:b/>
        </w:rPr>
      </w:pPr>
      <w:r>
        <w:rPr>
          <w:rFonts w:ascii="宋体" w:hAnsi="宋体"/>
          <w:b/>
        </w:rPr>
        <w:t>A</w:t>
      </w:r>
      <w:r>
        <w:rPr>
          <w:rFonts w:hint="eastAsia" w:ascii="宋体" w:hAnsi="宋体"/>
          <w:b/>
        </w:rPr>
        <w:t>．报价说明</w:t>
      </w:r>
    </w:p>
    <w:p w14:paraId="49F7103F">
      <w:pPr>
        <w:adjustRightInd w:val="0"/>
        <w:snapToGrid w:val="0"/>
        <w:spacing w:line="360" w:lineRule="auto"/>
        <w:ind w:firstLine="420" w:firstLineChars="200"/>
        <w:rPr>
          <w:rFonts w:hint="eastAsia" w:ascii="宋体" w:hAnsi="宋体"/>
          <w:szCs w:val="21"/>
        </w:rPr>
      </w:pPr>
      <w:r>
        <w:rPr>
          <w:rFonts w:ascii="宋体" w:hAnsi="宋体"/>
          <w:szCs w:val="21"/>
        </w:rPr>
        <w:t>1．本采购清单应与</w:t>
      </w:r>
      <w:r>
        <w:rPr>
          <w:rFonts w:hint="eastAsia" w:ascii="宋体" w:hAnsi="宋体"/>
          <w:szCs w:val="21"/>
        </w:rPr>
        <w:t>询比文件</w:t>
      </w:r>
      <w:r>
        <w:rPr>
          <w:rFonts w:ascii="宋体" w:hAnsi="宋体"/>
          <w:szCs w:val="21"/>
        </w:rPr>
        <w:t>、合同条款等文件结合起来查阅与理解。</w:t>
      </w:r>
    </w:p>
    <w:p w14:paraId="10584972">
      <w:pPr>
        <w:adjustRightInd w:val="0"/>
        <w:snapToGrid w:val="0"/>
        <w:spacing w:line="360" w:lineRule="auto"/>
        <w:ind w:firstLine="420" w:firstLineChars="200"/>
        <w:rPr>
          <w:rFonts w:hint="eastAsia" w:ascii="宋体" w:hAnsi="宋体"/>
          <w:szCs w:val="21"/>
        </w:rPr>
      </w:pPr>
      <w:r>
        <w:rPr>
          <w:rFonts w:ascii="宋体" w:hAnsi="宋体"/>
          <w:szCs w:val="21"/>
        </w:rPr>
        <w:t>2．</w:t>
      </w:r>
      <w:r>
        <w:rPr>
          <w:rFonts w:hint="eastAsia" w:ascii="宋体" w:hAnsi="宋体"/>
          <w:szCs w:val="21"/>
        </w:rPr>
        <w:t>此价格为货到工</w:t>
      </w:r>
      <w:r>
        <w:rPr>
          <w:rFonts w:hint="eastAsia" w:ascii="宋体" w:hAnsi="宋体"/>
          <w:szCs w:val="21"/>
          <w:highlight w:val="none"/>
        </w:rPr>
        <w:t>地</w:t>
      </w:r>
      <w:r>
        <w:rPr>
          <w:rFonts w:hint="eastAsia" w:ascii="宋体" w:hAnsi="宋体"/>
          <w:szCs w:val="21"/>
          <w:highlight w:val="none"/>
          <w:lang w:val="en-US" w:eastAsia="zh-CN"/>
        </w:rPr>
        <w:t>的综合</w:t>
      </w:r>
      <w:r>
        <w:rPr>
          <w:rFonts w:hint="eastAsia" w:ascii="宋体" w:hAnsi="宋体"/>
          <w:szCs w:val="21"/>
          <w:highlight w:val="none"/>
        </w:rPr>
        <w:t>价格</w:t>
      </w:r>
      <w:r>
        <w:rPr>
          <w:rFonts w:hint="eastAsia" w:ascii="宋体" w:hAnsi="宋体"/>
          <w:szCs w:val="21"/>
        </w:rPr>
        <w:t>，已包含产品设计、生产、包装、保险、装卸费（甲方指定合适摆放位置，由乙方自行卸货）、运输、备品备件专用工具、税费（国家规定的各项税费用）。因社会事件、国家政策性和市场性调整造成材料、人工、机械等价格上下浮动，</w:t>
      </w:r>
      <w:r>
        <w:rPr>
          <w:rFonts w:hint="eastAsia" w:ascii="宋体" w:hAnsi="宋体"/>
          <w:szCs w:val="21"/>
          <w:lang w:val="en-US" w:eastAsia="zh-CN"/>
        </w:rPr>
        <w:t>投标人</w:t>
      </w:r>
      <w:r>
        <w:rPr>
          <w:rFonts w:hint="eastAsia" w:ascii="宋体" w:hAnsi="宋体"/>
          <w:szCs w:val="21"/>
        </w:rPr>
        <w:t>可以或者应当预见的风险以及合同明确的其他风险等均由乙方自行负担；综合单价不因工程量的变动而变动、也不因工程复杂程度的不同而变动；因</w:t>
      </w:r>
      <w:r>
        <w:rPr>
          <w:rFonts w:hint="eastAsia" w:ascii="宋体" w:hAnsi="宋体"/>
          <w:szCs w:val="21"/>
          <w:lang w:val="en-US" w:eastAsia="zh-CN"/>
        </w:rPr>
        <w:t>投标人</w:t>
      </w:r>
      <w:r>
        <w:rPr>
          <w:rFonts w:hint="eastAsia" w:ascii="宋体" w:hAnsi="宋体"/>
          <w:szCs w:val="21"/>
        </w:rPr>
        <w:t>管理不善引起的费用增加以及为方便施工而增加的费用均由</w:t>
      </w:r>
      <w:r>
        <w:rPr>
          <w:rFonts w:hint="eastAsia" w:ascii="宋体" w:hAnsi="宋体"/>
          <w:szCs w:val="21"/>
          <w:lang w:val="en-US" w:eastAsia="zh-CN"/>
        </w:rPr>
        <w:t>投标人</w:t>
      </w:r>
      <w:r>
        <w:rPr>
          <w:rFonts w:hint="eastAsia" w:ascii="宋体" w:hAnsi="宋体"/>
          <w:szCs w:val="21"/>
        </w:rPr>
        <w:t>自行承担。</w:t>
      </w:r>
    </w:p>
    <w:p w14:paraId="077B9D24">
      <w:pPr>
        <w:adjustRightInd w:val="0"/>
        <w:snapToGrid w:val="0"/>
        <w:spacing w:line="360" w:lineRule="auto"/>
        <w:ind w:firstLine="420" w:firstLineChars="200"/>
        <w:rPr>
          <w:rFonts w:ascii="宋体" w:hAnsi="宋体"/>
          <w:szCs w:val="21"/>
          <w:u w:val="none"/>
        </w:rPr>
      </w:pPr>
      <w:r>
        <w:rPr>
          <w:rFonts w:hint="eastAsia" w:ascii="宋体" w:hAnsi="宋体"/>
          <w:szCs w:val="21"/>
          <w:u w:val="none"/>
          <w:lang w:val="en-US" w:eastAsia="zh-CN"/>
        </w:rPr>
        <w:t>3</w:t>
      </w:r>
      <w:r>
        <w:rPr>
          <w:rFonts w:hint="eastAsia" w:ascii="宋体" w:hAnsi="宋体"/>
          <w:szCs w:val="21"/>
          <w:u w:val="none"/>
        </w:rPr>
        <w:t>.</w:t>
      </w:r>
      <w:r>
        <w:rPr>
          <w:rFonts w:ascii="宋体" w:hAnsi="宋体"/>
          <w:szCs w:val="21"/>
          <w:u w:val="none"/>
        </w:rPr>
        <w:t>采购清单中的各项费用货币单位均为人民币(元)。</w:t>
      </w:r>
    </w:p>
    <w:p w14:paraId="4C6A3E90">
      <w:pPr>
        <w:adjustRightInd w:val="0"/>
        <w:snapToGrid w:val="0"/>
        <w:spacing w:line="360" w:lineRule="auto"/>
        <w:ind w:firstLine="420" w:firstLineChars="200"/>
        <w:rPr>
          <w:rFonts w:ascii="宋体" w:hAnsi="宋体"/>
          <w:szCs w:val="21"/>
          <w:u w:val="none"/>
        </w:rPr>
      </w:pPr>
    </w:p>
    <w:p w14:paraId="389D8D01">
      <w:pPr>
        <w:adjustRightInd w:val="0"/>
        <w:snapToGrid w:val="0"/>
        <w:spacing w:line="360" w:lineRule="auto"/>
        <w:ind w:firstLine="420" w:firstLineChars="200"/>
        <w:rPr>
          <w:rFonts w:ascii="宋体" w:hAnsi="宋体"/>
          <w:szCs w:val="21"/>
          <w:u w:val="none"/>
        </w:rPr>
      </w:pPr>
    </w:p>
    <w:p w14:paraId="632C6950">
      <w:pPr>
        <w:adjustRightInd w:val="0"/>
        <w:snapToGrid w:val="0"/>
        <w:spacing w:line="360" w:lineRule="auto"/>
        <w:ind w:firstLine="420" w:firstLineChars="200"/>
        <w:rPr>
          <w:rFonts w:ascii="宋体" w:hAnsi="宋体"/>
          <w:szCs w:val="21"/>
          <w:u w:val="none"/>
        </w:rPr>
      </w:pPr>
    </w:p>
    <w:p w14:paraId="4653C164">
      <w:pPr>
        <w:adjustRightInd w:val="0"/>
        <w:snapToGrid w:val="0"/>
        <w:spacing w:line="360" w:lineRule="auto"/>
        <w:ind w:firstLine="420" w:firstLineChars="200"/>
        <w:rPr>
          <w:rFonts w:ascii="宋体" w:hAnsi="宋体"/>
          <w:szCs w:val="21"/>
          <w:u w:val="none"/>
        </w:rPr>
      </w:pPr>
    </w:p>
    <w:p w14:paraId="6F7B719D">
      <w:pPr>
        <w:adjustRightInd w:val="0"/>
        <w:snapToGrid w:val="0"/>
        <w:spacing w:line="360" w:lineRule="auto"/>
        <w:ind w:firstLine="420" w:firstLineChars="200"/>
        <w:rPr>
          <w:rFonts w:ascii="宋体" w:hAnsi="宋体"/>
          <w:szCs w:val="21"/>
          <w:u w:val="none"/>
        </w:rPr>
      </w:pPr>
    </w:p>
    <w:p w14:paraId="28C5C920">
      <w:pPr>
        <w:adjustRightInd w:val="0"/>
        <w:snapToGrid w:val="0"/>
        <w:spacing w:line="360" w:lineRule="auto"/>
        <w:ind w:firstLine="420" w:firstLineChars="200"/>
        <w:rPr>
          <w:rFonts w:ascii="宋体" w:hAnsi="宋体"/>
          <w:szCs w:val="21"/>
          <w:u w:val="none"/>
        </w:rPr>
      </w:pPr>
    </w:p>
    <w:p w14:paraId="47ACFB2D">
      <w:pPr>
        <w:adjustRightInd w:val="0"/>
        <w:snapToGrid w:val="0"/>
        <w:spacing w:line="360" w:lineRule="auto"/>
        <w:ind w:firstLine="420" w:firstLineChars="200"/>
        <w:rPr>
          <w:rFonts w:ascii="宋体" w:hAnsi="宋体"/>
          <w:szCs w:val="21"/>
          <w:u w:val="none"/>
        </w:rPr>
      </w:pPr>
    </w:p>
    <w:p w14:paraId="66F51830">
      <w:pPr>
        <w:adjustRightInd w:val="0"/>
        <w:snapToGrid w:val="0"/>
        <w:spacing w:line="360" w:lineRule="auto"/>
        <w:ind w:firstLine="420" w:firstLineChars="200"/>
        <w:rPr>
          <w:rFonts w:ascii="宋体" w:hAnsi="宋体"/>
          <w:szCs w:val="21"/>
          <w:u w:val="none"/>
        </w:rPr>
      </w:pPr>
    </w:p>
    <w:p w14:paraId="7F2A88B2">
      <w:pPr>
        <w:adjustRightInd w:val="0"/>
        <w:snapToGrid w:val="0"/>
        <w:spacing w:line="360" w:lineRule="auto"/>
        <w:ind w:firstLine="420" w:firstLineChars="200"/>
        <w:rPr>
          <w:rFonts w:ascii="宋体" w:hAnsi="宋体"/>
          <w:szCs w:val="21"/>
          <w:u w:val="none"/>
        </w:rPr>
      </w:pPr>
    </w:p>
    <w:p w14:paraId="525400BD">
      <w:pPr>
        <w:adjustRightInd w:val="0"/>
        <w:snapToGrid w:val="0"/>
        <w:spacing w:line="360" w:lineRule="auto"/>
        <w:ind w:firstLine="420" w:firstLineChars="200"/>
        <w:rPr>
          <w:rFonts w:hint="eastAsia" w:ascii="宋体" w:hAnsi="宋体"/>
          <w:szCs w:val="21"/>
          <w:u w:val="none"/>
          <w:lang w:eastAsia="zh-CN"/>
        </w:rPr>
      </w:pPr>
    </w:p>
    <w:p w14:paraId="3FFFF558">
      <w:pPr>
        <w:spacing w:line="360" w:lineRule="auto"/>
        <w:jc w:val="left"/>
        <w:rPr>
          <w:rFonts w:hint="eastAsia" w:ascii="宋体" w:hAnsi="宋体"/>
          <w:b/>
        </w:rPr>
      </w:pPr>
      <w:r>
        <w:rPr>
          <w:rFonts w:hint="eastAsia" w:ascii="宋体" w:hAnsi="宋体"/>
          <w:b/>
        </w:rPr>
        <w:t>备注：1．本采购清单应与询比文件、合同条款等文件结合起来查阅与理解。</w:t>
      </w:r>
    </w:p>
    <w:p w14:paraId="5ACE2805">
      <w:pPr>
        <w:spacing w:line="360" w:lineRule="auto"/>
        <w:jc w:val="left"/>
        <w:rPr>
          <w:rFonts w:hint="eastAsia" w:ascii="宋体" w:hAnsi="宋体"/>
          <w:b/>
        </w:rPr>
      </w:pPr>
      <w:r>
        <w:rPr>
          <w:rFonts w:hint="eastAsia" w:ascii="宋体" w:hAnsi="宋体"/>
          <w:b/>
        </w:rPr>
        <w:t>2．此价格为货到工地安装验收合格的综合价格，已包含产品设计、生产、包装、保险、装卸费（甲方指定合适摆放位置，由乙方自行卸货）、运输、备品备件专用工具、税费（国家规定的各项税费用）。因社会事件、国家政策性和市场性调整造成材料、人工、机械等价格上下浮动，投标人可以或者应当预见的风险以及合同明确的其他风险等均由乙方自行负担；综合单价不因工程量的变动而变动、也不因工程复杂程度的不同而变动；因投标人管理不善引起的费用增加以及为方便施工而增加的费用均由投标人自行承担。</w:t>
      </w:r>
    </w:p>
    <w:p w14:paraId="71B92E32">
      <w:pPr>
        <w:spacing w:line="360" w:lineRule="auto"/>
        <w:jc w:val="left"/>
        <w:rPr>
          <w:rFonts w:hint="eastAsia" w:ascii="宋体" w:hAnsi="宋体"/>
          <w:b/>
        </w:rPr>
      </w:pPr>
      <w:r>
        <w:rPr>
          <w:rFonts w:hint="eastAsia" w:ascii="宋体" w:hAnsi="宋体"/>
          <w:b/>
        </w:rPr>
        <w:t>3.采购清单中的各项费用货币单位均为人民币(元)。</w:t>
      </w:r>
    </w:p>
    <w:p w14:paraId="66144C49">
      <w:pPr>
        <w:spacing w:line="360" w:lineRule="auto"/>
        <w:jc w:val="left"/>
        <w:rPr>
          <w:rFonts w:hint="eastAsia" w:ascii="宋体" w:hAnsi="宋体"/>
          <w:b/>
        </w:rPr>
        <w:sectPr>
          <w:footerReference r:id="rId11" w:type="default"/>
          <w:pgSz w:w="11906" w:h="16838"/>
          <w:pgMar w:top="1440" w:right="1800" w:bottom="1440" w:left="1800" w:header="851" w:footer="992" w:gutter="0"/>
          <w:pgNumType w:fmt="decimal"/>
          <w:cols w:space="425" w:num="1"/>
          <w:docGrid w:type="lines" w:linePitch="312" w:charSpace="0"/>
        </w:sectPr>
      </w:pPr>
    </w:p>
    <w:p w14:paraId="29EEC152">
      <w:pPr>
        <w:spacing w:line="440" w:lineRule="exact"/>
        <w:jc w:val="center"/>
        <w:outlineLvl w:val="1"/>
        <w:rPr>
          <w:rFonts w:ascii="Times New Roman" w:hAnsi="Times New Roman" w:eastAsia="黑体" w:cs="Times New Roman"/>
          <w:sz w:val="28"/>
          <w:szCs w:val="28"/>
        </w:rPr>
      </w:pPr>
      <w:bookmarkStart w:id="136" w:name="_Toc22419_WPSOffice_Level1"/>
      <w:bookmarkStart w:id="137" w:name="_Toc19774_WPSOffice_Level1"/>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38" w:name="_Toc25374_WPSOffice_Level2"/>
      <w:bookmarkStart w:id="139" w:name="_Toc803_WPSOffice_Level2"/>
      <w:r>
        <w:rPr>
          <w:rFonts w:ascii="Times New Roman" w:hAnsi="Times New Roman" w:eastAsia="黑体" w:cs="Times New Roman"/>
          <w:sz w:val="28"/>
          <w:szCs w:val="28"/>
        </w:rPr>
        <w:t>供应商基本情况</w:t>
      </w:r>
      <w:bookmarkEnd w:id="136"/>
      <w:bookmarkEnd w:id="137"/>
      <w:bookmarkEnd w:id="138"/>
      <w:bookmarkEnd w:id="139"/>
    </w:p>
    <w:p w14:paraId="477B4247">
      <w:pPr>
        <w:topLinePunct/>
        <w:spacing w:line="440" w:lineRule="exact"/>
        <w:jc w:val="center"/>
        <w:rPr>
          <w:rFonts w:ascii="Times New Roman" w:hAnsi="Times New Roman" w:cs="Times New Roman"/>
          <w:sz w:val="23"/>
          <w:szCs w:val="23"/>
        </w:rPr>
      </w:pPr>
    </w:p>
    <w:tbl>
      <w:tblPr>
        <w:tblStyle w:val="21"/>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1524C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F552B3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1675B4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018B4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3ECCAB5E">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4CD705E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700B013A">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713B0DB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69C46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57098AAD">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2419E16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0FE9B19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134FDBE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79B32CA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17F18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2F3AFD8D">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051DCF0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639B4FD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8523229">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电子邮箱</w:t>
            </w:r>
          </w:p>
        </w:tc>
        <w:tc>
          <w:tcPr>
            <w:tcW w:w="2356" w:type="dxa"/>
            <w:tcBorders>
              <w:top w:val="single" w:color="auto" w:sz="4" w:space="0"/>
              <w:left w:val="single" w:color="auto" w:sz="4" w:space="0"/>
              <w:bottom w:val="single" w:color="auto" w:sz="4" w:space="0"/>
              <w:right w:val="single" w:color="auto" w:sz="4" w:space="0"/>
            </w:tcBorders>
            <w:vAlign w:val="center"/>
          </w:tcPr>
          <w:p w14:paraId="645B26E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27845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2824671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17946269">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3290035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9DC754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798CBEE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74811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A64778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B49AD1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10436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14:paraId="18144AE9">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5D8A926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p w14:paraId="281F576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p w14:paraId="5567F58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6A54E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14:paraId="04A0A70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2351AE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bl>
    <w:p w14:paraId="5547122F">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22918698">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在本表后应附企业法人营业执照（事业单位法人证书，如有）、资质证书（如有）及资格审查要求的其他证件复印件。</w:t>
      </w:r>
    </w:p>
    <w:p w14:paraId="43E52FD0">
      <w:pPr>
        <w:tabs>
          <w:tab w:val="left" w:pos="3060"/>
        </w:tabs>
        <w:topLinePunct/>
        <w:spacing w:line="440" w:lineRule="exact"/>
        <w:jc w:val="center"/>
        <w:rPr>
          <w:rFonts w:ascii="Times New Roman" w:hAnsi="Times New Roman" w:eastAsia="黑体" w:cs="Times New Roman"/>
          <w:sz w:val="28"/>
          <w:szCs w:val="28"/>
        </w:rPr>
      </w:pPr>
      <w:bookmarkStart w:id="140" w:name="_Toc26594_WPSOffice_Level1"/>
      <w:bookmarkStart w:id="141" w:name="_Toc5889_WPSOffice_Level1"/>
      <w:bookmarkStart w:id="142" w:name="_Toc27376_WPSOffice_Level1"/>
      <w:bookmarkStart w:id="143" w:name="_Toc27072_WPSOffice_Level1"/>
      <w:r>
        <w:rPr>
          <w:rFonts w:hint="eastAsia" w:ascii="Times New Roman" w:hAnsi="Times New Roman" w:eastAsia="黑体" w:cs="Times New Roman"/>
          <w:sz w:val="28"/>
          <w:szCs w:val="28"/>
        </w:rPr>
        <w:br w:type="page"/>
      </w:r>
      <w:r>
        <w:rPr>
          <w:rFonts w:hint="eastAsia" w:ascii="Times New Roman" w:hAnsi="Times New Roman" w:eastAsia="黑体" w:cs="Times New Roman"/>
          <w:sz w:val="28"/>
          <w:szCs w:val="28"/>
        </w:rPr>
        <w:t>五</w:t>
      </w:r>
      <w:r>
        <w:rPr>
          <w:rFonts w:ascii="Times New Roman" w:hAnsi="Times New Roman" w:eastAsia="黑体" w:cs="Times New Roman"/>
          <w:sz w:val="28"/>
          <w:szCs w:val="28"/>
        </w:rPr>
        <w:t>、业绩情况</w:t>
      </w:r>
    </w:p>
    <w:p w14:paraId="5F93B587">
      <w:pPr>
        <w:tabs>
          <w:tab w:val="left" w:pos="3060"/>
        </w:tabs>
        <w:topLinePunct/>
        <w:spacing w:line="440" w:lineRule="exact"/>
        <w:jc w:val="center"/>
        <w:rPr>
          <w:rFonts w:ascii="Times New Roman" w:hAnsi="Times New Roman" w:eastAsia="黑体" w:cs="Times New Roman"/>
          <w:sz w:val="28"/>
          <w:szCs w:val="28"/>
        </w:rPr>
      </w:pPr>
    </w:p>
    <w:tbl>
      <w:tblPr>
        <w:tblStyle w:val="21"/>
        <w:tblW w:w="846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5899"/>
      </w:tblGrid>
      <w:tr w14:paraId="0819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933CB3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43993E3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779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0465F82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4182AE72">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2451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2286D71">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08D6FF3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FAA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B3322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559B90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076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17BF17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0641AAA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632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F4E0FED">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516796A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655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B3A1DA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2A74865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A07F0C">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1236DFD4">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5E359437">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2、业绩证明材料要求：_</w:t>
      </w:r>
      <w:r>
        <w:rPr>
          <w:rFonts w:hint="eastAsia" w:ascii="Times New Roman" w:hAnsi="Times New Roman" w:eastAsia="黑体" w:cs="Times New Roman"/>
          <w:szCs w:val="21"/>
          <w:u w:val="single"/>
        </w:rPr>
        <w:t>满足前附表要求</w:t>
      </w:r>
      <w:r>
        <w:rPr>
          <w:rFonts w:hint="eastAsia" w:ascii="Times New Roman" w:hAnsi="Times New Roman" w:eastAsia="黑体" w:cs="Times New Roman"/>
          <w:szCs w:val="21"/>
        </w:rPr>
        <w:t>__。</w:t>
      </w:r>
    </w:p>
    <w:p w14:paraId="4883F7C4">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09C508BA">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4、业绩证明材料须提供：合同协议书，否则评审小组不予认可。 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66EC77F9">
      <w:pPr>
        <w:pStyle w:val="8"/>
        <w:rPr>
          <w:rFonts w:eastAsia="黑体"/>
        </w:rPr>
      </w:pPr>
    </w:p>
    <w:p w14:paraId="18C37256">
      <w:pPr>
        <w:pStyle w:val="8"/>
        <w:rPr>
          <w:rFonts w:ascii="Times New Roman" w:hAnsi="Times New Roman"/>
        </w:rPr>
      </w:pPr>
    </w:p>
    <w:p w14:paraId="1D060FC8">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0C982A86">
      <w:pPr>
        <w:tabs>
          <w:tab w:val="left" w:pos="3060"/>
        </w:tabs>
        <w:topLinePunct/>
        <w:spacing w:line="440" w:lineRule="exact"/>
        <w:jc w:val="center"/>
        <w:outlineLvl w:val="1"/>
        <w:rPr>
          <w:rFonts w:ascii="Times New Roman" w:hAnsi="Times New Roman" w:eastAsia="黑体" w:cs="Times New Roman"/>
          <w:sz w:val="28"/>
          <w:szCs w:val="28"/>
        </w:rPr>
      </w:pPr>
      <w:r>
        <w:rPr>
          <w:rFonts w:hint="eastAsia" w:ascii="Times New Roman" w:hAnsi="Times New Roman" w:eastAsia="黑体" w:cs="Times New Roman"/>
          <w:sz w:val="28"/>
          <w:szCs w:val="28"/>
        </w:rPr>
        <w:t>六</w:t>
      </w:r>
      <w:r>
        <w:rPr>
          <w:rFonts w:ascii="Times New Roman" w:hAnsi="Times New Roman" w:eastAsia="黑体" w:cs="Times New Roman"/>
          <w:sz w:val="28"/>
          <w:szCs w:val="28"/>
        </w:rPr>
        <w:t>、信誉情况</w:t>
      </w:r>
      <w:bookmarkEnd w:id="140"/>
      <w:bookmarkEnd w:id="141"/>
      <w:bookmarkEnd w:id="142"/>
      <w:bookmarkEnd w:id="143"/>
    </w:p>
    <w:p w14:paraId="44A4195E">
      <w:pPr>
        <w:topLinePunct/>
        <w:spacing w:line="440" w:lineRule="exact"/>
        <w:rPr>
          <w:rFonts w:ascii="Times New Roman" w:hAnsi="Times New Roman" w:cs="Times New Roman"/>
          <w:bCs/>
          <w:sz w:val="23"/>
          <w:szCs w:val="23"/>
        </w:rPr>
      </w:pP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31CC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666DF7F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项 目</w:t>
            </w:r>
          </w:p>
        </w:tc>
        <w:tc>
          <w:tcPr>
            <w:tcW w:w="4445" w:type="dxa"/>
          </w:tcPr>
          <w:p w14:paraId="23CE0616">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供应商情况说明</w:t>
            </w:r>
          </w:p>
        </w:tc>
      </w:tr>
      <w:tr w14:paraId="6854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04E17944">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r>
              <w:rPr>
                <w:rFonts w:hint="default" w:ascii="Times New Roman" w:hAnsi="Times New Roman" w:cs="Times New Roman"/>
                <w:sz w:val="24"/>
                <w:szCs w:val="28"/>
              </w:rPr>
              <w:t>是否被责令停业，暂扣或吊销执照，或吊销资质证书</w:t>
            </w:r>
          </w:p>
        </w:tc>
        <w:tc>
          <w:tcPr>
            <w:tcW w:w="4445" w:type="dxa"/>
            <w:vAlign w:val="center"/>
          </w:tcPr>
          <w:p w14:paraId="58F5CA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黑体" w:cs="Times New Roman"/>
                <w:bCs/>
                <w:szCs w:val="21"/>
              </w:rPr>
            </w:pPr>
          </w:p>
        </w:tc>
      </w:tr>
      <w:tr w14:paraId="7D42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1BF57A14">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r>
              <w:rPr>
                <w:rFonts w:hint="default" w:ascii="Times New Roman" w:hAnsi="Times New Roman" w:cs="Times New Roman"/>
                <w:sz w:val="24"/>
                <w:szCs w:val="28"/>
              </w:rPr>
              <w:t>是否进入清算程序，或被宣告破产，或其他丧失履约能力的情形</w:t>
            </w:r>
          </w:p>
        </w:tc>
        <w:tc>
          <w:tcPr>
            <w:tcW w:w="4445" w:type="dxa"/>
            <w:vAlign w:val="center"/>
          </w:tcPr>
          <w:p w14:paraId="3359208A">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p>
        </w:tc>
      </w:tr>
      <w:tr w14:paraId="3EC1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6F07017D">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r>
              <w:rPr>
                <w:rFonts w:hint="default" w:ascii="Times New Roman" w:hAnsi="Times New Roman" w:cs="Times New Roman"/>
                <w:sz w:val="24"/>
                <w:szCs w:val="28"/>
              </w:rPr>
              <w:t>是否在国家企业信用信息公示系统（http://www.gsxt.gov.cn）中被列入严重违法失信企业名单</w:t>
            </w:r>
          </w:p>
        </w:tc>
        <w:tc>
          <w:tcPr>
            <w:tcW w:w="4445" w:type="dxa"/>
            <w:vAlign w:val="center"/>
          </w:tcPr>
          <w:p w14:paraId="7AD0FE89">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p>
        </w:tc>
      </w:tr>
      <w:tr w14:paraId="0EFE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299AB724">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r>
              <w:rPr>
                <w:rFonts w:hint="default" w:ascii="Times New Roman" w:hAnsi="Times New Roman" w:cs="Times New Roman"/>
                <w:sz w:val="24"/>
                <w:szCs w:val="28"/>
              </w:rPr>
              <w:t>是否在“信用中国”网站（http://www.creditchina.gov.cn）中被列入失信被执行人名单</w:t>
            </w:r>
          </w:p>
        </w:tc>
        <w:tc>
          <w:tcPr>
            <w:tcW w:w="4445" w:type="dxa"/>
            <w:vAlign w:val="center"/>
          </w:tcPr>
          <w:p w14:paraId="2F70A1DE">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p>
        </w:tc>
      </w:tr>
      <w:tr w14:paraId="215B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55A33E7B">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r>
              <w:rPr>
                <w:rFonts w:hint="default" w:ascii="Times New Roman" w:hAnsi="Times New Roman" w:cs="Times New Roman"/>
                <w:sz w:val="24"/>
                <w:szCs w:val="28"/>
              </w:rPr>
              <w:t>是否在近三年内（自响应文件递交截止之日向前追溯3年）供应商或其法定代表人、拟委任的项目经理（如有）有行贿犯罪行为</w:t>
            </w:r>
          </w:p>
        </w:tc>
        <w:tc>
          <w:tcPr>
            <w:tcW w:w="4445" w:type="dxa"/>
            <w:vAlign w:val="center"/>
          </w:tcPr>
          <w:p w14:paraId="72A0E419">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p>
        </w:tc>
      </w:tr>
      <w:tr w14:paraId="5DF3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51C0C2BF">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 w:val="24"/>
                <w:szCs w:val="28"/>
              </w:rPr>
            </w:pPr>
            <w:r>
              <w:rPr>
                <w:rFonts w:hint="default" w:ascii="Times New Roman" w:hAnsi="Times New Roman" w:cs="Times New Roman"/>
                <w:sz w:val="24"/>
                <w:szCs w:val="28"/>
              </w:rPr>
              <w:t>……</w:t>
            </w:r>
          </w:p>
        </w:tc>
        <w:tc>
          <w:tcPr>
            <w:tcW w:w="4445" w:type="dxa"/>
          </w:tcPr>
          <w:p w14:paraId="6AFBEE5A">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bl>
    <w:p w14:paraId="729D7498">
      <w:pPr>
        <w:spacing w:line="440" w:lineRule="exact"/>
        <w:jc w:val="left"/>
        <w:rPr>
          <w:rFonts w:ascii="Times New Roman" w:hAnsi="Times New Roman" w:cs="Times New Roman"/>
          <w:sz w:val="24"/>
        </w:rPr>
      </w:pPr>
      <w:r>
        <w:rPr>
          <w:rFonts w:ascii="Times New Roman" w:hAnsi="Times New Roman" w:cs="Times New Roman"/>
          <w:sz w:val="24"/>
        </w:rPr>
        <w:t>注：本表</w:t>
      </w:r>
      <w:r>
        <w:rPr>
          <w:rFonts w:hint="eastAsia" w:ascii="Times New Roman" w:hAnsi="Times New Roman" w:cs="Times New Roman"/>
          <w:sz w:val="24"/>
        </w:rPr>
        <w:t>无</w:t>
      </w:r>
      <w:r>
        <w:rPr>
          <w:rFonts w:ascii="Times New Roman" w:hAnsi="Times New Roman" w:cs="Times New Roman"/>
          <w:sz w:val="24"/>
        </w:rPr>
        <w:t>需附证明材料</w:t>
      </w:r>
      <w:r>
        <w:rPr>
          <w:rFonts w:hint="eastAsia" w:ascii="Times New Roman" w:hAnsi="Times New Roman" w:cs="Times New Roman"/>
          <w:sz w:val="24"/>
        </w:rPr>
        <w:t>，供应商应如实填写情况说明，如无以上内容，可在情况说明处填写无即可，如有弄虚作假行为，采购人保留对供应商依法依规处理的权利</w:t>
      </w:r>
      <w:r>
        <w:rPr>
          <w:rFonts w:ascii="Times New Roman" w:hAnsi="Times New Roman" w:cs="Times New Roman"/>
          <w:sz w:val="24"/>
        </w:rPr>
        <w:t>。</w:t>
      </w:r>
    </w:p>
    <w:p w14:paraId="1D8ECE6D">
      <w:pPr>
        <w:pStyle w:val="8"/>
        <w:jc w:val="right"/>
        <w:rPr>
          <w:rFonts w:ascii="Times New Roman" w:hAnsi="Times New Roman" w:cs="Times New Roman"/>
          <w:sz w:val="24"/>
        </w:rPr>
      </w:pPr>
    </w:p>
    <w:p w14:paraId="0A91F1F5">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BFC0CFD">
      <w:pPr>
        <w:pStyle w:val="20"/>
        <w:tabs>
          <w:tab w:val="left" w:pos="1078"/>
          <w:tab w:val="left" w:pos="1176"/>
          <w:tab w:val="left" w:pos="1638"/>
          <w:tab w:val="left" w:pos="3920"/>
          <w:tab w:val="left" w:pos="5670"/>
        </w:tabs>
        <w:ind w:left="0" w:leftChars="0" w:firstLine="4320" w:firstLineChars="1800"/>
        <w:rPr>
          <w:rFonts w:ascii="Times New Roman" w:hAnsi="Times New Roman" w:cs="Times New Roman"/>
          <w:sz w:val="24"/>
          <w:u w:val="single"/>
        </w:rPr>
      </w:pPr>
    </w:p>
    <w:p w14:paraId="2F8AF63E">
      <w:pPr>
        <w:pStyle w:val="20"/>
        <w:tabs>
          <w:tab w:val="left" w:pos="1078"/>
          <w:tab w:val="left" w:pos="1176"/>
          <w:tab w:val="left" w:pos="1638"/>
          <w:tab w:val="left" w:pos="3920"/>
          <w:tab w:val="left" w:pos="5670"/>
        </w:tabs>
        <w:ind w:left="0" w:leftChars="0" w:firstLine="4320" w:firstLineChars="1800"/>
        <w:rPr>
          <w:rFonts w:ascii="Times New Roman" w:hAnsi="Times New Roman" w:eastAsia="黑体" w:cs="Times New Roman"/>
          <w:sz w:val="28"/>
          <w:szCs w:val="28"/>
        </w:rPr>
      </w:pPr>
      <w:r>
        <w:rPr>
          <w:rFonts w:hint="eastAsia" w:ascii="Times New Roman" w:hAnsi="Times New Roman" w:cs="Times New Roman"/>
          <w:sz w:val="24"/>
          <w:u w:val="single"/>
          <w:lang w:val="en-US" w:eastAsia="zh-CN"/>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01156213">
      <w:pPr>
        <w:pStyle w:val="20"/>
        <w:tabs>
          <w:tab w:val="left" w:pos="1078"/>
          <w:tab w:val="left" w:pos="1176"/>
          <w:tab w:val="left" w:pos="1638"/>
          <w:tab w:val="left" w:pos="3920"/>
          <w:tab w:val="left" w:pos="5670"/>
        </w:tabs>
        <w:ind w:firstLine="560"/>
        <w:rPr>
          <w:rFonts w:ascii="Times New Roman" w:hAnsi="Times New Roman" w:eastAsia="黑体" w:cs="Times New Roman"/>
          <w:sz w:val="28"/>
          <w:szCs w:val="28"/>
        </w:rPr>
      </w:pPr>
    </w:p>
    <w:p w14:paraId="2C601333">
      <w:pPr>
        <w:widowControl/>
        <w:spacing w:line="440" w:lineRule="exact"/>
        <w:jc w:val="center"/>
      </w:pPr>
    </w:p>
    <w:p w14:paraId="7CCD4A04">
      <w:pPr>
        <w:widowControl/>
        <w:spacing w:line="440" w:lineRule="exact"/>
        <w:jc w:val="center"/>
      </w:pPr>
    </w:p>
    <w:p w14:paraId="6A9D7386">
      <w:pPr>
        <w:spacing w:line="440" w:lineRule="exact"/>
        <w:jc w:val="center"/>
        <w:rPr>
          <w:rFonts w:ascii="Times New Roman" w:hAnsi="Times New Roman" w:eastAsia="黑体" w:cs="Times New Roman"/>
          <w:sz w:val="28"/>
          <w:szCs w:val="28"/>
        </w:rPr>
      </w:pPr>
      <w:bookmarkStart w:id="144" w:name="_Toc4822_WPSOffice_Level1"/>
      <w:bookmarkStart w:id="145" w:name="_Toc22014_WPSOffice_Level1"/>
    </w:p>
    <w:p w14:paraId="3565CBD9">
      <w:pPr>
        <w:spacing w:line="440" w:lineRule="exact"/>
        <w:jc w:val="center"/>
        <w:outlineLvl w:val="1"/>
        <w:rPr>
          <w:rFonts w:ascii="Times New Roman" w:hAnsi="Times New Roman" w:eastAsia="黑体" w:cs="Times New Roman"/>
          <w:sz w:val="28"/>
          <w:szCs w:val="28"/>
        </w:rPr>
      </w:pPr>
      <w:r>
        <w:rPr>
          <w:rFonts w:hint="eastAsia" w:ascii="Times New Roman" w:hAnsi="Times New Roman" w:eastAsia="黑体" w:cs="Times New Roman"/>
          <w:sz w:val="28"/>
          <w:szCs w:val="28"/>
        </w:rPr>
        <w:t>七</w:t>
      </w:r>
      <w:r>
        <w:rPr>
          <w:rFonts w:ascii="Times New Roman" w:hAnsi="Times New Roman" w:eastAsia="黑体" w:cs="Times New Roman"/>
          <w:sz w:val="28"/>
          <w:szCs w:val="28"/>
        </w:rPr>
        <w:t>、其它材料</w:t>
      </w:r>
      <w:bookmarkEnd w:id="144"/>
      <w:bookmarkEnd w:id="145"/>
    </w:p>
    <w:p w14:paraId="1D4A1A74">
      <w:pPr>
        <w:pStyle w:val="8"/>
        <w:spacing w:line="360" w:lineRule="auto"/>
        <w:outlineLvl w:val="0"/>
        <w:rPr>
          <w:rFonts w:ascii="Times New Roman" w:hAnsi="Times New Roman"/>
          <w:szCs w:val="28"/>
        </w:rPr>
      </w:pPr>
      <w:bookmarkStart w:id="146" w:name="_Toc12549"/>
      <w:bookmarkStart w:id="147" w:name="_Toc27019"/>
      <w:bookmarkStart w:id="148" w:name="_Toc32376"/>
      <w:r>
        <w:rPr>
          <w:rFonts w:hint="eastAsia" w:ascii="Times New Roman" w:hAnsi="Times New Roman"/>
          <w:szCs w:val="28"/>
          <w:lang w:val="en-US" w:eastAsia="zh-CN"/>
        </w:rPr>
        <w:t>响应保证金的银行凭证（电汇回单）复印件以及</w:t>
      </w:r>
      <w:r>
        <w:rPr>
          <w:rFonts w:hint="eastAsia" w:ascii="Times New Roman" w:hAnsi="Times New Roman"/>
          <w:szCs w:val="28"/>
        </w:rPr>
        <w:t>供应商认为需要递交的其它材料。</w:t>
      </w:r>
      <w:bookmarkEnd w:id="146"/>
      <w:bookmarkEnd w:id="147"/>
      <w:bookmarkEnd w:id="148"/>
    </w:p>
    <w:p w14:paraId="3EE586B8">
      <w:pPr>
        <w:rPr>
          <w:rFonts w:ascii="Times New Roman" w:hAnsi="Times New Roman"/>
          <w:szCs w:val="28"/>
        </w:rPr>
      </w:pPr>
    </w:p>
    <w:p w14:paraId="066E0BA0">
      <w:pPr>
        <w:pStyle w:val="20"/>
        <w:tabs>
          <w:tab w:val="left" w:pos="1078"/>
          <w:tab w:val="left" w:pos="1176"/>
          <w:tab w:val="left" w:pos="1638"/>
          <w:tab w:val="left" w:pos="3920"/>
          <w:tab w:val="left" w:pos="5670"/>
        </w:tabs>
        <w:rPr>
          <w:rFonts w:ascii="Times New Roman" w:hAnsi="Times New Roman"/>
          <w:szCs w:val="28"/>
        </w:rPr>
      </w:pPr>
    </w:p>
    <w:p w14:paraId="46C0B73E">
      <w:pPr>
        <w:pStyle w:val="19"/>
        <w:ind w:firstLine="210"/>
        <w:rPr>
          <w:rFonts w:ascii="Times New Roman" w:hAnsi="Times New Roman"/>
          <w:szCs w:val="28"/>
        </w:rPr>
      </w:pPr>
    </w:p>
    <w:p w14:paraId="6A428F40">
      <w:pPr>
        <w:pStyle w:val="19"/>
        <w:ind w:firstLine="210"/>
        <w:rPr>
          <w:rFonts w:ascii="Times New Roman" w:hAnsi="Times New Roman"/>
          <w:szCs w:val="28"/>
        </w:rPr>
      </w:pPr>
    </w:p>
    <w:p w14:paraId="167E8044">
      <w:pPr>
        <w:pStyle w:val="19"/>
        <w:ind w:firstLine="210"/>
        <w:rPr>
          <w:rFonts w:ascii="Times New Roman" w:hAnsi="Times New Roman"/>
          <w:szCs w:val="28"/>
        </w:rPr>
      </w:pPr>
    </w:p>
    <w:p w14:paraId="0E0B6767">
      <w:pPr>
        <w:pStyle w:val="19"/>
        <w:ind w:firstLine="210"/>
        <w:rPr>
          <w:rFonts w:ascii="Times New Roman" w:hAnsi="Times New Roman"/>
          <w:szCs w:val="28"/>
        </w:rPr>
      </w:pPr>
    </w:p>
    <w:p w14:paraId="668AA4D2">
      <w:pPr>
        <w:pStyle w:val="19"/>
        <w:ind w:firstLine="210"/>
        <w:rPr>
          <w:rFonts w:ascii="Times New Roman" w:hAnsi="Times New Roman"/>
          <w:szCs w:val="28"/>
        </w:rPr>
      </w:pPr>
    </w:p>
    <w:p w14:paraId="6FE1F449">
      <w:pPr>
        <w:pStyle w:val="19"/>
        <w:ind w:firstLine="210"/>
        <w:rPr>
          <w:rFonts w:ascii="Times New Roman" w:hAnsi="Times New Roman"/>
          <w:szCs w:val="28"/>
        </w:rPr>
      </w:pPr>
    </w:p>
    <w:p w14:paraId="4A659938">
      <w:pPr>
        <w:pStyle w:val="19"/>
        <w:ind w:firstLine="210"/>
        <w:rPr>
          <w:rFonts w:ascii="Times New Roman" w:hAnsi="Times New Roman"/>
          <w:szCs w:val="28"/>
        </w:rPr>
      </w:pPr>
    </w:p>
    <w:p w14:paraId="36B3C732">
      <w:pPr>
        <w:pStyle w:val="19"/>
        <w:ind w:firstLine="210"/>
        <w:rPr>
          <w:rFonts w:ascii="Times New Roman" w:hAnsi="Times New Roman"/>
          <w:szCs w:val="28"/>
        </w:rPr>
      </w:pPr>
    </w:p>
    <w:p w14:paraId="29ED9871">
      <w:pPr>
        <w:pStyle w:val="20"/>
        <w:tabs>
          <w:tab w:val="left" w:pos="1078"/>
          <w:tab w:val="left" w:pos="1176"/>
          <w:tab w:val="left" w:pos="1638"/>
          <w:tab w:val="left" w:pos="3920"/>
          <w:tab w:val="left" w:pos="5670"/>
        </w:tabs>
        <w:ind w:left="0" w:leftChars="0" w:firstLine="0" w:firstLineChars="0"/>
        <w:rPr>
          <w:rFonts w:eastAsia="宋体"/>
        </w:rPr>
      </w:pPr>
    </w:p>
    <w:p w14:paraId="1AFDE146">
      <w:pPr>
        <w:pStyle w:val="33"/>
      </w:pPr>
    </w:p>
    <w:p w14:paraId="18B7F314">
      <w:pPr>
        <w:spacing w:line="440" w:lineRule="exact"/>
        <w:jc w:val="center"/>
        <w:rPr>
          <w:rFonts w:ascii="Times New Roman" w:hAnsi="Times New Roman" w:eastAsia="黑体" w:cs="Times New Roman"/>
          <w:sz w:val="28"/>
          <w:szCs w:val="28"/>
        </w:rPr>
      </w:pPr>
    </w:p>
    <w:p w14:paraId="63F50607">
      <w:pPr>
        <w:spacing w:line="440" w:lineRule="exact"/>
        <w:jc w:val="center"/>
        <w:rPr>
          <w:rFonts w:ascii="Times New Roman" w:hAnsi="Times New Roman" w:eastAsia="黑体" w:cs="Times New Roman"/>
          <w:sz w:val="28"/>
          <w:szCs w:val="28"/>
        </w:rPr>
      </w:pPr>
    </w:p>
    <w:p w14:paraId="49F52A7C">
      <w:pPr>
        <w:spacing w:line="440" w:lineRule="exact"/>
        <w:jc w:val="center"/>
        <w:rPr>
          <w:rFonts w:ascii="Times New Roman" w:hAnsi="Times New Roman" w:eastAsia="黑体" w:cs="Times New Roman"/>
          <w:sz w:val="28"/>
          <w:szCs w:val="28"/>
        </w:rPr>
      </w:pPr>
    </w:p>
    <w:p w14:paraId="5D6BBF1F">
      <w:pPr>
        <w:spacing w:line="440" w:lineRule="exact"/>
        <w:jc w:val="center"/>
        <w:rPr>
          <w:rFonts w:ascii="Times New Roman" w:hAnsi="Times New Roman" w:eastAsia="黑体" w:cs="Times New Roman"/>
          <w:sz w:val="28"/>
          <w:szCs w:val="28"/>
        </w:rPr>
      </w:pPr>
    </w:p>
    <w:p w14:paraId="098FED92">
      <w:pPr>
        <w:spacing w:line="440" w:lineRule="exact"/>
        <w:jc w:val="center"/>
        <w:rPr>
          <w:rFonts w:ascii="Times New Roman" w:hAnsi="Times New Roman" w:eastAsia="黑体" w:cs="Times New Roman"/>
          <w:sz w:val="28"/>
          <w:szCs w:val="28"/>
        </w:rPr>
      </w:pPr>
    </w:p>
    <w:p w14:paraId="71999D54">
      <w:pPr>
        <w:spacing w:line="440" w:lineRule="exact"/>
        <w:jc w:val="center"/>
        <w:rPr>
          <w:rFonts w:ascii="Times New Roman" w:hAnsi="Times New Roman" w:eastAsia="黑体" w:cs="Times New Roman"/>
          <w:sz w:val="28"/>
          <w:szCs w:val="28"/>
        </w:rPr>
      </w:pPr>
    </w:p>
    <w:p w14:paraId="2D358E90">
      <w:pPr>
        <w:spacing w:line="440" w:lineRule="exact"/>
        <w:jc w:val="center"/>
        <w:rPr>
          <w:rFonts w:ascii="Times New Roman" w:hAnsi="Times New Roman" w:eastAsia="黑体" w:cs="Times New Roman"/>
          <w:sz w:val="28"/>
          <w:szCs w:val="28"/>
        </w:rPr>
      </w:pPr>
    </w:p>
    <w:p w14:paraId="7AAAE547">
      <w:pPr>
        <w:spacing w:line="440" w:lineRule="exact"/>
        <w:jc w:val="center"/>
        <w:rPr>
          <w:rFonts w:ascii="Times New Roman" w:hAnsi="Times New Roman" w:eastAsia="黑体" w:cs="Times New Roman"/>
          <w:sz w:val="28"/>
          <w:szCs w:val="28"/>
        </w:rPr>
      </w:pPr>
    </w:p>
    <w:p w14:paraId="092AD320">
      <w:pPr>
        <w:spacing w:line="440" w:lineRule="exact"/>
        <w:jc w:val="center"/>
        <w:rPr>
          <w:rFonts w:ascii="Times New Roman" w:hAnsi="Times New Roman" w:eastAsia="黑体" w:cs="Times New Roman"/>
          <w:sz w:val="28"/>
          <w:szCs w:val="28"/>
        </w:rPr>
      </w:pPr>
    </w:p>
    <w:p w14:paraId="4AF22FB1">
      <w:pPr>
        <w:spacing w:line="440" w:lineRule="exact"/>
        <w:jc w:val="center"/>
        <w:rPr>
          <w:rFonts w:ascii="Times New Roman" w:hAnsi="Times New Roman" w:eastAsia="黑体" w:cs="Times New Roman"/>
          <w:sz w:val="28"/>
          <w:szCs w:val="28"/>
        </w:rPr>
      </w:pPr>
    </w:p>
    <w:p w14:paraId="481C7490">
      <w:pPr>
        <w:spacing w:line="440" w:lineRule="exact"/>
        <w:jc w:val="center"/>
        <w:rPr>
          <w:rFonts w:ascii="Times New Roman" w:hAnsi="Times New Roman" w:eastAsia="黑体" w:cs="Times New Roman"/>
          <w:sz w:val="28"/>
          <w:szCs w:val="28"/>
        </w:rPr>
      </w:pPr>
    </w:p>
    <w:p w14:paraId="06B09B4C">
      <w:pPr>
        <w:pStyle w:val="20"/>
        <w:ind w:firstLine="560"/>
        <w:rPr>
          <w:rFonts w:ascii="Times New Roman" w:hAnsi="Times New Roman" w:eastAsia="黑体" w:cs="Times New Roman"/>
          <w:sz w:val="28"/>
          <w:szCs w:val="28"/>
        </w:rPr>
      </w:pPr>
    </w:p>
    <w:p w14:paraId="40426410">
      <w:pPr>
        <w:rPr>
          <w:rFonts w:ascii="Times New Roman" w:hAnsi="Times New Roman" w:eastAsia="黑体" w:cs="Times New Roman"/>
          <w:sz w:val="28"/>
          <w:szCs w:val="28"/>
        </w:rPr>
      </w:pPr>
    </w:p>
    <w:p w14:paraId="250B23B6">
      <w:pPr>
        <w:pStyle w:val="19"/>
        <w:rPr>
          <w:rFonts w:hint="eastAsia"/>
          <w:color w:val="auto"/>
          <w:highlight w:val="none"/>
          <w:lang w:val="en-US" w:eastAsia="zh-CN"/>
        </w:rPr>
      </w:pPr>
    </w:p>
    <w:sectPr>
      <w:headerReference r:id="rId12" w:type="default"/>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2"/>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2"/>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F7F74">
                          <w:pPr>
                            <w:pStyle w:val="12"/>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DF7F74">
                    <w:pPr>
                      <w:pStyle w:val="12"/>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CCB06B">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CFEC9">
    <w:pPr>
      <w:pStyle w:val="12"/>
      <w:rPr>
        <w:rFonts w:hint="default"/>
        <w:sz w:val="18"/>
        <w:szCs w:val="18"/>
      </w:rPr>
    </w:pPr>
    <w:r>
      <w:rPr>
        <w:rFonts w:hint="default"/>
        <w:sz w:val="18"/>
        <w:szCs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596DC35">
                          <w:pPr>
                            <w:pStyle w:val="12"/>
                            <w:rPr>
                              <w:rFonts w:hint="default"/>
                              <w:sz w:val="18"/>
                              <w:szCs w:val="18"/>
                            </w:rPr>
                          </w:pPr>
                          <w:r>
                            <w:rPr>
                              <w:rFonts w:hint="default"/>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A8y8Gt5gEAAMgD&#10;AAAOAAAAAAAAAAEAIAAAAB8BAABkcnMvZTJvRG9jLnhtbFBLBQYAAAAABgAGAFkBAAB3BQAAAAA=&#10;">
              <v:fill on="f" focussize="0,0"/>
              <v:stroke on="f" weight="0.5pt"/>
              <v:imagedata o:title=""/>
              <o:lock v:ext="edit" aspectratio="f"/>
              <v:textbox inset="0mm,0mm,0mm,0mm" style="mso-fit-shape-to-text:t;">
                <w:txbxContent>
                  <w:p w14:paraId="6596DC35">
                    <w:pPr>
                      <w:pStyle w:val="12"/>
                      <w:rPr>
                        <w:rFonts w:hint="default"/>
                        <w:sz w:val="18"/>
                        <w:szCs w:val="18"/>
                      </w:rPr>
                    </w:pPr>
                    <w:r>
                      <w:rPr>
                        <w:rFonts w:hint="default"/>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2"/>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13"/>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13"/>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3"/>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2">
    <w:nsid w:val="4D0384C7"/>
    <w:multiLevelType w:val="singleLevel"/>
    <w:tmpl w:val="4D0384C7"/>
    <w:lvl w:ilvl="0" w:tentative="0">
      <w:start w:val="1"/>
      <w:numFmt w:val="chineseCounting"/>
      <w:suff w:val="space"/>
      <w:lvlText w:val="%1、"/>
      <w:lvlJc w:val="left"/>
      <w:rPr>
        <w:rFonts w:hint="eastAsia"/>
      </w:rPr>
    </w:lvl>
  </w:abstractNum>
  <w:abstractNum w:abstractNumId="3">
    <w:nsid w:val="792DD599"/>
    <w:multiLevelType w:val="singleLevel"/>
    <w:tmpl w:val="792DD599"/>
    <w:lvl w:ilvl="0" w:tentative="0">
      <w:start w:val="2"/>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75481"/>
    <w:rsid w:val="00691F7C"/>
    <w:rsid w:val="00724BD4"/>
    <w:rsid w:val="007678F7"/>
    <w:rsid w:val="007C6E94"/>
    <w:rsid w:val="00950240"/>
    <w:rsid w:val="00A15DCF"/>
    <w:rsid w:val="00D704DB"/>
    <w:rsid w:val="00E30FAC"/>
    <w:rsid w:val="00E8570D"/>
    <w:rsid w:val="010A3C11"/>
    <w:rsid w:val="010E69FF"/>
    <w:rsid w:val="017D7CB0"/>
    <w:rsid w:val="0211370D"/>
    <w:rsid w:val="022655F4"/>
    <w:rsid w:val="023E3C6A"/>
    <w:rsid w:val="02683D0D"/>
    <w:rsid w:val="0286092F"/>
    <w:rsid w:val="028D5673"/>
    <w:rsid w:val="02932C1B"/>
    <w:rsid w:val="02B159B4"/>
    <w:rsid w:val="02C26D91"/>
    <w:rsid w:val="02D346A3"/>
    <w:rsid w:val="02DF3606"/>
    <w:rsid w:val="02F05C02"/>
    <w:rsid w:val="036118B1"/>
    <w:rsid w:val="0371289F"/>
    <w:rsid w:val="038863C7"/>
    <w:rsid w:val="03A9557F"/>
    <w:rsid w:val="03B86BA8"/>
    <w:rsid w:val="03F914B2"/>
    <w:rsid w:val="04230E30"/>
    <w:rsid w:val="042516B9"/>
    <w:rsid w:val="042F2C67"/>
    <w:rsid w:val="045E338A"/>
    <w:rsid w:val="047010F6"/>
    <w:rsid w:val="04701D1E"/>
    <w:rsid w:val="04E034BC"/>
    <w:rsid w:val="05085F79"/>
    <w:rsid w:val="0535195E"/>
    <w:rsid w:val="054416D2"/>
    <w:rsid w:val="05AF29EE"/>
    <w:rsid w:val="05D2339D"/>
    <w:rsid w:val="05F62696"/>
    <w:rsid w:val="05F94BA8"/>
    <w:rsid w:val="060774EA"/>
    <w:rsid w:val="06341F34"/>
    <w:rsid w:val="06663933"/>
    <w:rsid w:val="068727A0"/>
    <w:rsid w:val="07063EDC"/>
    <w:rsid w:val="07110C5A"/>
    <w:rsid w:val="071432F2"/>
    <w:rsid w:val="073835B2"/>
    <w:rsid w:val="076958CF"/>
    <w:rsid w:val="07892AE0"/>
    <w:rsid w:val="07A31864"/>
    <w:rsid w:val="07AF3996"/>
    <w:rsid w:val="07C951F6"/>
    <w:rsid w:val="080B2B96"/>
    <w:rsid w:val="081D6FC0"/>
    <w:rsid w:val="08412974"/>
    <w:rsid w:val="0881185D"/>
    <w:rsid w:val="08907C6B"/>
    <w:rsid w:val="08BF7E5A"/>
    <w:rsid w:val="08E91129"/>
    <w:rsid w:val="09047D11"/>
    <w:rsid w:val="09187C60"/>
    <w:rsid w:val="091A677A"/>
    <w:rsid w:val="09210464"/>
    <w:rsid w:val="095E1B17"/>
    <w:rsid w:val="096867B1"/>
    <w:rsid w:val="09B13FF7"/>
    <w:rsid w:val="0A2E7496"/>
    <w:rsid w:val="0A466107"/>
    <w:rsid w:val="0A4C7BC2"/>
    <w:rsid w:val="0A64315D"/>
    <w:rsid w:val="0A941F2B"/>
    <w:rsid w:val="0AAD73BC"/>
    <w:rsid w:val="0AB84C95"/>
    <w:rsid w:val="0AE51E6F"/>
    <w:rsid w:val="0AED0915"/>
    <w:rsid w:val="0AF3003D"/>
    <w:rsid w:val="0B286939"/>
    <w:rsid w:val="0B2E4625"/>
    <w:rsid w:val="0B416FFB"/>
    <w:rsid w:val="0BA10DDD"/>
    <w:rsid w:val="0BB2614A"/>
    <w:rsid w:val="0BC86369"/>
    <w:rsid w:val="0BCC3D77"/>
    <w:rsid w:val="0BDD422F"/>
    <w:rsid w:val="0C024903"/>
    <w:rsid w:val="0C0B7829"/>
    <w:rsid w:val="0C126BE9"/>
    <w:rsid w:val="0C252478"/>
    <w:rsid w:val="0C425774"/>
    <w:rsid w:val="0C433DD8"/>
    <w:rsid w:val="0C5C5FF7"/>
    <w:rsid w:val="0CA667B4"/>
    <w:rsid w:val="0CB62B1E"/>
    <w:rsid w:val="0D604989"/>
    <w:rsid w:val="0D676CED"/>
    <w:rsid w:val="0D9F625A"/>
    <w:rsid w:val="0DBD0BDC"/>
    <w:rsid w:val="0DC42165"/>
    <w:rsid w:val="0DE02F17"/>
    <w:rsid w:val="0E436CA2"/>
    <w:rsid w:val="0E541DD8"/>
    <w:rsid w:val="0EA07AC2"/>
    <w:rsid w:val="0EB73ADA"/>
    <w:rsid w:val="0EBA46A3"/>
    <w:rsid w:val="0EBB2DAD"/>
    <w:rsid w:val="0ED411DA"/>
    <w:rsid w:val="0EF05DCE"/>
    <w:rsid w:val="0F4E7639"/>
    <w:rsid w:val="0F531ACB"/>
    <w:rsid w:val="0F6F4854"/>
    <w:rsid w:val="0F9D4A1B"/>
    <w:rsid w:val="0F9F0794"/>
    <w:rsid w:val="0FB568C1"/>
    <w:rsid w:val="0FBE1FCA"/>
    <w:rsid w:val="0FD41FBD"/>
    <w:rsid w:val="0FD4370B"/>
    <w:rsid w:val="101A751A"/>
    <w:rsid w:val="103E486A"/>
    <w:rsid w:val="106D5B52"/>
    <w:rsid w:val="1090350E"/>
    <w:rsid w:val="10944070"/>
    <w:rsid w:val="10A6372F"/>
    <w:rsid w:val="10A97373"/>
    <w:rsid w:val="10DA535D"/>
    <w:rsid w:val="10F863AD"/>
    <w:rsid w:val="110D2AFF"/>
    <w:rsid w:val="112131E2"/>
    <w:rsid w:val="11681ED6"/>
    <w:rsid w:val="11755C50"/>
    <w:rsid w:val="11822EC6"/>
    <w:rsid w:val="119C482A"/>
    <w:rsid w:val="11C6025A"/>
    <w:rsid w:val="11DF30C9"/>
    <w:rsid w:val="11F528ED"/>
    <w:rsid w:val="11FD4CD5"/>
    <w:rsid w:val="129325F3"/>
    <w:rsid w:val="12983425"/>
    <w:rsid w:val="12BD1492"/>
    <w:rsid w:val="12FA3B2F"/>
    <w:rsid w:val="13431F92"/>
    <w:rsid w:val="13955E86"/>
    <w:rsid w:val="13C13BEB"/>
    <w:rsid w:val="13D604FC"/>
    <w:rsid w:val="13E11194"/>
    <w:rsid w:val="13EC1865"/>
    <w:rsid w:val="144A391D"/>
    <w:rsid w:val="145D3899"/>
    <w:rsid w:val="14B7657F"/>
    <w:rsid w:val="14CE63E8"/>
    <w:rsid w:val="150E5893"/>
    <w:rsid w:val="15133F2C"/>
    <w:rsid w:val="152A0AFF"/>
    <w:rsid w:val="15AF385B"/>
    <w:rsid w:val="15C3657D"/>
    <w:rsid w:val="15ED748E"/>
    <w:rsid w:val="16201F02"/>
    <w:rsid w:val="163D1F3A"/>
    <w:rsid w:val="16414AC9"/>
    <w:rsid w:val="167C0AF5"/>
    <w:rsid w:val="167C76AF"/>
    <w:rsid w:val="16A14FAE"/>
    <w:rsid w:val="16FF3D15"/>
    <w:rsid w:val="17024379"/>
    <w:rsid w:val="17263548"/>
    <w:rsid w:val="17755202"/>
    <w:rsid w:val="1776370C"/>
    <w:rsid w:val="17BD116A"/>
    <w:rsid w:val="17CF3BE0"/>
    <w:rsid w:val="18602985"/>
    <w:rsid w:val="186C7681"/>
    <w:rsid w:val="18786026"/>
    <w:rsid w:val="188C4113"/>
    <w:rsid w:val="189E5E26"/>
    <w:rsid w:val="18D04606"/>
    <w:rsid w:val="18D70F9E"/>
    <w:rsid w:val="18FA5B52"/>
    <w:rsid w:val="19053D5D"/>
    <w:rsid w:val="190D676E"/>
    <w:rsid w:val="191A46EE"/>
    <w:rsid w:val="193D5CAC"/>
    <w:rsid w:val="19484788"/>
    <w:rsid w:val="19600F94"/>
    <w:rsid w:val="19647370"/>
    <w:rsid w:val="19C83B53"/>
    <w:rsid w:val="19DE1C05"/>
    <w:rsid w:val="19DE50E4"/>
    <w:rsid w:val="19EB0A7A"/>
    <w:rsid w:val="1A185E2C"/>
    <w:rsid w:val="1A3C6E09"/>
    <w:rsid w:val="1A657CD8"/>
    <w:rsid w:val="1A741F99"/>
    <w:rsid w:val="1AA97D25"/>
    <w:rsid w:val="1AAC1FB7"/>
    <w:rsid w:val="1B027E29"/>
    <w:rsid w:val="1B1F49AA"/>
    <w:rsid w:val="1B416BA3"/>
    <w:rsid w:val="1B87260E"/>
    <w:rsid w:val="1B9916E8"/>
    <w:rsid w:val="1BC11F37"/>
    <w:rsid w:val="1BF956CF"/>
    <w:rsid w:val="1BFD0D5D"/>
    <w:rsid w:val="1C0C5403"/>
    <w:rsid w:val="1C511068"/>
    <w:rsid w:val="1C7D1E5D"/>
    <w:rsid w:val="1C9D0478"/>
    <w:rsid w:val="1C9D605B"/>
    <w:rsid w:val="1CB03FE0"/>
    <w:rsid w:val="1CB304A3"/>
    <w:rsid w:val="1CD07137"/>
    <w:rsid w:val="1CE76D4F"/>
    <w:rsid w:val="1CF12CD2"/>
    <w:rsid w:val="1D3320C5"/>
    <w:rsid w:val="1D3772E3"/>
    <w:rsid w:val="1D3F5364"/>
    <w:rsid w:val="1D9C6C71"/>
    <w:rsid w:val="1DBF4066"/>
    <w:rsid w:val="1DC0096E"/>
    <w:rsid w:val="1DD02C25"/>
    <w:rsid w:val="1DFB32CC"/>
    <w:rsid w:val="1E0314DD"/>
    <w:rsid w:val="1E085F02"/>
    <w:rsid w:val="1E304C77"/>
    <w:rsid w:val="1E764DB5"/>
    <w:rsid w:val="1E7E7378"/>
    <w:rsid w:val="1EEE0DF0"/>
    <w:rsid w:val="1F0529C7"/>
    <w:rsid w:val="1F091FF2"/>
    <w:rsid w:val="1F172B9E"/>
    <w:rsid w:val="1F6B68E4"/>
    <w:rsid w:val="1F8615BF"/>
    <w:rsid w:val="1F93095F"/>
    <w:rsid w:val="1FB449F5"/>
    <w:rsid w:val="1FC01B05"/>
    <w:rsid w:val="1FE64151"/>
    <w:rsid w:val="1FEA7927"/>
    <w:rsid w:val="20220D88"/>
    <w:rsid w:val="202D724A"/>
    <w:rsid w:val="20432E03"/>
    <w:rsid w:val="20703AC9"/>
    <w:rsid w:val="20CE5700"/>
    <w:rsid w:val="20CE712B"/>
    <w:rsid w:val="20E701EC"/>
    <w:rsid w:val="21366A7E"/>
    <w:rsid w:val="213F3140"/>
    <w:rsid w:val="216C51F8"/>
    <w:rsid w:val="21705735"/>
    <w:rsid w:val="21EC1864"/>
    <w:rsid w:val="2211172D"/>
    <w:rsid w:val="222608A0"/>
    <w:rsid w:val="222F5C4D"/>
    <w:rsid w:val="22456F98"/>
    <w:rsid w:val="22694276"/>
    <w:rsid w:val="22853AE2"/>
    <w:rsid w:val="22870E4F"/>
    <w:rsid w:val="22886585"/>
    <w:rsid w:val="22A243CB"/>
    <w:rsid w:val="233E4325"/>
    <w:rsid w:val="23610B8C"/>
    <w:rsid w:val="23767E36"/>
    <w:rsid w:val="23E812A0"/>
    <w:rsid w:val="241155A9"/>
    <w:rsid w:val="241D716E"/>
    <w:rsid w:val="244412FB"/>
    <w:rsid w:val="2472524B"/>
    <w:rsid w:val="24AD2EBF"/>
    <w:rsid w:val="24BB5C18"/>
    <w:rsid w:val="24D46CDA"/>
    <w:rsid w:val="253902A6"/>
    <w:rsid w:val="253F05F7"/>
    <w:rsid w:val="254A0D4A"/>
    <w:rsid w:val="254B358D"/>
    <w:rsid w:val="25517C49"/>
    <w:rsid w:val="256E6DFD"/>
    <w:rsid w:val="25891872"/>
    <w:rsid w:val="25B60EA7"/>
    <w:rsid w:val="25B678EC"/>
    <w:rsid w:val="25B736EC"/>
    <w:rsid w:val="25CC7C14"/>
    <w:rsid w:val="25F767DC"/>
    <w:rsid w:val="2613091A"/>
    <w:rsid w:val="264D0AF2"/>
    <w:rsid w:val="265909F3"/>
    <w:rsid w:val="26732F90"/>
    <w:rsid w:val="26B33519"/>
    <w:rsid w:val="26BB5A5B"/>
    <w:rsid w:val="26E0066E"/>
    <w:rsid w:val="26E81DCB"/>
    <w:rsid w:val="26FE3B9A"/>
    <w:rsid w:val="273571C2"/>
    <w:rsid w:val="275A75F4"/>
    <w:rsid w:val="275E50DA"/>
    <w:rsid w:val="27621A0B"/>
    <w:rsid w:val="279E7B84"/>
    <w:rsid w:val="27B103DE"/>
    <w:rsid w:val="27DC4161"/>
    <w:rsid w:val="28302479"/>
    <w:rsid w:val="285445B2"/>
    <w:rsid w:val="28D24D9C"/>
    <w:rsid w:val="28F25980"/>
    <w:rsid w:val="28FE7045"/>
    <w:rsid w:val="2941798C"/>
    <w:rsid w:val="294C5129"/>
    <w:rsid w:val="295C70D0"/>
    <w:rsid w:val="295E4EA3"/>
    <w:rsid w:val="296F6FD1"/>
    <w:rsid w:val="29C70BBB"/>
    <w:rsid w:val="29CD4E78"/>
    <w:rsid w:val="29E4351B"/>
    <w:rsid w:val="2A305480"/>
    <w:rsid w:val="2A4E6005"/>
    <w:rsid w:val="2A8F70B0"/>
    <w:rsid w:val="2A9C3DF6"/>
    <w:rsid w:val="2AE43776"/>
    <w:rsid w:val="2B06015E"/>
    <w:rsid w:val="2B1D5459"/>
    <w:rsid w:val="2B276CB6"/>
    <w:rsid w:val="2B4F4ECF"/>
    <w:rsid w:val="2B6F284F"/>
    <w:rsid w:val="2BA74026"/>
    <w:rsid w:val="2C2263B3"/>
    <w:rsid w:val="2C9C2F72"/>
    <w:rsid w:val="2CC15D7F"/>
    <w:rsid w:val="2CE83322"/>
    <w:rsid w:val="2D0D2D89"/>
    <w:rsid w:val="2D141CF6"/>
    <w:rsid w:val="2D502872"/>
    <w:rsid w:val="2D764930"/>
    <w:rsid w:val="2D984126"/>
    <w:rsid w:val="2DB31BE6"/>
    <w:rsid w:val="2DBE22D5"/>
    <w:rsid w:val="2E0A4375"/>
    <w:rsid w:val="2E0C3040"/>
    <w:rsid w:val="2E0D52BF"/>
    <w:rsid w:val="2E35623B"/>
    <w:rsid w:val="2E4E3659"/>
    <w:rsid w:val="2E6740D2"/>
    <w:rsid w:val="2EC138D2"/>
    <w:rsid w:val="2ED8288A"/>
    <w:rsid w:val="2EE205A6"/>
    <w:rsid w:val="2EEB317F"/>
    <w:rsid w:val="2F18216E"/>
    <w:rsid w:val="2F1E127D"/>
    <w:rsid w:val="2F2969EB"/>
    <w:rsid w:val="2F401502"/>
    <w:rsid w:val="2F462582"/>
    <w:rsid w:val="2F5673B3"/>
    <w:rsid w:val="2F597F13"/>
    <w:rsid w:val="2F714B04"/>
    <w:rsid w:val="2F920A3A"/>
    <w:rsid w:val="2FA15BFA"/>
    <w:rsid w:val="2FEC0064"/>
    <w:rsid w:val="2FED3439"/>
    <w:rsid w:val="2FFB71AB"/>
    <w:rsid w:val="300246FB"/>
    <w:rsid w:val="30064FDA"/>
    <w:rsid w:val="303773D1"/>
    <w:rsid w:val="30793AE8"/>
    <w:rsid w:val="30B55C11"/>
    <w:rsid w:val="31165933"/>
    <w:rsid w:val="316E7428"/>
    <w:rsid w:val="319B3695"/>
    <w:rsid w:val="31BF0E0A"/>
    <w:rsid w:val="31D976DD"/>
    <w:rsid w:val="32164205"/>
    <w:rsid w:val="32332253"/>
    <w:rsid w:val="324271A8"/>
    <w:rsid w:val="32456B21"/>
    <w:rsid w:val="329D4BAF"/>
    <w:rsid w:val="32D10F12"/>
    <w:rsid w:val="331D35FA"/>
    <w:rsid w:val="333B777A"/>
    <w:rsid w:val="333F226C"/>
    <w:rsid w:val="339A2E9C"/>
    <w:rsid w:val="33A51F6D"/>
    <w:rsid w:val="33C26030"/>
    <w:rsid w:val="33C547A5"/>
    <w:rsid w:val="34526CBA"/>
    <w:rsid w:val="345A580A"/>
    <w:rsid w:val="34B22DB1"/>
    <w:rsid w:val="34EA61B8"/>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C144C3"/>
    <w:rsid w:val="372633C5"/>
    <w:rsid w:val="377C4EB7"/>
    <w:rsid w:val="385F275A"/>
    <w:rsid w:val="3885411B"/>
    <w:rsid w:val="388C7CC2"/>
    <w:rsid w:val="38B92676"/>
    <w:rsid w:val="38C23C8C"/>
    <w:rsid w:val="38DC28FD"/>
    <w:rsid w:val="390A63CE"/>
    <w:rsid w:val="394D1ECD"/>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377A5"/>
    <w:rsid w:val="3B361C73"/>
    <w:rsid w:val="3B414529"/>
    <w:rsid w:val="3B47240E"/>
    <w:rsid w:val="3B5A188F"/>
    <w:rsid w:val="3B7C2F21"/>
    <w:rsid w:val="3B895CD0"/>
    <w:rsid w:val="3B8A41D3"/>
    <w:rsid w:val="3BC00DC4"/>
    <w:rsid w:val="3C243C4B"/>
    <w:rsid w:val="3C4D6CFE"/>
    <w:rsid w:val="3C651D50"/>
    <w:rsid w:val="3C8666FD"/>
    <w:rsid w:val="3CA523B3"/>
    <w:rsid w:val="3CAF79B9"/>
    <w:rsid w:val="3CF7310E"/>
    <w:rsid w:val="3CFD709B"/>
    <w:rsid w:val="3D3103CE"/>
    <w:rsid w:val="3D4041F2"/>
    <w:rsid w:val="3D734E8A"/>
    <w:rsid w:val="3D805368"/>
    <w:rsid w:val="3D820C29"/>
    <w:rsid w:val="3DB57993"/>
    <w:rsid w:val="3DF132CA"/>
    <w:rsid w:val="3E103B9E"/>
    <w:rsid w:val="3E2829E9"/>
    <w:rsid w:val="3E5113D8"/>
    <w:rsid w:val="3E832EAB"/>
    <w:rsid w:val="3EBE76C5"/>
    <w:rsid w:val="3ECC22A5"/>
    <w:rsid w:val="3EDB2CE7"/>
    <w:rsid w:val="3F1E0E25"/>
    <w:rsid w:val="3F324E7C"/>
    <w:rsid w:val="3F3E1D92"/>
    <w:rsid w:val="3F3E3276"/>
    <w:rsid w:val="3F954690"/>
    <w:rsid w:val="3FA70E1B"/>
    <w:rsid w:val="3FB452E6"/>
    <w:rsid w:val="3FB5178A"/>
    <w:rsid w:val="3FF744E4"/>
    <w:rsid w:val="40077B0C"/>
    <w:rsid w:val="40290860"/>
    <w:rsid w:val="40297A82"/>
    <w:rsid w:val="403D54CD"/>
    <w:rsid w:val="406D41CF"/>
    <w:rsid w:val="407707ED"/>
    <w:rsid w:val="408028ED"/>
    <w:rsid w:val="40C7284E"/>
    <w:rsid w:val="40D95004"/>
    <w:rsid w:val="40F13E3D"/>
    <w:rsid w:val="40FB5C66"/>
    <w:rsid w:val="41212AAF"/>
    <w:rsid w:val="41597EF3"/>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A35E1F"/>
    <w:rsid w:val="42D068DB"/>
    <w:rsid w:val="42E414A5"/>
    <w:rsid w:val="42ED38B0"/>
    <w:rsid w:val="42FD3C94"/>
    <w:rsid w:val="430239C6"/>
    <w:rsid w:val="430C466C"/>
    <w:rsid w:val="435F025C"/>
    <w:rsid w:val="43676230"/>
    <w:rsid w:val="442716E3"/>
    <w:rsid w:val="442A3DC9"/>
    <w:rsid w:val="44316131"/>
    <w:rsid w:val="443A04B0"/>
    <w:rsid w:val="445B0426"/>
    <w:rsid w:val="44623B29"/>
    <w:rsid w:val="44AC6153"/>
    <w:rsid w:val="44CB7E92"/>
    <w:rsid w:val="44D37FBC"/>
    <w:rsid w:val="44D53D34"/>
    <w:rsid w:val="44D81267"/>
    <w:rsid w:val="44DD1721"/>
    <w:rsid w:val="45260A34"/>
    <w:rsid w:val="45303661"/>
    <w:rsid w:val="4551727C"/>
    <w:rsid w:val="45653B06"/>
    <w:rsid w:val="45675307"/>
    <w:rsid w:val="4574425A"/>
    <w:rsid w:val="458D6DA1"/>
    <w:rsid w:val="458F2670"/>
    <w:rsid w:val="45E82159"/>
    <w:rsid w:val="45ED0F61"/>
    <w:rsid w:val="45FB77CB"/>
    <w:rsid w:val="460C19D8"/>
    <w:rsid w:val="46767799"/>
    <w:rsid w:val="46B5206F"/>
    <w:rsid w:val="46CA0775"/>
    <w:rsid w:val="46D53D73"/>
    <w:rsid w:val="471825FE"/>
    <w:rsid w:val="4727514F"/>
    <w:rsid w:val="47451645"/>
    <w:rsid w:val="475036EC"/>
    <w:rsid w:val="476304E5"/>
    <w:rsid w:val="483D1893"/>
    <w:rsid w:val="48407E8B"/>
    <w:rsid w:val="48492B5E"/>
    <w:rsid w:val="486A70F8"/>
    <w:rsid w:val="48941C0A"/>
    <w:rsid w:val="48D016B1"/>
    <w:rsid w:val="48EB621C"/>
    <w:rsid w:val="48EF63BC"/>
    <w:rsid w:val="48F03833"/>
    <w:rsid w:val="49143FE3"/>
    <w:rsid w:val="493556E9"/>
    <w:rsid w:val="49410045"/>
    <w:rsid w:val="497B5EAF"/>
    <w:rsid w:val="49BB5BEF"/>
    <w:rsid w:val="49E550B8"/>
    <w:rsid w:val="4A304D72"/>
    <w:rsid w:val="4ABD50B2"/>
    <w:rsid w:val="4ADA08DD"/>
    <w:rsid w:val="4AEA2192"/>
    <w:rsid w:val="4AF53CDA"/>
    <w:rsid w:val="4B302190"/>
    <w:rsid w:val="4B4B4D50"/>
    <w:rsid w:val="4B920BD1"/>
    <w:rsid w:val="4BCD1E1A"/>
    <w:rsid w:val="4C0D05F0"/>
    <w:rsid w:val="4C336232"/>
    <w:rsid w:val="4C4D68A6"/>
    <w:rsid w:val="4C5440D8"/>
    <w:rsid w:val="4C5B1CC0"/>
    <w:rsid w:val="4C6063F0"/>
    <w:rsid w:val="4CDE25B8"/>
    <w:rsid w:val="4D031C9B"/>
    <w:rsid w:val="4D237C5B"/>
    <w:rsid w:val="4D567F0A"/>
    <w:rsid w:val="4D6E195B"/>
    <w:rsid w:val="4D882C83"/>
    <w:rsid w:val="4DB33731"/>
    <w:rsid w:val="4DB34E9F"/>
    <w:rsid w:val="4DBA7DD9"/>
    <w:rsid w:val="4DD45985"/>
    <w:rsid w:val="4DDE57A5"/>
    <w:rsid w:val="4DE4323A"/>
    <w:rsid w:val="4DED5CE9"/>
    <w:rsid w:val="4E015B9A"/>
    <w:rsid w:val="4E040F77"/>
    <w:rsid w:val="4E0D2791"/>
    <w:rsid w:val="4E2528C4"/>
    <w:rsid w:val="4E381FE7"/>
    <w:rsid w:val="4E7D3760"/>
    <w:rsid w:val="4EF15C0F"/>
    <w:rsid w:val="4F0478A8"/>
    <w:rsid w:val="4F0E4A13"/>
    <w:rsid w:val="4F245FE4"/>
    <w:rsid w:val="4F570614"/>
    <w:rsid w:val="4F7A3E56"/>
    <w:rsid w:val="4F7E3AF1"/>
    <w:rsid w:val="4FC81DBA"/>
    <w:rsid w:val="4FE062C8"/>
    <w:rsid w:val="4FF260E2"/>
    <w:rsid w:val="50083210"/>
    <w:rsid w:val="501047BA"/>
    <w:rsid w:val="50493828"/>
    <w:rsid w:val="5051384E"/>
    <w:rsid w:val="50792360"/>
    <w:rsid w:val="507C1E50"/>
    <w:rsid w:val="50932863"/>
    <w:rsid w:val="50A92418"/>
    <w:rsid w:val="50C64757"/>
    <w:rsid w:val="50E04186"/>
    <w:rsid w:val="511A7AB0"/>
    <w:rsid w:val="512E2388"/>
    <w:rsid w:val="51801680"/>
    <w:rsid w:val="51CF2578"/>
    <w:rsid w:val="51D44165"/>
    <w:rsid w:val="51D82289"/>
    <w:rsid w:val="51E101BC"/>
    <w:rsid w:val="522600D8"/>
    <w:rsid w:val="5230624E"/>
    <w:rsid w:val="524B7D2C"/>
    <w:rsid w:val="525E7F64"/>
    <w:rsid w:val="528B597C"/>
    <w:rsid w:val="52A031D1"/>
    <w:rsid w:val="52A92912"/>
    <w:rsid w:val="52B24B47"/>
    <w:rsid w:val="52B3031A"/>
    <w:rsid w:val="52BA1516"/>
    <w:rsid w:val="52D33D8B"/>
    <w:rsid w:val="52EF06B7"/>
    <w:rsid w:val="531039DD"/>
    <w:rsid w:val="53180D32"/>
    <w:rsid w:val="53807F59"/>
    <w:rsid w:val="53966D81"/>
    <w:rsid w:val="53C77F81"/>
    <w:rsid w:val="549A6B3D"/>
    <w:rsid w:val="549C03CB"/>
    <w:rsid w:val="54C469B0"/>
    <w:rsid w:val="54CC1E28"/>
    <w:rsid w:val="54E35FFA"/>
    <w:rsid w:val="54F71AA5"/>
    <w:rsid w:val="551254D1"/>
    <w:rsid w:val="55164621"/>
    <w:rsid w:val="55184EF2"/>
    <w:rsid w:val="557F5C64"/>
    <w:rsid w:val="55CE5FAF"/>
    <w:rsid w:val="55D65B5E"/>
    <w:rsid w:val="55E05721"/>
    <w:rsid w:val="55FF50B5"/>
    <w:rsid w:val="563E671E"/>
    <w:rsid w:val="5647080A"/>
    <w:rsid w:val="56691CA1"/>
    <w:rsid w:val="56695122"/>
    <w:rsid w:val="567C6706"/>
    <w:rsid w:val="568D4A8B"/>
    <w:rsid w:val="56AD68BF"/>
    <w:rsid w:val="56E322E1"/>
    <w:rsid w:val="56F72C39"/>
    <w:rsid w:val="57265724"/>
    <w:rsid w:val="5741059C"/>
    <w:rsid w:val="577A0B6A"/>
    <w:rsid w:val="57821C5F"/>
    <w:rsid w:val="5787376C"/>
    <w:rsid w:val="57A1017F"/>
    <w:rsid w:val="57EC71D5"/>
    <w:rsid w:val="581A249A"/>
    <w:rsid w:val="58340631"/>
    <w:rsid w:val="585F62DF"/>
    <w:rsid w:val="588621CE"/>
    <w:rsid w:val="588927B2"/>
    <w:rsid w:val="58A14202"/>
    <w:rsid w:val="58AC03AC"/>
    <w:rsid w:val="58B3037A"/>
    <w:rsid w:val="58E0166F"/>
    <w:rsid w:val="5906675A"/>
    <w:rsid w:val="593212FE"/>
    <w:rsid w:val="593432C8"/>
    <w:rsid w:val="596A327B"/>
    <w:rsid w:val="598F3C15"/>
    <w:rsid w:val="59A44AE5"/>
    <w:rsid w:val="59C43179"/>
    <w:rsid w:val="59E21F44"/>
    <w:rsid w:val="59EF7044"/>
    <w:rsid w:val="59FB5B93"/>
    <w:rsid w:val="5A1256BA"/>
    <w:rsid w:val="5A1B2694"/>
    <w:rsid w:val="5A736D06"/>
    <w:rsid w:val="5AB51CCA"/>
    <w:rsid w:val="5AB57322"/>
    <w:rsid w:val="5AB86B82"/>
    <w:rsid w:val="5ABC62B9"/>
    <w:rsid w:val="5ADF7263"/>
    <w:rsid w:val="5AED4C1B"/>
    <w:rsid w:val="5AF03E9E"/>
    <w:rsid w:val="5B2D4472"/>
    <w:rsid w:val="5BA52831"/>
    <w:rsid w:val="5BC0596D"/>
    <w:rsid w:val="5BE5635E"/>
    <w:rsid w:val="5BE74621"/>
    <w:rsid w:val="5BF1724E"/>
    <w:rsid w:val="5C03587B"/>
    <w:rsid w:val="5C082ED9"/>
    <w:rsid w:val="5C453255"/>
    <w:rsid w:val="5C4805D9"/>
    <w:rsid w:val="5C482D1B"/>
    <w:rsid w:val="5C7236C4"/>
    <w:rsid w:val="5C8C4DD7"/>
    <w:rsid w:val="5C8E7193"/>
    <w:rsid w:val="5CAD7A90"/>
    <w:rsid w:val="5CB82BDC"/>
    <w:rsid w:val="5CBA0A27"/>
    <w:rsid w:val="5CE24F97"/>
    <w:rsid w:val="5CEC3B27"/>
    <w:rsid w:val="5D047455"/>
    <w:rsid w:val="5D656145"/>
    <w:rsid w:val="5D804893"/>
    <w:rsid w:val="5DA53F1B"/>
    <w:rsid w:val="5DA54794"/>
    <w:rsid w:val="5DC63FF9"/>
    <w:rsid w:val="5F4571B2"/>
    <w:rsid w:val="5F4F2373"/>
    <w:rsid w:val="5F6A078D"/>
    <w:rsid w:val="5F9A7BFD"/>
    <w:rsid w:val="5FA23A48"/>
    <w:rsid w:val="5FB36CBE"/>
    <w:rsid w:val="5FC627A0"/>
    <w:rsid w:val="5FD076A0"/>
    <w:rsid w:val="5FED36FB"/>
    <w:rsid w:val="606F72DB"/>
    <w:rsid w:val="60BC5E8F"/>
    <w:rsid w:val="60C170FF"/>
    <w:rsid w:val="60CC0666"/>
    <w:rsid w:val="610E27AB"/>
    <w:rsid w:val="611511C3"/>
    <w:rsid w:val="61393910"/>
    <w:rsid w:val="61710A64"/>
    <w:rsid w:val="61A82AA5"/>
    <w:rsid w:val="61D35B48"/>
    <w:rsid w:val="61D84352"/>
    <w:rsid w:val="61DA4AD9"/>
    <w:rsid w:val="61F335F4"/>
    <w:rsid w:val="623D3E1F"/>
    <w:rsid w:val="62626313"/>
    <w:rsid w:val="629D4803"/>
    <w:rsid w:val="62AE498D"/>
    <w:rsid w:val="62ED1A72"/>
    <w:rsid w:val="637F5A87"/>
    <w:rsid w:val="638048A2"/>
    <w:rsid w:val="638A2399"/>
    <w:rsid w:val="63D57455"/>
    <w:rsid w:val="63EF2CB1"/>
    <w:rsid w:val="63EF49BB"/>
    <w:rsid w:val="63F74842"/>
    <w:rsid w:val="63FF44D2"/>
    <w:rsid w:val="64077840"/>
    <w:rsid w:val="640F6E0B"/>
    <w:rsid w:val="641504F8"/>
    <w:rsid w:val="64601415"/>
    <w:rsid w:val="64774677"/>
    <w:rsid w:val="64AB0CD1"/>
    <w:rsid w:val="64C96613"/>
    <w:rsid w:val="64D84E1A"/>
    <w:rsid w:val="65312DB1"/>
    <w:rsid w:val="6558033E"/>
    <w:rsid w:val="65654809"/>
    <w:rsid w:val="656606E0"/>
    <w:rsid w:val="65675ED4"/>
    <w:rsid w:val="658C2053"/>
    <w:rsid w:val="65EB11B2"/>
    <w:rsid w:val="66576847"/>
    <w:rsid w:val="66672543"/>
    <w:rsid w:val="6683497C"/>
    <w:rsid w:val="66B21CD0"/>
    <w:rsid w:val="66E872A7"/>
    <w:rsid w:val="676E5CC7"/>
    <w:rsid w:val="67E14BAB"/>
    <w:rsid w:val="67EE0AE5"/>
    <w:rsid w:val="67F71E56"/>
    <w:rsid w:val="683A3D2B"/>
    <w:rsid w:val="684C44B3"/>
    <w:rsid w:val="68880F3A"/>
    <w:rsid w:val="690F1726"/>
    <w:rsid w:val="691922CA"/>
    <w:rsid w:val="6942765C"/>
    <w:rsid w:val="69D8608D"/>
    <w:rsid w:val="6A2D5CB0"/>
    <w:rsid w:val="6A4D2110"/>
    <w:rsid w:val="6A663992"/>
    <w:rsid w:val="6A7D0A56"/>
    <w:rsid w:val="6AB10CF8"/>
    <w:rsid w:val="6ABA6C3B"/>
    <w:rsid w:val="6AFA59F3"/>
    <w:rsid w:val="6B1C1E0E"/>
    <w:rsid w:val="6B4078AA"/>
    <w:rsid w:val="6B4663C9"/>
    <w:rsid w:val="6B7B7F55"/>
    <w:rsid w:val="6B981494"/>
    <w:rsid w:val="6BA57CEF"/>
    <w:rsid w:val="6BB90159"/>
    <w:rsid w:val="6BCC3834"/>
    <w:rsid w:val="6BD84130"/>
    <w:rsid w:val="6BF6440D"/>
    <w:rsid w:val="6C111246"/>
    <w:rsid w:val="6C124248"/>
    <w:rsid w:val="6C6B059F"/>
    <w:rsid w:val="6C8E6D3B"/>
    <w:rsid w:val="6C9555FE"/>
    <w:rsid w:val="6C97605D"/>
    <w:rsid w:val="6CA00B62"/>
    <w:rsid w:val="6CBD4F2A"/>
    <w:rsid w:val="6CFE27E3"/>
    <w:rsid w:val="6D274D94"/>
    <w:rsid w:val="6D8C026B"/>
    <w:rsid w:val="6D955447"/>
    <w:rsid w:val="6D9E0D2D"/>
    <w:rsid w:val="6D9E2EF6"/>
    <w:rsid w:val="6DAD3879"/>
    <w:rsid w:val="6DD01AB0"/>
    <w:rsid w:val="6DD857F0"/>
    <w:rsid w:val="6DE94229"/>
    <w:rsid w:val="6DEB139F"/>
    <w:rsid w:val="6DF350A8"/>
    <w:rsid w:val="6E4A3AA9"/>
    <w:rsid w:val="6E557B10"/>
    <w:rsid w:val="6E62222D"/>
    <w:rsid w:val="6E741A47"/>
    <w:rsid w:val="6E846891"/>
    <w:rsid w:val="6E8B3FD1"/>
    <w:rsid w:val="6E9D5013"/>
    <w:rsid w:val="6E9E14B7"/>
    <w:rsid w:val="6EB34837"/>
    <w:rsid w:val="6EC73382"/>
    <w:rsid w:val="6EDB181C"/>
    <w:rsid w:val="6EE2775F"/>
    <w:rsid w:val="6F0843FC"/>
    <w:rsid w:val="6F0C014F"/>
    <w:rsid w:val="6F0D11E7"/>
    <w:rsid w:val="6F1D644C"/>
    <w:rsid w:val="6F4D02A4"/>
    <w:rsid w:val="6F793947"/>
    <w:rsid w:val="6F854DBD"/>
    <w:rsid w:val="6FC83DE4"/>
    <w:rsid w:val="6FD9651F"/>
    <w:rsid w:val="6FDB7D0C"/>
    <w:rsid w:val="6FDC23B5"/>
    <w:rsid w:val="705D0EFE"/>
    <w:rsid w:val="7060279C"/>
    <w:rsid w:val="706B3710"/>
    <w:rsid w:val="706B4417"/>
    <w:rsid w:val="70784F6A"/>
    <w:rsid w:val="70AD066D"/>
    <w:rsid w:val="70B2470E"/>
    <w:rsid w:val="70B46822"/>
    <w:rsid w:val="70D77260"/>
    <w:rsid w:val="70E17439"/>
    <w:rsid w:val="710377E1"/>
    <w:rsid w:val="713117D3"/>
    <w:rsid w:val="713F23B2"/>
    <w:rsid w:val="715F2A54"/>
    <w:rsid w:val="716B764B"/>
    <w:rsid w:val="71817101"/>
    <w:rsid w:val="71943263"/>
    <w:rsid w:val="71A10531"/>
    <w:rsid w:val="71B80224"/>
    <w:rsid w:val="71CF7BDA"/>
    <w:rsid w:val="71DE09E8"/>
    <w:rsid w:val="7205184D"/>
    <w:rsid w:val="720B21A0"/>
    <w:rsid w:val="72231CD3"/>
    <w:rsid w:val="72414B2C"/>
    <w:rsid w:val="725956F5"/>
    <w:rsid w:val="72771820"/>
    <w:rsid w:val="72775B5D"/>
    <w:rsid w:val="72E163D5"/>
    <w:rsid w:val="73010267"/>
    <w:rsid w:val="730651BF"/>
    <w:rsid w:val="732C1100"/>
    <w:rsid w:val="73400A3E"/>
    <w:rsid w:val="734D2E7F"/>
    <w:rsid w:val="735D7E91"/>
    <w:rsid w:val="737A5923"/>
    <w:rsid w:val="7395275D"/>
    <w:rsid w:val="73CF6471"/>
    <w:rsid w:val="73F118A1"/>
    <w:rsid w:val="74956EB9"/>
    <w:rsid w:val="7496678D"/>
    <w:rsid w:val="749E5641"/>
    <w:rsid w:val="74EE7509"/>
    <w:rsid w:val="751540E3"/>
    <w:rsid w:val="757762DF"/>
    <w:rsid w:val="75D91027"/>
    <w:rsid w:val="76085468"/>
    <w:rsid w:val="76183CDA"/>
    <w:rsid w:val="764861AD"/>
    <w:rsid w:val="764C0E19"/>
    <w:rsid w:val="76570D9E"/>
    <w:rsid w:val="765A1D4D"/>
    <w:rsid w:val="766308F1"/>
    <w:rsid w:val="76B55A6D"/>
    <w:rsid w:val="772B58B2"/>
    <w:rsid w:val="772F009D"/>
    <w:rsid w:val="777E3905"/>
    <w:rsid w:val="777F6544"/>
    <w:rsid w:val="77813724"/>
    <w:rsid w:val="77822AD2"/>
    <w:rsid w:val="779A33A8"/>
    <w:rsid w:val="78263FA6"/>
    <w:rsid w:val="783E7867"/>
    <w:rsid w:val="7846297D"/>
    <w:rsid w:val="7859644F"/>
    <w:rsid w:val="78941235"/>
    <w:rsid w:val="78B13B95"/>
    <w:rsid w:val="78E40FA3"/>
    <w:rsid w:val="791E0B39"/>
    <w:rsid w:val="79487052"/>
    <w:rsid w:val="79586707"/>
    <w:rsid w:val="79941F77"/>
    <w:rsid w:val="79BE0C60"/>
    <w:rsid w:val="79C218C0"/>
    <w:rsid w:val="79E06FD9"/>
    <w:rsid w:val="79F006ED"/>
    <w:rsid w:val="79F53437"/>
    <w:rsid w:val="7A052A13"/>
    <w:rsid w:val="7A144B1A"/>
    <w:rsid w:val="7A2B3BCE"/>
    <w:rsid w:val="7A4D1FE3"/>
    <w:rsid w:val="7A7430CC"/>
    <w:rsid w:val="7A80169B"/>
    <w:rsid w:val="7AC3206E"/>
    <w:rsid w:val="7AC51215"/>
    <w:rsid w:val="7AE446F6"/>
    <w:rsid w:val="7AFF6ACD"/>
    <w:rsid w:val="7B0326A2"/>
    <w:rsid w:val="7B0F54EB"/>
    <w:rsid w:val="7B436E21"/>
    <w:rsid w:val="7B54666E"/>
    <w:rsid w:val="7B5B0429"/>
    <w:rsid w:val="7B615E02"/>
    <w:rsid w:val="7B6B795B"/>
    <w:rsid w:val="7BBC6B0F"/>
    <w:rsid w:val="7BF1357F"/>
    <w:rsid w:val="7C4A2065"/>
    <w:rsid w:val="7C796F1F"/>
    <w:rsid w:val="7C855349"/>
    <w:rsid w:val="7CAA6238"/>
    <w:rsid w:val="7CFE65CC"/>
    <w:rsid w:val="7D085F7C"/>
    <w:rsid w:val="7D404FB3"/>
    <w:rsid w:val="7D8C349D"/>
    <w:rsid w:val="7D8C697F"/>
    <w:rsid w:val="7D99109C"/>
    <w:rsid w:val="7DA02855"/>
    <w:rsid w:val="7DC73E5B"/>
    <w:rsid w:val="7DC73F51"/>
    <w:rsid w:val="7E0B1DFF"/>
    <w:rsid w:val="7E134C71"/>
    <w:rsid w:val="7E2352CD"/>
    <w:rsid w:val="7E2A3C98"/>
    <w:rsid w:val="7E5043EB"/>
    <w:rsid w:val="7E604231"/>
    <w:rsid w:val="7EB34E00"/>
    <w:rsid w:val="7EE23E9C"/>
    <w:rsid w:val="7EF2571C"/>
    <w:rsid w:val="7F107F87"/>
    <w:rsid w:val="7F210F90"/>
    <w:rsid w:val="7F3405C5"/>
    <w:rsid w:val="7F361298"/>
    <w:rsid w:val="7F837A13"/>
    <w:rsid w:val="7F9F2560"/>
    <w:rsid w:val="7FA24979"/>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annotation text"/>
    <w:basedOn w:val="1"/>
    <w:qFormat/>
    <w:uiPriority w:val="0"/>
    <w:pPr>
      <w:jc w:val="left"/>
    </w:pPr>
  </w:style>
  <w:style w:type="paragraph" w:styleId="8">
    <w:name w:val="Body Text"/>
    <w:basedOn w:val="1"/>
    <w:next w:val="1"/>
    <w:qFormat/>
    <w:uiPriority w:val="0"/>
    <w:pPr>
      <w:spacing w:after="120"/>
    </w:pPr>
  </w:style>
  <w:style w:type="paragraph" w:styleId="9">
    <w:name w:val="Body Text Indent"/>
    <w:basedOn w:val="1"/>
    <w:next w:val="10"/>
    <w:link w:val="39"/>
    <w:qFormat/>
    <w:uiPriority w:val="0"/>
    <w:pPr>
      <w:spacing w:after="120"/>
      <w:ind w:left="420" w:leftChars="200"/>
    </w:pPr>
  </w:style>
  <w:style w:type="paragraph" w:styleId="10">
    <w:name w:val="envelope return"/>
    <w:basedOn w:val="1"/>
    <w:unhideWhenUsed/>
    <w:qFormat/>
    <w:uiPriority w:val="99"/>
    <w:pPr>
      <w:snapToGrid w:val="0"/>
      <w:ind w:firstLine="200"/>
    </w:pPr>
    <w:rPr>
      <w:rFonts w:ascii="Arial" w:hAnsi="Arial" w:cs="Arial"/>
      <w:szCs w:val="20"/>
    </w:rPr>
  </w:style>
  <w:style w:type="paragraph" w:styleId="11">
    <w:name w:val="Plain Text"/>
    <w:basedOn w:val="1"/>
    <w:link w:val="40"/>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next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4">
    <w:name w:val="Quote"/>
    <w:basedOn w:val="1"/>
    <w:next w:val="1"/>
    <w:unhideWhenUsed/>
    <w:qFormat/>
    <w:uiPriority w:val="99"/>
    <w:pPr>
      <w:ind w:left="864" w:right="864"/>
      <w:jc w:val="center"/>
    </w:pPr>
    <w:rPr>
      <w:rFonts w:ascii="Times New Roman" w:hAnsi="Times New Roman"/>
      <w:i/>
      <w:iCs/>
      <w:color w:val="404040"/>
      <w:szCs w:val="21"/>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ind w:firstLine="420" w:firstLineChars="100"/>
    </w:pPr>
  </w:style>
  <w:style w:type="paragraph" w:styleId="20">
    <w:name w:val="Body Text First Indent 2"/>
    <w:basedOn w:val="9"/>
    <w:next w:val="1"/>
    <w:qFormat/>
    <w:uiPriority w:val="0"/>
    <w:pPr>
      <w:ind w:firstLine="420" w:firstLineChars="20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9"/>
    <w:qFormat/>
    <w:uiPriority w:val="0"/>
  </w:style>
  <w:style w:type="character" w:customStyle="1" w:styleId="40">
    <w:name w:val="纯文本 Char"/>
    <w:link w:val="11"/>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5030</Words>
  <Characters>5540</Characters>
  <Lines>1</Lines>
  <Paragraphs>1</Paragraphs>
  <TotalTime>1</TotalTime>
  <ScaleCrop>false</ScaleCrop>
  <LinksUpToDate>false</LinksUpToDate>
  <CharactersWithSpaces>5760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旺旺Z</cp:lastModifiedBy>
  <cp:lastPrinted>2025-02-20T10:47:00Z</cp:lastPrinted>
  <dcterms:modified xsi:type="dcterms:W3CDTF">2025-06-23T06:49:30Z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BADCB17BEA5D4A13AF4703907E766DCC_13</vt:lpwstr>
  </property>
  <property fmtid="{D5CDD505-2E9C-101B-9397-08002B2CF9AE}" pid="4" name="KSOTemplateDocerSaveRecord">
    <vt:lpwstr>eyJoZGlkIjoiN2YzNjBkOTgyNWQ1YTMxYzM3MzMwNWFiODNmOWIzYWMiLCJ1c2VySWQiOiI0MzAzNzQ5ODEifQ==</vt:lpwstr>
  </property>
</Properties>
</file>