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安徽省经工物资有限公司九牧洁具年度采购项目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10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131BEDA4">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_Toc27615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_Toc27615 \h </w:instrText>
          </w:r>
          <w:r>
            <w:fldChar w:fldCharType="separate"/>
          </w:r>
          <w:r>
            <w:t>3</w:t>
          </w:r>
          <w:r>
            <w:fldChar w:fldCharType="end"/>
          </w:r>
          <w:r>
            <w:rPr>
              <w:rFonts w:hint="eastAsia" w:ascii="宋体" w:hAnsi="宋体" w:eastAsia="宋体" w:cs="宋体"/>
              <w:color w:val="auto"/>
              <w:szCs w:val="24"/>
            </w:rPr>
            <w:fldChar w:fldCharType="end"/>
          </w:r>
        </w:p>
        <w:p w14:paraId="50D27FC7">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_Toc470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_Toc470 \h </w:instrText>
          </w:r>
          <w:r>
            <w:fldChar w:fldCharType="separate"/>
          </w:r>
          <w:r>
            <w:t>7</w:t>
          </w:r>
          <w:r>
            <w:fldChar w:fldCharType="end"/>
          </w:r>
          <w:r>
            <w:rPr>
              <w:rFonts w:hint="eastAsia" w:ascii="宋体" w:hAnsi="宋体" w:eastAsia="宋体" w:cs="宋体"/>
              <w:color w:val="auto"/>
              <w:szCs w:val="24"/>
            </w:rPr>
            <w:fldChar w:fldCharType="end"/>
          </w:r>
        </w:p>
        <w:p w14:paraId="5A7E6550">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_Toc4290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_Toc4290 \h </w:instrText>
          </w:r>
          <w:r>
            <w:fldChar w:fldCharType="separate"/>
          </w:r>
          <w:r>
            <w:t>17</w:t>
          </w:r>
          <w:r>
            <w:fldChar w:fldCharType="end"/>
          </w:r>
          <w:r>
            <w:rPr>
              <w:rFonts w:hint="eastAsia" w:ascii="宋体" w:hAnsi="宋体" w:eastAsia="宋体" w:cs="宋体"/>
              <w:color w:val="auto"/>
              <w:szCs w:val="24"/>
            </w:rPr>
            <w:fldChar w:fldCharType="end"/>
          </w:r>
        </w:p>
        <w:p w14:paraId="5A99E11C">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_Toc32118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_Toc32118 \h </w:instrText>
          </w:r>
          <w:r>
            <w:fldChar w:fldCharType="separate"/>
          </w:r>
          <w:r>
            <w:t>24</w:t>
          </w:r>
          <w:r>
            <w:fldChar w:fldCharType="end"/>
          </w:r>
          <w:r>
            <w:rPr>
              <w:rFonts w:hint="eastAsia" w:ascii="宋体" w:hAnsi="宋体" w:eastAsia="宋体" w:cs="宋体"/>
              <w:color w:val="auto"/>
              <w:szCs w:val="24"/>
            </w:rPr>
            <w:fldChar w:fldCharType="end"/>
          </w:r>
        </w:p>
        <w:p w14:paraId="0CD5BBC4">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_Toc1823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_Toc1823 \h </w:instrText>
          </w:r>
          <w:r>
            <w:fldChar w:fldCharType="separate"/>
          </w:r>
          <w:r>
            <w:t>51</w:t>
          </w:r>
          <w:r>
            <w:fldChar w:fldCharType="end"/>
          </w:r>
          <w:r>
            <w:rPr>
              <w:rFonts w:hint="eastAsia" w:ascii="宋体" w:hAnsi="宋体" w:eastAsia="宋体" w:cs="宋体"/>
              <w:color w:val="auto"/>
              <w:szCs w:val="24"/>
            </w:rPr>
            <w:fldChar w:fldCharType="end"/>
          </w:r>
        </w:p>
        <w:p w14:paraId="7D89F5F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_Toc26183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_Toc26183 \h </w:instrText>
          </w:r>
          <w:r>
            <w:fldChar w:fldCharType="separate"/>
          </w:r>
          <w:r>
            <w:t>52</w:t>
          </w:r>
          <w:r>
            <w:fldChar w:fldCharType="end"/>
          </w:r>
          <w:r>
            <w:rPr>
              <w:rFonts w:hint="eastAsia" w:ascii="宋体" w:hAnsi="宋体" w:eastAsia="宋体" w:cs="宋体"/>
              <w:color w:val="auto"/>
              <w:szCs w:val="24"/>
            </w:rPr>
            <w:fldChar w:fldCharType="end"/>
          </w:r>
        </w:p>
        <w:p w14:paraId="4430DAB4">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7615"/>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13871"/>
      <w:bookmarkStart w:id="2" w:name="_Toc4489_WPSOffice_Level2"/>
      <w:bookmarkStart w:id="3" w:name="_Toc525632585"/>
      <w:bookmarkStart w:id="4" w:name="_Toc24354_WPSOffice_Level2"/>
      <w:bookmarkStart w:id="5" w:name="_Toc10395_WPSOffice_Level2"/>
      <w:bookmarkStart w:id="6" w:name="_Toc6496_WPSOffice_Level2"/>
      <w:bookmarkStart w:id="7" w:name="_Toc12765"/>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安徽省经工物资有限公司九牧洁具年度采购项目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b/>
          <w:bCs/>
          <w:color w:val="auto"/>
          <w:sz w:val="21"/>
          <w:szCs w:val="21"/>
          <w:highlight w:val="none"/>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b/>
          <w:bCs/>
          <w:color w:val="auto"/>
          <w:sz w:val="21"/>
          <w:szCs w:val="21"/>
          <w:highlight w:val="none"/>
          <w:u w:val="single"/>
          <w:lang w:val="en-US" w:eastAsia="zh-CN"/>
        </w:rPr>
        <w:t>主要为</w:t>
      </w:r>
      <w:r>
        <w:rPr>
          <w:rFonts w:hint="eastAsia" w:ascii="Times New Roman" w:hAnsi="Times New Roman" w:eastAsia="宋体" w:cs="Times New Roman"/>
          <w:b/>
          <w:bCs/>
          <w:color w:val="auto"/>
          <w:sz w:val="21"/>
          <w:szCs w:val="21"/>
          <w:highlight w:val="none"/>
          <w:u w:val="single"/>
          <w:lang w:val="en-US" w:eastAsia="zh-CN"/>
        </w:rPr>
        <w:t>安徽省境内</w:t>
      </w:r>
      <w:r>
        <w:rPr>
          <w:rFonts w:hint="default" w:ascii="Times New Roman" w:hAnsi="Times New Roman" w:eastAsia="宋体" w:cs="Times New Roman"/>
          <w:b/>
          <w:bCs/>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none"/>
          <w:u w:val="single"/>
          <w:lang w:val="en-US" w:eastAsia="zh-CN"/>
        </w:rPr>
        <w:t>供应九牧洁具</w:t>
      </w:r>
      <w:r>
        <w:rPr>
          <w:rFonts w:hint="default" w:ascii="Times New Roman" w:hAnsi="Times New Roman" w:eastAsia="宋体" w:cs="Times New Roman"/>
          <w:b/>
          <w:bCs/>
          <w:color w:val="auto"/>
          <w:sz w:val="21"/>
          <w:szCs w:val="21"/>
          <w:highlight w:val="none"/>
          <w:u w:val="single"/>
          <w:lang w:val="en-US" w:eastAsia="zh-CN"/>
        </w:rPr>
        <w:t>。</w:t>
      </w:r>
      <w:r>
        <w:rPr>
          <w:rFonts w:hint="eastAsia" w:ascii="Times New Roman" w:hAnsi="Times New Roman" w:eastAsia="宋体" w:cs="Times New Roman"/>
          <w:b/>
          <w:bCs/>
          <w:color w:val="auto"/>
          <w:sz w:val="21"/>
          <w:szCs w:val="21"/>
          <w:highlight w:val="none"/>
          <w:u w:val="single"/>
          <w:lang w:val="en-US" w:eastAsia="zh-CN"/>
        </w:rPr>
        <w:t>对于部分高速公路沿线服务区、收费站、新建维修改造项目等，存在点多供应量少的情况；各项目供货前，需进行展厅内选样或送样至项目现场，供应商需结合项目特征、供应量、配送距离、运输时效、选送样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17858_WPSOffice_Level2"/>
      <w:bookmarkStart w:id="10" w:name="_Toc8128_WPSOffice_Level2"/>
      <w:bookmarkStart w:id="11" w:name="_Toc18453"/>
      <w:bookmarkStart w:id="12" w:name="_Toc23266_WPSOffice_Level2"/>
      <w:bookmarkStart w:id="13" w:name="_Toc18367_WPSOffice_Level2"/>
      <w:bookmarkStart w:id="14" w:name="_Toc10274"/>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九牧。</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九牧洁具年度采购，采购期1年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人民币258.9万元，各分项控制价见报价清单，响应单位总报价及单项报价若超过控制价，响应文件做无效处理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726"/>
      <w:bookmarkStart w:id="19" w:name="_Toc525632589"/>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w:t>
      </w:r>
      <w:r>
        <w:rPr>
          <w:rFonts w:hint="eastAsia" w:ascii="Times New Roman" w:hAnsi="Times New Roman"/>
          <w:b/>
          <w:bCs/>
          <w:color w:val="auto"/>
          <w:sz w:val="21"/>
          <w:szCs w:val="22"/>
          <w:lang w:eastAsia="zh-CN"/>
        </w:rPr>
        <w:t>提供所投</w:t>
      </w:r>
      <w:r>
        <w:rPr>
          <w:rFonts w:hint="eastAsia" w:ascii="Times New Roman" w:hAnsi="Times New Roman"/>
          <w:b/>
          <w:bCs/>
          <w:color w:val="auto"/>
          <w:sz w:val="21"/>
          <w:szCs w:val="22"/>
          <w:lang w:val="en-US" w:eastAsia="zh-CN"/>
        </w:rPr>
        <w:t>品牌</w:t>
      </w:r>
      <w:r>
        <w:rPr>
          <w:rFonts w:hint="eastAsia" w:ascii="Times New Roman" w:hAnsi="Times New Roman"/>
          <w:b/>
          <w:bCs/>
          <w:color w:val="auto"/>
          <w:sz w:val="21"/>
          <w:szCs w:val="22"/>
          <w:lang w:eastAsia="zh-CN"/>
        </w:rPr>
        <w:t>产品业绩进行证明</w:t>
      </w:r>
      <w:r>
        <w:rPr>
          <w:rFonts w:hint="eastAsia" w:ascii="Times New Roman" w:hAnsi="Times New Roman"/>
          <w:color w:val="auto"/>
          <w:sz w:val="21"/>
          <w:szCs w:val="22"/>
          <w:lang w:eastAsia="zh-CN"/>
        </w:rPr>
        <w:t>）。</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bCs/>
          <w:color w:val="auto"/>
          <w:sz w:val="21"/>
          <w:szCs w:val="22"/>
          <w:highlight w:val="yellow"/>
          <w:lang w:val="en-US" w:eastAsia="zh-CN"/>
        </w:rPr>
        <w:t>任一年度内累计合同额</w:t>
      </w:r>
      <w:r>
        <w:rPr>
          <w:rFonts w:hint="eastAsia" w:ascii="Times New Roman" w:hAnsi="Times New Roman"/>
          <w:color w:val="auto"/>
          <w:sz w:val="21"/>
          <w:szCs w:val="22"/>
          <w:highlight w:val="yellow"/>
          <w:lang w:val="en-US" w:eastAsia="zh-CN"/>
        </w:rPr>
        <w:t>不低于50万的九牧洁具供应合同业绩，每个业绩至少提供不低于合同金额50%的增值税发票（或提供不低于资格审查要求业绩金额的增值税发票），未提供或提供发票金额不足的，该业绩无效。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4109_WPSOffice_Level2"/>
      <w:bookmarkStart w:id="21" w:name="_Toc25666_WPSOffice_Level2"/>
      <w:bookmarkStart w:id="22" w:name="_Toc4751"/>
      <w:bookmarkStart w:id="23" w:name="_Toc29452_WPSOffice_Level2"/>
      <w:bookmarkStart w:id="24" w:name="_Toc2996_WPSOffice_Level2"/>
      <w:bookmarkStart w:id="25" w:name="_Toc525632588"/>
      <w:bookmarkStart w:id="26" w:name="_Toc1994"/>
      <w:bookmarkStart w:id="27" w:name="_Toc22719"/>
      <w:bookmarkStart w:id="28" w:name="_Toc525632591"/>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10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付款备注：九牧洁具响应保证金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03538FA3">
      <w:pPr>
        <w:spacing w:beforeLines="0" w:afterLines="0"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（3）已提交响应保证金的供应商，无需二次提交。</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525632592"/>
      <w:bookmarkStart w:id="30" w:name="_Toc26829"/>
      <w:bookmarkStart w:id="31" w:name="_Toc321_WPSOffice_Level2"/>
      <w:bookmarkStart w:id="32" w:name="_Toc14943_WPSOffice_Level2"/>
      <w:bookmarkStart w:id="33" w:name="_Toc20572_WPSOffice_Level2"/>
      <w:bookmarkStart w:id="34" w:name="_Toc8501"/>
      <w:bookmarkStart w:id="35" w:name="_Toc28571_WPSOffice_Level2"/>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bookmarkStart w:id="140" w:name="_GoBack"/>
      <w:bookmarkEnd w:id="140"/>
      <w:r>
        <w:rPr>
          <w:rFonts w:hint="eastAsia" w:ascii="宋体" w:hAnsi="宋体" w:eastAsia="宋体" w:cs="宋体"/>
          <w:color w:val="auto"/>
          <w:sz w:val="21"/>
          <w:szCs w:val="21"/>
          <w:highlight w:val="none"/>
        </w:rPr>
        <w:t xml:space="preserve"> </w:t>
      </w:r>
      <w:bookmarkStart w:id="36" w:name="_Toc19483"/>
      <w:bookmarkStart w:id="37" w:name="_Toc470"/>
      <w:bookmarkStart w:id="38" w:name="_Toc14201207"/>
      <w:bookmarkStart w:id="39" w:name="_Toc9067720"/>
      <w:bookmarkStart w:id="40" w:name="_Toc26656938"/>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19501"/>
      <w:bookmarkStart w:id="42" w:name="_Toc16069"/>
      <w:bookmarkStart w:id="43" w:name="_Toc55466811"/>
      <w:bookmarkStart w:id="44" w:name="_Toc26656928"/>
      <w:bookmarkStart w:id="45" w:name="_Toc29381_WPSOffice_Level2"/>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767"/>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suppressLineNumbers w:val="0"/>
              <w:snapToGrid w:val="0"/>
              <w:spacing w:before="0" w:beforeLines="0" w:beforeAutospacing="0" w:after="0" w:afterLines="0" w:afterAutospacing="0" w:line="480" w:lineRule="exact"/>
              <w:ind w:left="0" w:right="0"/>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suppressLineNumbers w:val="0"/>
              <w:snapToGrid w:val="0"/>
              <w:spacing w:before="0" w:beforeLines="0" w:beforeAutospacing="0" w:after="0" w:afterLines="0" w:afterAutospacing="0" w:line="480" w:lineRule="exact"/>
              <w:ind w:left="0" w:right="0"/>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3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3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3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440" w:lineRule="exact"/>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440" w:lineRule="exact"/>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3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3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suppressLineNumbers w:val="0"/>
              <w:spacing w:before="0" w:beforeLines="0" w:beforeAutospacing="0" w:after="0" w:afterLines="0" w:afterAutospacing="0" w:line="4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3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6</w:t>
            </w:r>
          </w:p>
        </w:tc>
        <w:tc>
          <w:tcPr>
            <w:tcW w:w="83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②制造商/厂家参与询比的，应具备有生产、销售采购人所需材料的能力；经销商/代理商参加询比的，应具备销售采购人所需材料的能力（提供所投品牌产品业绩进行证明）。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C4F8C0D">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50万的九牧洁具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w:t>
      </w:r>
      <w:r>
        <w:rPr>
          <w:rFonts w:hint="eastAsia" w:ascii="Times New Roman" w:hAnsi="Times New Roman"/>
          <w:color w:val="auto"/>
          <w:sz w:val="21"/>
          <w:szCs w:val="24"/>
          <w:highlight w:val="none"/>
        </w:rPr>
        <w:t>有疑问，应在递交响应文件的截止时间前3日前通过</w:t>
      </w:r>
      <w:r>
        <w:rPr>
          <w:rFonts w:hint="eastAsia" w:ascii="Times New Roman" w:hAnsi="Times New Roman"/>
          <w:color w:val="auto"/>
          <w:sz w:val="21"/>
          <w:szCs w:val="22"/>
          <w:highlight w:val="none"/>
        </w:rPr>
        <w:t>安徽交控招采平台（zcpt.ahjkjt.com）、安徽交控建设工程集团有限公司网站（www.ahjggroup.com）</w:t>
      </w:r>
      <w:r>
        <w:rPr>
          <w:rFonts w:hint="eastAsia" w:ascii="Times New Roman" w:hAnsi="Times New Roman"/>
          <w:color w:val="auto"/>
          <w:sz w:val="21"/>
          <w:szCs w:val="24"/>
          <w:highlight w:val="none"/>
        </w:rPr>
        <w:t>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26736"/>
      <w:bookmarkStart w:id="47" w:name="_Toc4290"/>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144974496"/>
      <w:bookmarkStart w:id="50" w:name="_Toc14847"/>
      <w:bookmarkStart w:id="51" w:name="_Toc447808662"/>
      <w:bookmarkStart w:id="52" w:name="_Toc152042304"/>
      <w:bookmarkStart w:id="53" w:name="_Toc152045528"/>
      <w:bookmarkStart w:id="54" w:name="_Toc3834"/>
      <w:bookmarkStart w:id="55" w:name="_Toc457482536"/>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32118"/>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3.付款方式:货到工地经甲方指定签收人验收合格并签收，按月支付经验收合格的货物价款的80%；产品全部供货到现场经甲方指定验收人验收合格并办理完成结算手续后，甲方向乙方支付至结算价的97%，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046B04CE">
      <w:pPr>
        <w:spacing w:line="440" w:lineRule="exact"/>
        <w:ind w:firstLine="480" w:firstLineChars="200"/>
        <w:rPr>
          <w:rFonts w:hint="eastAsia" w:ascii="仿宋_GB2312" w:hAnsi="仿宋_GB2312" w:eastAsia="仿宋_GB2312" w:cs="仿宋_GB2312"/>
          <w:sz w:val="24"/>
          <w:szCs w:val="24"/>
          <w:lang w:val="en-US" w:eastAsia="zh-CN"/>
        </w:rPr>
      </w:pP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330AC7D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permStart w:id="6" w:edGrp="everyone"/>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1.货到工地经甲方指定签收人验收合格并签收，按月支付经验收合格的货物价款的80%。</w:t>
      </w:r>
    </w:p>
    <w:p w14:paraId="67C3850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2.产品全部供货到现场经甲方指定验收人验收合格并办理完成结算手续后，甲方向乙方支付至结算价的97%。</w:t>
      </w:r>
    </w:p>
    <w:p w14:paraId="0E23FB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ermEnd w:id="6"/>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3E67E1F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成交候选人公示后，在框架协议签订前，主供应单位需向甲方支付5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7"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7"/>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8"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8"/>
      <w:r>
        <w:rPr>
          <w:rFonts w:hint="eastAsia" w:ascii="仿宋_GB2312" w:hAnsi="Calibri" w:eastAsia="仿宋_GB2312" w:cs="仿宋_GB2312"/>
          <w:kern w:val="2"/>
          <w:sz w:val="28"/>
          <w:szCs w:val="28"/>
          <w:lang w:val="en-US" w:eastAsia="zh-CN" w:bidi="ar"/>
        </w:rPr>
        <w:t>项目名称）的采购人</w:t>
      </w:r>
      <w:permStart w:id="9"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9"/>
      <w:r>
        <w:rPr>
          <w:rFonts w:hint="eastAsia" w:ascii="仿宋_GB2312" w:hAnsi="Calibri" w:eastAsia="仿宋_GB2312" w:cs="仿宋_GB2312"/>
          <w:kern w:val="2"/>
          <w:sz w:val="28"/>
          <w:szCs w:val="28"/>
          <w:lang w:val="en-US" w:eastAsia="zh-CN" w:bidi="ar"/>
        </w:rPr>
        <w:t>（采购人名称，以下简称甲方）与该项目的供货商</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2" w:edGrp="everyone"/>
      <w:r>
        <w:rPr>
          <w:rFonts w:hint="eastAsia" w:ascii="仿宋_GB2312" w:hAnsi="Calibri" w:eastAsia="仿宋_GB2312" w:cs="仿宋_GB2312"/>
          <w:kern w:val="2"/>
          <w:sz w:val="28"/>
          <w:szCs w:val="28"/>
          <w:u w:val="single"/>
          <w:lang w:val="en-US" w:eastAsia="zh-CN" w:bidi="ar"/>
        </w:rPr>
        <w:t xml:space="preserve">                             </w:t>
      </w:r>
      <w:permEnd w:id="12"/>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3" w:edGrp="everyone"/>
      <w:permEnd w:id="13"/>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4"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4"/>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5"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5"/>
      <w:r>
        <w:rPr>
          <w:rFonts w:hint="eastAsia" w:ascii="仿宋_GB2312" w:hAnsi="Calibri" w:eastAsia="仿宋_GB2312" w:cs="仿宋_GB2312"/>
          <w:kern w:val="2"/>
          <w:sz w:val="28"/>
          <w:szCs w:val="28"/>
          <w:lang w:val="en-US" w:eastAsia="zh-CN" w:bidi="ar"/>
        </w:rPr>
        <w:t>（采购人名称，以下简称甲方）与该项目的供货商</w:t>
      </w:r>
      <w:permStart w:id="16" w:edGrp="everyone"/>
      <w:r>
        <w:rPr>
          <w:rFonts w:hint="eastAsia" w:ascii="仿宋_GB2312" w:hAnsi="Calibri" w:eastAsia="仿宋_GB2312" w:cs="仿宋_GB2312"/>
          <w:kern w:val="2"/>
          <w:sz w:val="28"/>
          <w:szCs w:val="28"/>
          <w:u w:val="single"/>
          <w:lang w:val="en-US" w:eastAsia="zh-CN" w:bidi="ar"/>
        </w:rPr>
        <w:t xml:space="preserve">              </w:t>
      </w:r>
      <w:permEnd w:id="16"/>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7"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7"/>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1823"/>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26183"/>
      <w:r>
        <w:rPr>
          <w:rFonts w:hint="eastAsia" w:ascii="Times New Roman" w:hAnsi="Times New Roman" w:eastAsia="宋体"/>
          <w:sz w:val="36"/>
          <w:szCs w:val="44"/>
          <w:highlight w:val="none"/>
          <w:lang w:val="en-US" w:eastAsia="zh-CN"/>
        </w:rPr>
        <w:t>第六章 响应文件格式</w:t>
      </w:r>
      <w:bookmarkEnd w:id="58"/>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安徽省经工物资有限公司九牧洁具年度</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采购项目</w:t>
      </w: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9500"/>
      <w:bookmarkStart w:id="60" w:name="_Toc15312"/>
      <w:bookmarkStart w:id="61" w:name="_Toc30063"/>
      <w:bookmarkStart w:id="62" w:name="_Toc22156"/>
      <w:bookmarkStart w:id="63" w:name="_Toc21014"/>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31224_WPSOffice_Level2"/>
      <w:bookmarkStart w:id="65" w:name="_Toc29095_WPSOffice_Level2"/>
      <w:bookmarkStart w:id="66" w:name="_Toc24832_WPSOffice_Level2"/>
      <w:bookmarkStart w:id="67" w:name="_Toc96_WPSOffice_Level1"/>
      <w:bookmarkStart w:id="68" w:name="_Toc9551_WPSOffice_Level1"/>
      <w:bookmarkStart w:id="69" w:name="_Toc882_WPSOffice_Level2"/>
      <w:bookmarkStart w:id="70" w:name="_Toc21974_WPSOffice_Level2"/>
      <w:bookmarkStart w:id="71" w:name="_Toc7952_WPSOffice_Level2"/>
      <w:bookmarkStart w:id="72" w:name="_Toc22351_WPSOffice_Level2"/>
      <w:bookmarkStart w:id="73" w:name="_Toc12530_WPSOffice_Level1"/>
      <w:bookmarkStart w:id="74" w:name="_Toc18668_WPSOffice_Level1"/>
      <w:bookmarkStart w:id="75" w:name="_Toc28026"/>
      <w:bookmarkStart w:id="76" w:name="_Toc13190_WPSOffice_Level1"/>
      <w:bookmarkStart w:id="77" w:name="_Toc32350_WPSOffice_Level1"/>
      <w:bookmarkStart w:id="78" w:name="_Toc8695_WPSOffice_Level1"/>
      <w:bookmarkStart w:id="79" w:name="_Toc7337"/>
      <w:bookmarkStart w:id="80" w:name="_Toc31127_WPSOffice_Level1"/>
      <w:bookmarkStart w:id="81" w:name="_Toc14563_WPSOffice_Level1"/>
      <w:bookmarkStart w:id="82" w:name="_Toc15033"/>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23368_WPSOffice_Level1"/>
      <w:bookmarkStart w:id="84" w:name="_Toc6353_WPSOffice_Level1"/>
      <w:bookmarkStart w:id="85" w:name="_Toc26987_WPSOffice_Level1"/>
      <w:bookmarkStart w:id="86" w:name="_Toc11424_WPSOffice_Level1"/>
      <w:bookmarkStart w:id="87" w:name="_Toc9021_WPSOffice_Level1"/>
      <w:bookmarkStart w:id="88" w:name="_Toc12670_WPSOffice_Level1"/>
      <w:bookmarkStart w:id="89" w:name="_Toc30529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5317_WPSOffice_Level1"/>
      <w:bookmarkStart w:id="91" w:name="_Toc26052_WPSOffice_Level1"/>
      <w:bookmarkStart w:id="92" w:name="_Toc31927_WPSOffice_Level1"/>
      <w:bookmarkStart w:id="93" w:name="_Toc3742_WPSOffice_Level1"/>
      <w:bookmarkStart w:id="94" w:name="_Toc21229_WPSOffice_Level1"/>
      <w:bookmarkStart w:id="95" w:name="_Toc32729_WPSOffice_Level1"/>
      <w:bookmarkStart w:id="96" w:name="_Toc14150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4728_WPSOffice_Level1"/>
      <w:bookmarkStart w:id="99" w:name="_Toc11822_WPSOffice_Level1"/>
      <w:bookmarkStart w:id="100" w:name="_Toc23356_WPSOffice_Level1"/>
      <w:bookmarkStart w:id="101" w:name="_Toc20535_WPSOffice_Level1"/>
      <w:bookmarkStart w:id="102" w:name="_Toc25965_WPSOffice_Level1"/>
      <w:bookmarkStart w:id="103" w:name="_Toc25652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10608_WPSOffice_Level1"/>
      <w:bookmarkStart w:id="105" w:name="_Toc7453_WPSOffice_Level1"/>
      <w:bookmarkStart w:id="106" w:name="_Toc7286_WPSOffice_Level1"/>
      <w:bookmarkStart w:id="107" w:name="_Toc18964_WPSOffice_Level1"/>
      <w:bookmarkStart w:id="108" w:name="_Toc23744_WPSOffice_Level1"/>
      <w:bookmarkStart w:id="109" w:name="_Toc24870_WPSOffice_Level1"/>
      <w:bookmarkStart w:id="110" w:name="_Toc2779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5885_WPSOffice_Level1"/>
      <w:bookmarkStart w:id="112" w:name="_Toc21092_WPSOffice_Level1"/>
      <w:bookmarkStart w:id="113" w:name="_Toc16988_WPSOffice_Level1"/>
      <w:bookmarkStart w:id="114" w:name="_Toc8423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7336_WPSOffice_Level1"/>
      <w:bookmarkStart w:id="116" w:name="_Toc29334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九牧洁具</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8" w:name="_Toc21389_WPSOffice_Level1"/>
      <w:bookmarkStart w:id="119" w:name="_Toc29236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u w:val="single"/>
          <w:lang w:val="en-US" w:eastAsia="zh-CN" w:bidi="ar"/>
          <w14:textFill>
            <w14:solidFill>
              <w14:schemeClr w14:val="tx1"/>
            </w14:solidFill>
          </w14:textFill>
        </w:rPr>
        <w:t>安徽省经工物资有限公司九牧洁具年度采购项目</w:t>
      </w:r>
      <w:r>
        <w:rPr>
          <w:rFonts w:hint="default" w:ascii="Times New Roman" w:hAnsi="Times New Roman"/>
          <w:color w:val="auto"/>
          <w:sz w:val="24"/>
          <w:szCs w:val="24"/>
          <w:lang w:bidi="ar"/>
        </w:rPr>
        <w:t>(</w:t>
      </w:r>
      <w:r>
        <w:rPr>
          <w:rFonts w:hint="eastAsia" w:ascii="宋体" w:hAnsi="宋体" w:cs="宋体"/>
          <w:color w:val="auto"/>
          <w:sz w:val="24"/>
          <w:szCs w:val="24"/>
          <w:lang w:bidi="ar"/>
        </w:rPr>
        <w:t>项目名称</w:t>
      </w:r>
      <w:r>
        <w:rPr>
          <w:rFonts w:hint="default" w:ascii="Times New Roman" w:hAnsi="Times New Roman"/>
          <w:color w:val="auto"/>
          <w:sz w:val="24"/>
          <w:szCs w:val="24"/>
          <w:lang w:bidi="ar"/>
        </w:rPr>
        <w:t>)</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卸货费、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161"/>
        <w:gridCol w:w="28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31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2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31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2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9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卸货</w:t>
      </w:r>
      <w:r>
        <w:rPr>
          <w:rFonts w:hint="eastAsia" w:ascii="宋体" w:hAnsi="宋体"/>
          <w:color w:val="auto"/>
          <w:sz w:val="21"/>
          <w:szCs w:val="21"/>
        </w:rPr>
        <w:t>叉车费（如有）、人工费、卸车费、利润、税费等相关费用。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22419_WPSOffice_Level1"/>
      <w:bookmarkStart w:id="123" w:name="_Toc19774_WPSOffice_Level1"/>
      <w:r>
        <w:rPr>
          <w:rFonts w:hint="eastAsia" w:ascii="Times New Roman" w:hAnsi="Times New Roman" w:eastAsia="黑体"/>
          <w:color w:val="auto"/>
          <w:sz w:val="28"/>
          <w:szCs w:val="28"/>
        </w:rPr>
        <w:t>四、</w:t>
      </w:r>
      <w:bookmarkStart w:id="124" w:name="_Toc25374_WPSOffice_Level2"/>
      <w:bookmarkStart w:id="125" w:name="_Toc803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6" w:name="_Toc27376_WPSOffice_Level1"/>
      <w:bookmarkStart w:id="127" w:name="_Toc5889_WPSOffice_Level1"/>
      <w:bookmarkStart w:id="128" w:name="_Toc27072_WPSOffice_Level1"/>
      <w:bookmarkStart w:id="129" w:name="_Toc26594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0" w:name="_Toc22014_WPSOffice_Level1"/>
      <w:bookmarkStart w:id="131" w:name="_Toc4822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0"/>
        <w:rPr>
          <w:rFonts w:hint="default" w:ascii="Times New Roman" w:hAnsi="Times New Roman"/>
          <w:color w:val="auto"/>
          <w:sz w:val="21"/>
          <w:szCs w:val="28"/>
        </w:rPr>
      </w:pPr>
      <w:bookmarkStart w:id="132" w:name="_Toc14793"/>
      <w:bookmarkStart w:id="133" w:name="_Toc3540"/>
      <w:bookmarkStart w:id="134" w:name="_Toc26833"/>
      <w:bookmarkStart w:id="135" w:name="_Toc32376"/>
      <w:bookmarkStart w:id="136" w:name="_Toc26703"/>
      <w:bookmarkStart w:id="137" w:name="_Toc27019"/>
      <w:bookmarkStart w:id="138" w:name="_Toc12549"/>
      <w:bookmarkStart w:id="139" w:name="_Toc25270"/>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3"/>
    <w:bookmarkEnd w:id="74"/>
    <w:bookmarkEnd w:id="75"/>
    <w:bookmarkEnd w:id="76"/>
    <w:bookmarkEnd w:id="77"/>
    <w:bookmarkEnd w:id="78"/>
    <w:bookmarkEnd w:id="79"/>
    <w:bookmarkEnd w:id="80"/>
    <w:bookmarkEnd w:id="81"/>
    <w:bookmarkEnd w:id="82"/>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50DD36-48FA-4CB4-BB5C-E6725ADF43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C467899-458B-427D-9009-3BF806B5ED05}"/>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F97DCFF7-1DC2-4582-9EA0-D41B10F258FD}"/>
  </w:font>
  <w:font w:name="华文楷体">
    <w:panose1 w:val="02010600040101010101"/>
    <w:charset w:val="86"/>
    <w:family w:val="auto"/>
    <w:pitch w:val="default"/>
    <w:sig w:usb0="00000287" w:usb1="080F0000" w:usb2="00000000" w:usb3="00000000" w:csb0="0004009F" w:csb1="DFD70000"/>
    <w:embedRegular r:id="rId4" w:fontKey="{74D1CA51-8398-4EC3-9A25-8597EED53AC3}"/>
  </w:font>
  <w:font w:name="仿宋_GB2312">
    <w:altName w:val="仿宋"/>
    <w:panose1 w:val="02010609030101010101"/>
    <w:charset w:val="86"/>
    <w:family w:val="modern"/>
    <w:pitch w:val="default"/>
    <w:sig w:usb0="00000000" w:usb1="00000000" w:usb2="00000000" w:usb3="00000000" w:csb0="00040000" w:csb1="00000000"/>
    <w:embedRegular r:id="rId5" w:fontKey="{C1F54A37-4EA1-4406-94CB-74427176853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AB1A2A"/>
    <w:rsid w:val="16FF3D15"/>
    <w:rsid w:val="17024379"/>
    <w:rsid w:val="17263548"/>
    <w:rsid w:val="17755202"/>
    <w:rsid w:val="1776370C"/>
    <w:rsid w:val="17CF3BE0"/>
    <w:rsid w:val="17E374A3"/>
    <w:rsid w:val="186C7681"/>
    <w:rsid w:val="18786026"/>
    <w:rsid w:val="188C4113"/>
    <w:rsid w:val="188F40B1"/>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26834"/>
    <w:rsid w:val="1C0C5403"/>
    <w:rsid w:val="1C511068"/>
    <w:rsid w:val="1C7D1E5D"/>
    <w:rsid w:val="1C9D0478"/>
    <w:rsid w:val="1CB03FE0"/>
    <w:rsid w:val="1CB304A3"/>
    <w:rsid w:val="1CD07137"/>
    <w:rsid w:val="1CF12CD2"/>
    <w:rsid w:val="1D3320C5"/>
    <w:rsid w:val="1D3772E3"/>
    <w:rsid w:val="1D3F5364"/>
    <w:rsid w:val="1D787BD0"/>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2E61BD6"/>
    <w:rsid w:val="235257C9"/>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7F44CCD"/>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517FFC"/>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19517D"/>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BDA065F"/>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93E5A"/>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4266</Words>
  <Characters>4625</Characters>
  <Lines>1</Lines>
  <Paragraphs>1</Paragraphs>
  <TotalTime>0</TotalTime>
  <ScaleCrop>false</ScaleCrop>
  <LinksUpToDate>false</LinksUpToDate>
  <CharactersWithSpaces>4848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2025-10-21T08:13:15Z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E12CE48524F8425892980F3E44F36A79_13</vt:lpwstr>
  </property>
  <property fmtid="{D5CDD505-2E9C-101B-9397-08002B2CF9AE}" pid="4" name="KSOTemplateDocerSaveRecord">
    <vt:lpwstr>eyJoZGlkIjoiNGRiN2FjM2IwNjUxZWRiZTZhMTg1YTdmYzFhZWExNzgiLCJ1c2VySWQiOiI0MDU4NDYwODgifQ==</vt:lpwstr>
  </property>
</Properties>
</file>