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B407B">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安徽省交通控股集团有限公司2025年度</w:t>
      </w:r>
    </w:p>
    <w:p w14:paraId="084BAD90">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新建改建路段服务区物业设施采购</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及安装项目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hint="eastAsia"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9"/>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10</w:t>
      </w:r>
      <w:r>
        <w:rPr>
          <w:rFonts w:hint="eastAsia" w:ascii="黑体" w:hAnsi="黑体" w:eastAsia="黑体" w:cs="黑体"/>
          <w:color w:val="auto"/>
          <w:sz w:val="32"/>
          <w:szCs w:val="32"/>
          <w:highlight w:val="none"/>
        </w:rPr>
        <w:t>月</w:t>
      </w:r>
    </w:p>
    <w:p w14:paraId="02CB63D9">
      <w:pPr>
        <w:pStyle w:val="9"/>
        <w:rPr>
          <w:rFonts w:hint="eastAsia"/>
          <w:color w:val="auto"/>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21066325">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_Toc12890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hint="eastAsia" w:ascii="Times New Roman" w:hAnsi="Times New Roman" w:eastAsia="宋体" w:cs="Times New Roman"/>
              <w:highlight w:val="none"/>
              <w:lang w:val="en-US" w:eastAsia="zh-CN"/>
            </w:rPr>
            <w:t>预</w:t>
          </w:r>
          <w:r>
            <w:rPr>
              <w:rFonts w:ascii="Times New Roman" w:hAnsi="Times New Roman" w:eastAsia="宋体" w:cs="Times New Roman"/>
              <w:highlight w:val="none"/>
            </w:rPr>
            <w:t>采购公告</w:t>
          </w:r>
          <w:r>
            <w:tab/>
          </w:r>
          <w:r>
            <w:fldChar w:fldCharType="begin"/>
          </w:r>
          <w:r>
            <w:instrText xml:space="preserve"> PAGEREF _Toc12890 \h </w:instrText>
          </w:r>
          <w:r>
            <w:fldChar w:fldCharType="separate"/>
          </w:r>
          <w:r>
            <w:t>3</w:t>
          </w:r>
          <w:r>
            <w:fldChar w:fldCharType="end"/>
          </w:r>
          <w:r>
            <w:rPr>
              <w:rFonts w:hint="eastAsia" w:ascii="宋体" w:hAnsi="宋体" w:eastAsia="宋体" w:cs="宋体"/>
              <w:color w:val="auto"/>
              <w:szCs w:val="24"/>
              <w:highlight w:val="none"/>
            </w:rPr>
            <w:fldChar w:fldCharType="end"/>
          </w:r>
        </w:p>
        <w:p w14:paraId="6F6ED37F">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_Toc357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_Toc357 \h </w:instrText>
          </w:r>
          <w:r>
            <w:fldChar w:fldCharType="separate"/>
          </w:r>
          <w:r>
            <w:t>7</w:t>
          </w:r>
          <w:r>
            <w:fldChar w:fldCharType="end"/>
          </w:r>
          <w:r>
            <w:rPr>
              <w:rFonts w:hint="eastAsia" w:ascii="宋体" w:hAnsi="宋体" w:eastAsia="宋体" w:cs="宋体"/>
              <w:color w:val="auto"/>
              <w:szCs w:val="24"/>
              <w:highlight w:val="none"/>
            </w:rPr>
            <w:fldChar w:fldCharType="end"/>
          </w:r>
        </w:p>
        <w:p w14:paraId="62D20810">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_Toc21179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_Toc21179 \h </w:instrText>
          </w:r>
          <w:r>
            <w:fldChar w:fldCharType="separate"/>
          </w:r>
          <w:r>
            <w:t>18</w:t>
          </w:r>
          <w:r>
            <w:fldChar w:fldCharType="end"/>
          </w:r>
          <w:r>
            <w:rPr>
              <w:rFonts w:hint="eastAsia" w:ascii="宋体" w:hAnsi="宋体" w:eastAsia="宋体" w:cs="宋体"/>
              <w:color w:val="auto"/>
              <w:szCs w:val="24"/>
              <w:highlight w:val="none"/>
            </w:rPr>
            <w:fldChar w:fldCharType="end"/>
          </w:r>
        </w:p>
        <w:p w14:paraId="20E89E40">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_Toc2179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_Toc2179 \h </w:instrText>
          </w:r>
          <w:r>
            <w:fldChar w:fldCharType="separate"/>
          </w:r>
          <w:r>
            <w:t>26</w:t>
          </w:r>
          <w:r>
            <w:fldChar w:fldCharType="end"/>
          </w:r>
          <w:r>
            <w:rPr>
              <w:rFonts w:hint="eastAsia" w:ascii="宋体" w:hAnsi="宋体" w:eastAsia="宋体" w:cs="宋体"/>
              <w:color w:val="auto"/>
              <w:szCs w:val="24"/>
              <w:highlight w:val="none"/>
            </w:rPr>
            <w:fldChar w:fldCharType="end"/>
          </w:r>
        </w:p>
        <w:p w14:paraId="1EDEAFCF">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_Toc31295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_Toc31295 \h </w:instrText>
          </w:r>
          <w:r>
            <w:fldChar w:fldCharType="separate"/>
          </w:r>
          <w:r>
            <w:t>44</w:t>
          </w:r>
          <w:r>
            <w:fldChar w:fldCharType="end"/>
          </w:r>
          <w:r>
            <w:rPr>
              <w:rFonts w:hint="eastAsia" w:ascii="宋体" w:hAnsi="宋体" w:eastAsia="宋体" w:cs="宋体"/>
              <w:color w:val="auto"/>
              <w:szCs w:val="24"/>
              <w:highlight w:val="none"/>
            </w:rPr>
            <w:fldChar w:fldCharType="end"/>
          </w:r>
        </w:p>
        <w:p w14:paraId="621C5174">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_Toc31359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_Toc31359 \h </w:instrText>
          </w:r>
          <w:r>
            <w:fldChar w:fldCharType="separate"/>
          </w:r>
          <w:r>
            <w:t>47</w:t>
          </w:r>
          <w:r>
            <w:fldChar w:fldCharType="end"/>
          </w:r>
          <w:r>
            <w:rPr>
              <w:rFonts w:hint="eastAsia" w:ascii="宋体" w:hAnsi="宋体" w:eastAsia="宋体" w:cs="宋体"/>
              <w:color w:val="auto"/>
              <w:szCs w:val="24"/>
              <w:highlight w:val="none"/>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12890"/>
      <w:r>
        <w:rPr>
          <w:rFonts w:hint="eastAsia" w:ascii="Times New Roman" w:hAnsi="Times New Roman" w:eastAsia="宋体" w:cs="Times New Roman"/>
          <w:color w:val="auto"/>
          <w:highlight w:val="none"/>
          <w:lang w:val="en-US" w:eastAsia="zh-CN"/>
        </w:rPr>
        <w:t>预</w:t>
      </w:r>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24354_WPSOffice_Level2"/>
      <w:bookmarkStart w:id="2" w:name="_Toc525632585"/>
      <w:bookmarkStart w:id="3" w:name="_Toc6496_WPSOffice_Level2"/>
      <w:bookmarkStart w:id="4" w:name="_Toc12765"/>
      <w:bookmarkStart w:id="5" w:name="_Toc10395_WPSOffice_Level2"/>
      <w:bookmarkStart w:id="6" w:name="_Toc13871"/>
      <w:bookmarkStart w:id="7" w:name="_Toc4489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安徽省交通控股集团有限公司2025年度新建改建路段服务区物业设施采购及安装项目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 w:val="21"/>
          <w:szCs w:val="21"/>
          <w:highlight w:val="none"/>
          <w:u w:val="single"/>
          <w:lang w:val="en-US" w:eastAsia="zh-CN"/>
        </w:rPr>
        <w:t>安徽省交通控股集团所辖宁信高速的吕寨、阜南东服务区、太蕲高速天华服务区、天天高速竹丝湖、金社服务区、徐淮阜高速亳州段涡阳北服务区、亳蒙高速漆园服务区、固蚌高速王庄服务区、沪渝高速广德服务区及京台高速吴圩服务区的物业设施采购及安装</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0274"/>
      <w:bookmarkStart w:id="9" w:name="_Toc18453"/>
      <w:bookmarkStart w:id="10" w:name="_Toc8128_WPSOffice_Level2"/>
      <w:bookmarkStart w:id="11" w:name="_Toc525632586"/>
      <w:bookmarkStart w:id="12" w:name="_Toc23266_WPSOffice_Level2"/>
      <w:bookmarkStart w:id="13" w:name="_Toc18367_WPSOffice_Level2"/>
      <w:bookmarkStart w:id="14" w:name="_Toc1785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详见采购清单。</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人民币209.7万元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接甲方通知之日起15天</w:t>
      </w:r>
      <w:r>
        <w:rPr>
          <w:rFonts w:hint="eastAsia" w:ascii="Times New Roman" w:hAnsi="Times New Roman" w:eastAsia="宋体" w:cs="Times New Roman"/>
          <w:color w:val="auto"/>
          <w:szCs w:val="21"/>
          <w:highlight w:val="none"/>
          <w:u w:val="single"/>
          <w:lang w:val="en-US" w:eastAsia="zh-CN"/>
        </w:rPr>
        <w:t>内</w:t>
      </w:r>
      <w:r>
        <w:rPr>
          <w:rFonts w:hint="default" w:ascii="Times New Roman" w:hAnsi="Times New Roman" w:eastAsia="宋体" w:cs="Times New Roman"/>
          <w:color w:val="auto"/>
          <w:szCs w:val="21"/>
          <w:highlight w:val="none"/>
          <w:u w:val="single"/>
        </w:rPr>
        <w:t>货到现场</w:t>
      </w:r>
      <w:r>
        <w:rPr>
          <w:rFonts w:hint="eastAsia" w:ascii="Times New Roman" w:hAnsi="Times New Roman" w:eastAsia="宋体" w:cs="Times New Roman"/>
          <w:color w:val="auto"/>
          <w:szCs w:val="21"/>
          <w:highlight w:val="none"/>
          <w:u w:val="single"/>
          <w:lang w:val="en-US" w:eastAsia="zh-CN"/>
        </w:rPr>
        <w:t>并安装完成</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szCs w:val="21"/>
          <w:highlight w:val="none"/>
          <w:u w:val="none"/>
          <w:lang w:val="en-US" w:eastAsia="zh-CN"/>
        </w:rPr>
        <w:t xml:space="preserve"> </w:t>
      </w:r>
    </w:p>
    <w:p w14:paraId="41257F13">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 w:val="21"/>
          <w:szCs w:val="21"/>
          <w:highlight w:val="none"/>
          <w:u w:val="single"/>
          <w:lang w:val="en-US" w:eastAsia="zh-CN"/>
        </w:rPr>
        <w:t>吕寨、阜南东服务区、太蕲高速天华服务区、天天高速竹丝湖、金社服务区、徐淮阜高速亳州段涡阳北服务区、亳蒙高速漆园服务区、固蚌高速王庄服务区、沪渝高速广德服务区及京台高速吴圩服务区，</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bCs/>
          <w:color w:val="auto"/>
          <w:szCs w:val="21"/>
          <w:highlight w:val="yellow"/>
          <w:lang w:val="en-US" w:eastAsia="zh-CN"/>
        </w:rPr>
        <w:t>注：本次采购拟选两家供应单位，即入围报价环节价格最低的前两名，报价最低的单位将作为本项目主要供应单位，另外一家作为备选单位。备选单位须响应报价最低单位的价格，如不能响应，将由采购人按候选人名次顺延备选供应单位。两家供应单位共同保障本次项目供应。</w:t>
      </w:r>
      <w:r>
        <w:rPr>
          <w:rFonts w:hint="eastAsia" w:ascii="Times New Roman" w:hAnsi="Times New Roman" w:eastAsia="宋体" w:cs="Times New Roman"/>
          <w:b/>
          <w:bCs/>
          <w:color w:val="auto"/>
          <w:szCs w:val="21"/>
          <w:highlight w:val="none"/>
          <w:lang w:val="en-US" w:eastAsia="zh-CN"/>
        </w:rPr>
        <w:t xml:space="preserve"> </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50万</w:t>
      </w:r>
      <w:r>
        <w:rPr>
          <w:rFonts w:hint="default" w:ascii="Times New Roman" w:hAnsi="Times New Roman" w:cs="Times New Roman" w:eastAsiaTheme="minorEastAsia"/>
          <w:b w:val="0"/>
          <w:bCs w:val="0"/>
          <w:color w:val="auto"/>
          <w:highlight w:val="none"/>
          <w:u w:val="single"/>
          <w:lang w:val="en-US" w:eastAsia="zh-CN"/>
        </w:rPr>
        <w:t>元的</w:t>
      </w:r>
      <w:r>
        <w:rPr>
          <w:rFonts w:hint="eastAsia" w:ascii="Times New Roman" w:hAnsi="Times New Roman" w:cs="Times New Roman"/>
          <w:b w:val="0"/>
          <w:bCs w:val="0"/>
          <w:color w:val="auto"/>
          <w:highlight w:val="none"/>
          <w:u w:val="single"/>
          <w:lang w:val="en-US" w:eastAsia="zh-CN"/>
        </w:rPr>
        <w:t>物业设施类</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5666_WPSOffice_Level2"/>
      <w:bookmarkStart w:id="19" w:name="_Toc525632588"/>
      <w:bookmarkStart w:id="20" w:name="_Toc29452_WPSOffice_Level2"/>
      <w:bookmarkStart w:id="21" w:name="_Toc2996_WPSOffice_Level2"/>
      <w:bookmarkStart w:id="22" w:name="_Toc4109_WPSOffice_Level2"/>
      <w:bookmarkStart w:id="23" w:name="_Toc1994"/>
      <w:bookmarkStart w:id="24" w:name="_Toc4751"/>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6B76A709">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bookmarkStart w:id="25" w:name="_Toc525632589"/>
      <w:bookmarkStart w:id="26" w:name="_Toc726"/>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080155A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6D1CD98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潜在供应商登陆“安徽交控招采平台”（网址：zcpt.ahjkjt.com）参与本项目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4AB3FAE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6464E68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5A7E5BF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56E2CBF5">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潜在供应商登陆“</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10</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24</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22B0FA7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付款备注：新改建服务区项目物业设施响应保证金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2%</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5%</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03538FA3">
      <w:pPr>
        <w:spacing w:beforeLines="0" w:afterLines="0"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（3）已提交响应保证金的供应商，无需二次提交。</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321_WPSOffice_Level2"/>
      <w:bookmarkStart w:id="30" w:name="_Toc14943_WPSOffice_Level2"/>
      <w:bookmarkStart w:id="31" w:name="_Toc26829"/>
      <w:bookmarkStart w:id="32" w:name="_Toc8501"/>
      <w:bookmarkStart w:id="33" w:name="_Toc20572_WPSOffice_Level2"/>
      <w:bookmarkStart w:id="34" w:name="_Toc28571_WPSOffice_Level2"/>
      <w:bookmarkStart w:id="35" w:name="_Toc525632592"/>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64AAB20">
      <w:pPr>
        <w:pStyle w:val="33"/>
        <w:jc w:val="both"/>
        <w:rPr>
          <w:rFonts w:hint="eastAsia" w:ascii="宋体" w:hAnsi="宋体" w:eastAsia="宋体" w:cs="宋体"/>
          <w:color w:val="auto"/>
          <w:sz w:val="21"/>
          <w:szCs w:val="21"/>
          <w:highlight w:val="none"/>
        </w:rPr>
      </w:pPr>
    </w:p>
    <w:p w14:paraId="3F5167B0">
      <w:pPr>
        <w:pStyle w:val="33"/>
        <w:jc w:val="both"/>
        <w:rPr>
          <w:rFonts w:hint="eastAsia" w:ascii="宋体" w:hAnsi="宋体" w:eastAsia="宋体" w:cs="宋体"/>
          <w:color w:val="auto"/>
          <w:sz w:val="21"/>
          <w:szCs w:val="21"/>
          <w:highlight w:val="none"/>
        </w:rPr>
      </w:pPr>
    </w:p>
    <w:p w14:paraId="7B02CDF2">
      <w:pPr>
        <w:pStyle w:val="33"/>
        <w:jc w:val="both"/>
        <w:rPr>
          <w:rFonts w:hint="eastAsia" w:ascii="宋体" w:hAnsi="宋体" w:eastAsia="宋体" w:cs="宋体"/>
          <w:color w:val="auto"/>
          <w:sz w:val="21"/>
          <w:szCs w:val="21"/>
          <w:highlight w:val="none"/>
        </w:rPr>
      </w:pPr>
    </w:p>
    <w:p w14:paraId="47F5354D">
      <w:pPr>
        <w:pStyle w:val="33"/>
        <w:jc w:val="both"/>
        <w:rPr>
          <w:rFonts w:hint="eastAsia" w:ascii="宋体" w:hAnsi="宋体" w:eastAsia="宋体" w:cs="宋体"/>
          <w:color w:val="auto"/>
          <w:sz w:val="21"/>
          <w:szCs w:val="21"/>
          <w:highlight w:val="none"/>
        </w:rPr>
      </w:pPr>
    </w:p>
    <w:p w14:paraId="013077F2">
      <w:pPr>
        <w:pStyle w:val="33"/>
        <w:jc w:val="both"/>
        <w:rPr>
          <w:rFonts w:hint="eastAsia" w:ascii="宋体" w:hAnsi="宋体" w:eastAsia="宋体" w:cs="宋体"/>
          <w:color w:val="auto"/>
          <w:sz w:val="21"/>
          <w:szCs w:val="21"/>
          <w:highlight w:val="none"/>
        </w:rPr>
      </w:pPr>
    </w:p>
    <w:p w14:paraId="2DED9ADE">
      <w:pPr>
        <w:pStyle w:val="33"/>
        <w:jc w:val="both"/>
        <w:rPr>
          <w:rFonts w:hint="eastAsia" w:ascii="宋体" w:hAnsi="宋体" w:eastAsia="宋体" w:cs="宋体"/>
          <w:color w:val="auto"/>
          <w:sz w:val="21"/>
          <w:szCs w:val="21"/>
          <w:highlight w:val="none"/>
        </w:rPr>
      </w:pPr>
    </w:p>
    <w:p w14:paraId="28659942">
      <w:pPr>
        <w:pStyle w:val="33"/>
        <w:jc w:val="both"/>
        <w:rPr>
          <w:rFonts w:hint="eastAsia" w:ascii="宋体" w:hAnsi="宋体" w:eastAsia="宋体" w:cs="宋体"/>
          <w:color w:val="auto"/>
          <w:sz w:val="21"/>
          <w:szCs w:val="21"/>
          <w:highlight w:val="none"/>
        </w:rPr>
      </w:pPr>
    </w:p>
    <w:p w14:paraId="0997C17A">
      <w:pPr>
        <w:pStyle w:val="33"/>
        <w:jc w:val="both"/>
        <w:rPr>
          <w:rFonts w:hint="eastAsia" w:ascii="宋体" w:hAnsi="宋体" w:eastAsia="宋体" w:cs="宋体"/>
          <w:color w:val="auto"/>
          <w:sz w:val="21"/>
          <w:szCs w:val="21"/>
          <w:highlight w:val="none"/>
        </w:rPr>
      </w:pPr>
    </w:p>
    <w:p w14:paraId="3F1EA6EE">
      <w:pPr>
        <w:pStyle w:val="33"/>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highlight w:val="none"/>
        </w:rPr>
      </w:pPr>
      <w:bookmarkStart w:id="36" w:name="_Toc357"/>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16069"/>
      <w:bookmarkStart w:id="38" w:name="_Toc55466811"/>
      <w:bookmarkStart w:id="39" w:name="_Toc29381_WPSOffice_Level2"/>
      <w:bookmarkStart w:id="40" w:name="_Toc26656928"/>
      <w:bookmarkStart w:id="41" w:name="_Toc19501"/>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ascii="Times New Roman" w:hAnsi="Times New Roman"/>
                <w:color w:val="auto"/>
                <w:sz w:val="21"/>
                <w:szCs w:val="22"/>
                <w:highlight w:val="none"/>
                <w:lang w:val="en-US" w:eastAsia="zh-CN"/>
              </w:rPr>
              <w:t>预</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hAnsi="Times New Roman"/>
                <w:color w:val="auto"/>
                <w:sz w:val="21"/>
                <w:szCs w:val="22"/>
                <w:highlight w:val="none"/>
                <w:lang w:val="en-US" w:eastAsia="zh-CN"/>
              </w:rPr>
              <w:t>预</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hAnsi="Times New Roman"/>
                <w:color w:val="auto"/>
                <w:sz w:val="21"/>
                <w:szCs w:val="22"/>
                <w:highlight w:val="none"/>
                <w:lang w:val="en-US" w:eastAsia="zh-CN"/>
              </w:rPr>
              <w:t>预</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Times New Roman" w:hAnsi="Times New Roman"/>
                <w:color w:val="auto"/>
                <w:sz w:val="21"/>
                <w:szCs w:val="22"/>
                <w:highlight w:val="none"/>
                <w:lang w:val="en-US" w:eastAsia="zh-CN"/>
              </w:rPr>
              <w:t>预</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Times New Roman" w:hAnsi="Times New Roman"/>
                <w:color w:val="auto"/>
                <w:sz w:val="21"/>
                <w:szCs w:val="22"/>
                <w:highlight w:val="none"/>
                <w:lang w:val="en-US" w:eastAsia="zh-CN"/>
              </w:rPr>
              <w:t>预</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ascii="宋体" w:hAnsi="宋体" w:eastAsia="宋体"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w:t>
            </w:r>
            <w:r>
              <w:rPr>
                <w:rFonts w:hint="eastAsia"/>
                <w:b/>
                <w:bCs/>
                <w:color w:val="auto"/>
                <w:sz w:val="22"/>
                <w:szCs w:val="22"/>
                <w:highlight w:val="none"/>
                <w:lang w:val="en-US" w:eastAsia="zh-CN"/>
              </w:rPr>
              <w:t>预</w:t>
            </w:r>
            <w:r>
              <w:rPr>
                <w:rFonts w:hint="default"/>
                <w:b/>
                <w:bCs/>
                <w:color w:val="auto"/>
                <w:sz w:val="22"/>
                <w:szCs w:val="22"/>
                <w:highlight w:val="none"/>
              </w:rPr>
              <w:t>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w:t>
            </w:r>
            <w:r>
              <w:rPr>
                <w:rFonts w:hint="eastAsia" w:ascii="宋体" w:hAnsi="宋体" w:eastAsia="宋体" w:cs="宋体"/>
                <w:b/>
                <w:bCs/>
                <w:color w:val="auto"/>
                <w:sz w:val="22"/>
                <w:szCs w:val="22"/>
                <w:highlight w:val="none"/>
                <w:lang w:val="en-US" w:eastAsia="zh-CN"/>
              </w:rPr>
              <w:t>预</w:t>
            </w:r>
            <w:r>
              <w:rPr>
                <w:rFonts w:hint="eastAsia" w:ascii="宋体" w:hAnsi="宋体" w:eastAsia="宋体" w:cs="宋体"/>
                <w:b/>
                <w:bCs/>
                <w:color w:val="auto"/>
                <w:sz w:val="22"/>
                <w:szCs w:val="22"/>
                <w:highlight w:val="none"/>
                <w:lang w:eastAsia="zh-CN"/>
              </w:rPr>
              <w:t>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w:t>
            </w:r>
            <w:r>
              <w:rPr>
                <w:rFonts w:hint="eastAsia" w:ascii="Times New Roman" w:hAnsi="Times New Roman"/>
                <w:color w:val="auto"/>
                <w:sz w:val="21"/>
                <w:szCs w:val="22"/>
                <w:highlight w:val="none"/>
                <w:lang w:val="en-US" w:eastAsia="zh-CN"/>
              </w:rPr>
              <w:t>预</w:t>
            </w:r>
            <w:r>
              <w:rPr>
                <w:rFonts w:hint="eastAsia" w:eastAsia="宋体"/>
                <w:color w:val="auto"/>
                <w:sz w:val="22"/>
                <w:szCs w:val="22"/>
                <w:highlight w:val="none"/>
                <w:u w:val="none"/>
                <w:lang w:eastAsia="zh-CN"/>
              </w:rPr>
              <w:t>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bookmarkStart w:id="237" w:name="_GoBack" w:colFirst="1" w:colLast="2"/>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公示媒介：“安徽交控招采平台”（网址：zcpt.ahjkjt.com）、“安徽交控建设工程集团”（网址：www.ahjggroup.com）</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bookmarkEnd w:id="237"/>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的银行保函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5D80C0A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拟成交人须在采购人通知之日起</w:t>
            </w:r>
            <w:r>
              <w:rPr>
                <w:rFonts w:hint="eastAsia" w:ascii="宋体" w:hAnsi="宋体" w:eastAsia="宋体" w:cs="宋体"/>
                <w:color w:val="auto"/>
                <w:sz w:val="22"/>
                <w:szCs w:val="22"/>
                <w:highlight w:val="yellow"/>
                <w:u w:val="single"/>
                <w:lang w:val="en-US" w:eastAsia="zh-CN"/>
              </w:rPr>
              <w:t>3</w:t>
            </w:r>
            <w:r>
              <w:rPr>
                <w:rFonts w:hint="eastAsia" w:ascii="宋体" w:hAnsi="宋体" w:eastAsia="宋体" w:cs="宋体"/>
                <w:color w:val="auto"/>
                <w:sz w:val="22"/>
                <w:szCs w:val="22"/>
                <w:highlight w:val="yellow"/>
                <w:lang w:val="en-US" w:eastAsia="zh-CN"/>
              </w:rPr>
              <w:t xml:space="preserve">日内送样并经采购人确认、封样，如所送样品不符合产品要求或在供应过程中达不到采购人要求的：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9067720"/>
            <w:bookmarkStart w:id="43" w:name="_Toc26656938"/>
            <w:bookmarkStart w:id="44" w:name="_Toc14201207"/>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2CDCA5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46E39DD">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lang w:val="en-US" w:eastAsia="zh-CN"/>
              </w:rPr>
              <w:t>53</w:t>
            </w:r>
          </w:p>
        </w:tc>
        <w:tc>
          <w:tcPr>
            <w:tcW w:w="8540" w:type="dxa"/>
            <w:gridSpan w:val="2"/>
            <w:shd w:val="clear" w:color="auto" w:fill="auto"/>
            <w:vAlign w:val="center"/>
          </w:tcPr>
          <w:p w14:paraId="5F2BBD1E">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本次比选项目为我方的意向模拟项目,存在后期未竞得该项目的可能，根据可能发生的情况按下述两种执行。</w:t>
            </w:r>
          </w:p>
          <w:p w14:paraId="789C575E">
            <w:pPr>
              <w:keepNext w:val="0"/>
              <w:keepLines w:val="0"/>
              <w:numPr>
                <w:ilvl w:val="0"/>
                <w:numId w:val="0"/>
              </w:numPr>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kern w:val="2"/>
                <w:sz w:val="22"/>
                <w:szCs w:val="22"/>
                <w:highlight w:val="yellow"/>
                <w:lang w:val="en-US" w:eastAsia="zh-CN" w:bidi="ar-SA"/>
              </w:rPr>
              <w:t>1.</w:t>
            </w:r>
            <w:r>
              <w:rPr>
                <w:rFonts w:hint="eastAsia" w:ascii="宋体" w:hAnsi="宋体" w:eastAsia="宋体" w:cs="宋体"/>
                <w:b/>
                <w:bCs/>
                <w:color w:val="auto"/>
                <w:sz w:val="22"/>
                <w:szCs w:val="22"/>
                <w:highlight w:val="yellow"/>
                <w:lang w:val="en-US" w:eastAsia="zh-CN"/>
              </w:rPr>
              <w:t>若我方未竞得该项目，则执行本次比选项目终止，成交人视为无条件认同并接受本条款，不得以此进行索赔。</w:t>
            </w:r>
          </w:p>
          <w:p w14:paraId="5BBFFA55">
            <w:pPr>
              <w:keepNext w:val="0"/>
              <w:keepLines w:val="0"/>
              <w:numPr>
                <w:ilvl w:val="0"/>
                <w:numId w:val="0"/>
              </w:numPr>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kern w:val="2"/>
                <w:sz w:val="22"/>
                <w:szCs w:val="22"/>
                <w:highlight w:val="yellow"/>
                <w:lang w:val="en-US" w:eastAsia="zh-CN" w:bidi="ar-SA"/>
              </w:rPr>
            </w:pPr>
            <w:r>
              <w:rPr>
                <w:rFonts w:hint="eastAsia" w:ascii="宋体" w:hAnsi="宋体" w:eastAsia="宋体" w:cs="宋体"/>
                <w:b/>
                <w:bCs/>
                <w:color w:val="auto"/>
                <w:sz w:val="22"/>
                <w:szCs w:val="22"/>
                <w:highlight w:val="yellow"/>
                <w:lang w:val="en-US" w:eastAsia="zh-CN"/>
              </w:rPr>
              <w:t>2.若我方竞得该项目，则执行与本次比选项目成交人签订采购合同，按合同履约程序。</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54</w:t>
            </w:r>
          </w:p>
        </w:tc>
        <w:tc>
          <w:tcPr>
            <w:tcW w:w="8540" w:type="dxa"/>
            <w:gridSpan w:val="2"/>
            <w:vAlign w:val="center"/>
          </w:tcPr>
          <w:p w14:paraId="2A56C044">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1.自2025 年1月1日起计算，乙方须按累计供货金额每达800万，在甲方指定的交控建工集团任意开发或代建项目购买住宅1套、车位1个。1套住宅+1个车位预估价为80万元，购买人可为乙方或乙方指定的购买人。</w:t>
            </w:r>
          </w:p>
          <w:p w14:paraId="37BC4E51">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2.房屋认购应在累计供货额达到每800万后的60天内完成房屋认购，如乙方未在约定时间内完成房屋认购，乙方需向甲方支付累计供货价款10%的违约金，甲方有权直接从乙方未支付的货款中直接扣除。</w:t>
            </w:r>
          </w:p>
          <w:p w14:paraId="4197EF5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r w14:paraId="063243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582204F">
            <w:pPr>
              <w:keepNext w:val="0"/>
              <w:keepLines w:val="0"/>
              <w:suppressLineNumbers w:val="0"/>
              <w:spacing w:before="0" w:beforeAutospacing="0" w:after="0" w:afterAutospacing="0"/>
              <w:ind w:left="0" w:leftChars="0" w:right="0" w:rightChars="0"/>
              <w:jc w:val="center"/>
              <w:rPr>
                <w:rFonts w:hint="default" w:ascii="宋体" w:hAnsi="宋体" w:eastAsia="宋体" w:cs="宋体"/>
                <w:b/>
                <w:bCs/>
                <w:color w:val="auto"/>
                <w:sz w:val="22"/>
                <w:szCs w:val="22"/>
                <w:highlight w:val="yellow"/>
                <w:lang w:val="en-US" w:eastAsia="zh-CN"/>
              </w:rPr>
            </w:pPr>
            <w:r>
              <w:rPr>
                <w:rFonts w:hint="eastAsia"/>
                <w:b/>
                <w:bCs/>
                <w:color w:val="auto"/>
                <w:sz w:val="22"/>
                <w:szCs w:val="21"/>
                <w:highlight w:val="none"/>
                <w:lang w:val="en-US" w:eastAsia="zh-CN"/>
              </w:rPr>
              <w:t>55</w:t>
            </w:r>
          </w:p>
        </w:tc>
        <w:tc>
          <w:tcPr>
            <w:tcW w:w="8540" w:type="dxa"/>
            <w:gridSpan w:val="2"/>
            <w:vAlign w:val="center"/>
          </w:tcPr>
          <w:p w14:paraId="09F6FFF9">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1.采购代理服务费：拟成交人须在领取成交通知书前向采购人或采购代理机构支付代理服务费（¥：22300.00元 大写：贰万贰仟叁佰元整），此费用不进行单独报价，包含在总报价。</w:t>
            </w:r>
          </w:p>
          <w:p w14:paraId="39B06894">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2.以上相关费用，响应人在报价单中不单列，包含在响应总价中，采购人不再单独计量支付。</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w:t>
            </w: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日以来，单项合同额不低于</w:t>
            </w:r>
            <w:r>
              <w:rPr>
                <w:rFonts w:hint="eastAsia"/>
                <w:color w:val="auto"/>
                <w:highlight w:val="none"/>
                <w:u w:val="single"/>
                <w:lang w:val="en-US" w:eastAsia="zh-CN"/>
              </w:rPr>
              <w:t>50万</w:t>
            </w:r>
            <w:r>
              <w:rPr>
                <w:rFonts w:hint="eastAsia"/>
                <w:color w:val="auto"/>
                <w:highlight w:val="none"/>
                <w:lang w:val="en-US" w:eastAsia="zh-CN"/>
              </w:rPr>
              <w:t>元的</w:t>
            </w:r>
            <w:r>
              <w:rPr>
                <w:rFonts w:hint="eastAsia"/>
                <w:color w:val="auto"/>
                <w:highlight w:val="none"/>
                <w:u w:val="single"/>
                <w:lang w:val="en-US" w:eastAsia="zh-CN"/>
              </w:rPr>
              <w:t>物业设施类</w:t>
            </w:r>
            <w:r>
              <w:rPr>
                <w:rFonts w:hint="eastAsia"/>
                <w:color w:val="auto"/>
                <w:highlight w:val="none"/>
                <w:lang w:val="en-US" w:eastAsia="zh-CN"/>
              </w:rPr>
              <w:t>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09FA73C9">
      <w:pPr>
        <w:pStyle w:val="8"/>
        <w:rPr>
          <w:rFonts w:hint="eastAsia"/>
          <w:color w:val="auto"/>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olor w:val="auto"/>
          <w:sz w:val="21"/>
          <w:szCs w:val="22"/>
          <w:highlight w:val="none"/>
          <w:lang w:val="en-US" w:eastAsia="zh-CN"/>
        </w:rPr>
        <w:t>预</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olor w:val="auto"/>
          <w:sz w:val="21"/>
          <w:szCs w:val="22"/>
          <w:highlight w:val="none"/>
          <w:lang w:val="en-US" w:eastAsia="zh-CN"/>
        </w:rPr>
        <w:t>预</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olor w:val="auto"/>
          <w:sz w:val="21"/>
          <w:szCs w:val="22"/>
          <w:highlight w:val="none"/>
          <w:lang w:val="en-US" w:eastAsia="zh-CN"/>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olor w:val="auto"/>
          <w:sz w:val="21"/>
          <w:szCs w:val="22"/>
          <w:highlight w:val="none"/>
          <w:lang w:val="en-US" w:eastAsia="zh-CN"/>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olor w:val="auto"/>
          <w:sz w:val="21"/>
          <w:szCs w:val="22"/>
          <w:highlight w:val="none"/>
          <w:lang w:val="en-US" w:eastAsia="zh-CN"/>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olor w:val="auto"/>
          <w:sz w:val="21"/>
          <w:szCs w:val="22"/>
          <w:highlight w:val="none"/>
          <w:lang w:val="en-US" w:eastAsia="zh-CN"/>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2%</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5%</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26656984"/>
      <w:bookmarkStart w:id="46" w:name="_Toc14201253"/>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26656988"/>
      <w:bookmarkStart w:id="48" w:name="_Toc9067727"/>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14201263"/>
      <w:bookmarkStart w:id="53" w:name="_Toc9067731"/>
      <w:bookmarkStart w:id="54" w:name="_Toc26656994"/>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2E2898B1">
      <w:pPr>
        <w:pStyle w:val="8"/>
        <w:rPr>
          <w:rFonts w:hint="eastAsia"/>
          <w:color w:val="auto"/>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21179"/>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457482536"/>
      <w:bookmarkStart w:id="57" w:name="_Toc152042304"/>
      <w:bookmarkStart w:id="58" w:name="_Toc14847"/>
      <w:bookmarkStart w:id="59" w:name="_Toc152045528"/>
      <w:bookmarkStart w:id="60" w:name="_Toc447808662"/>
      <w:bookmarkStart w:id="61" w:name="_Toc144974496"/>
      <w:bookmarkStart w:id="62" w:name="_Toc3834"/>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724"/>
        <w:gridCol w:w="6430"/>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57"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70"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72" w:type="pct"/>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957" w:type="pct"/>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3570" w:type="pct"/>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60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8 </w:t>
            </w:r>
            <w:r>
              <w:rPr>
                <w:rFonts w:hint="eastAsia" w:ascii="宋体" w:hAnsi="宋体" w:cs="宋体"/>
                <w:color w:val="auto"/>
                <w:sz w:val="21"/>
                <w:szCs w:val="24"/>
                <w:highlight w:val="none"/>
              </w:rPr>
              <w:t>分</w:t>
            </w:r>
          </w:p>
          <w:p w14:paraId="265BFC5D">
            <w:pPr>
              <w:pStyle w:val="8"/>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lang w:val="en-US" w:eastAsia="zh-CN"/>
              </w:rPr>
              <w:t>8</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2" w:type="pct"/>
            <w:vAlign w:val="center"/>
          </w:tcPr>
          <w:p w14:paraId="65831E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lang w:val="en-US" w:eastAsia="zh-CN"/>
              </w:rPr>
            </w:pPr>
            <w:r>
              <w:rPr>
                <w:rFonts w:hint="eastAsia" w:ascii="宋体" w:hAnsi="宋体" w:eastAsia="宋体" w:cs="宋体"/>
                <w:color w:val="auto"/>
                <w:kern w:val="0"/>
                <w:sz w:val="21"/>
                <w:szCs w:val="21"/>
                <w:highlight w:val="none"/>
                <w:lang w:val="en-US" w:eastAsia="zh-CN" w:bidi="ar"/>
              </w:rPr>
              <w:t>3</w:t>
            </w:r>
          </w:p>
        </w:tc>
        <w:tc>
          <w:tcPr>
            <w:tcW w:w="957" w:type="pct"/>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3570" w:type="pct"/>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6731446D">
      <w:pPr>
        <w:rPr>
          <w:rFonts w:hint="eastAsia" w:ascii="黑体" w:eastAsia="黑体"/>
          <w:color w:val="auto"/>
          <w:sz w:val="21"/>
          <w:szCs w:val="21"/>
          <w:highlight w:val="none"/>
          <w:lang w:val="en-US" w:eastAsia="zh-CN"/>
        </w:rPr>
      </w:pPr>
    </w:p>
    <w:tbl>
      <w:tblPr>
        <w:tblStyle w:val="21"/>
        <w:tblW w:w="5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2"/>
        <w:gridCol w:w="1662"/>
        <w:gridCol w:w="5558"/>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85"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1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20"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77"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85"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1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20"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60 </w:t>
            </w:r>
            <w:r>
              <w:rPr>
                <w:rFonts w:hint="eastAsia" w:ascii="宋体" w:hAnsi="宋体" w:cs="宋体"/>
                <w:color w:val="auto"/>
                <w:sz w:val="21"/>
                <w:szCs w:val="21"/>
                <w:highlight w:val="none"/>
              </w:rPr>
              <w:t>分）</w:t>
            </w:r>
          </w:p>
        </w:tc>
        <w:tc>
          <w:tcPr>
            <w:tcW w:w="3077"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45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50万</w:t>
            </w:r>
            <w:r>
              <w:rPr>
                <w:rFonts w:hint="eastAsia" w:ascii="宋体" w:hAnsi="宋体" w:cs="宋体"/>
                <w:color w:val="auto"/>
                <w:sz w:val="21"/>
                <w:szCs w:val="24"/>
                <w:highlight w:val="none"/>
              </w:rPr>
              <w:t>及以上的</w:t>
            </w:r>
            <w:r>
              <w:rPr>
                <w:rFonts w:hint="eastAsia" w:ascii="宋体" w:hAnsi="宋体" w:cs="宋体"/>
                <w:color w:val="auto"/>
                <w:sz w:val="21"/>
                <w:szCs w:val="24"/>
                <w:highlight w:val="none"/>
                <w:u w:val="single"/>
                <w:lang w:val="en-US" w:eastAsia="zh-CN"/>
              </w:rPr>
              <w:t>物业设施类</w:t>
            </w:r>
            <w:r>
              <w:rPr>
                <w:rFonts w:hint="eastAsia" w:ascii="宋体" w:hAnsi="宋体" w:cs="宋体"/>
                <w:color w:val="auto"/>
                <w:sz w:val="21"/>
                <w:szCs w:val="24"/>
                <w:highlight w:val="none"/>
                <w:u w:val="none"/>
                <w:lang w:val="en-US" w:eastAsia="zh-CN"/>
              </w:rPr>
              <w:t>合同</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60</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85"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1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20"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77"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BA79F9B">
            <w:pPr>
              <w:pStyle w:val="7"/>
              <w:keepNext w:val="0"/>
              <w:keepLines w:val="0"/>
              <w:suppressLineNumbers w:val="0"/>
              <w:spacing w:before="0" w:beforeAutospacing="0" w:after="0" w:afterAutospacing="0"/>
              <w:ind w:left="0" w:right="0"/>
              <w:rPr>
                <w:rFonts w:hint="eastAsia"/>
                <w:color w:val="auto"/>
                <w:highlight w:val="yellow"/>
                <w:lang w:eastAsia="zh-CN"/>
              </w:rPr>
            </w:pPr>
            <w:r>
              <w:rPr>
                <w:rFonts w:hint="eastAsia"/>
                <w:color w:val="auto"/>
                <w:highlight w:val="yellow"/>
                <w:lang w:val="en-US" w:eastAsia="zh-CN"/>
              </w:rPr>
              <w:t>注：经销商/代理商参与的需要提供产品生产厂家授权文件。</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85"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1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20" w:type="pct"/>
            <w:shd w:val="clear" w:color="auto" w:fill="auto"/>
            <w:vAlign w:val="center"/>
          </w:tcPr>
          <w:p w14:paraId="0FFC4C0C">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4CD1C9F8">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8</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77" w:type="pct"/>
            <w:shd w:val="clear" w:color="auto" w:fill="auto"/>
            <w:vAlign w:val="center"/>
          </w:tcPr>
          <w:p w14:paraId="0C475E43">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安装供货方案合理,对项目关键技术主要施工艺有深入的表述,对重点、难点问题有合理化建议解决方案完整、经济、安全、切实可行,措施得力，评委综合评分，优秀的得8-6分；一般的得5-3分，较差得基础分2分，未提供不得分。</w:t>
            </w:r>
            <w:r>
              <w:rPr>
                <w:rFonts w:hint="eastAsia" w:ascii="宋体" w:hAnsi="宋体" w:cs="宋体"/>
                <w:color w:val="auto"/>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85"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1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20"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8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3077" w:type="pct"/>
            <w:shd w:val="clear" w:color="auto" w:fill="auto"/>
            <w:vAlign w:val="center"/>
          </w:tcPr>
          <w:p w14:paraId="3686DE7B">
            <w:pPr>
              <w:pStyle w:val="9"/>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优秀的得8-6分；一般的得5-3分，较差得基础分2分，未提供不得分。</w:t>
            </w:r>
            <w:r>
              <w:rPr>
                <w:rFonts w:hint="eastAsia" w:ascii="宋体" w:hAnsi="宋体" w:cs="宋体"/>
                <w:color w:val="auto"/>
                <w:sz w:val="21"/>
                <w:szCs w:val="21"/>
                <w:highlight w:val="none"/>
                <w:lang w:bidi="ar"/>
              </w:rPr>
              <w:t xml:space="preserve">  </w:t>
            </w:r>
          </w:p>
        </w:tc>
      </w:tr>
    </w:tbl>
    <w:p w14:paraId="5218B9B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2179"/>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color w:val="auto"/>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0554ABED">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1.产品全部供货到现场经甲方指定验收人验收合格并办理完成结算手续后，甲方向乙方支付至结算价的97%。</w:t>
      </w:r>
    </w:p>
    <w:p w14:paraId="41B93CA0">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2.剩余3%作为质保金，在缺陷责任期结束后，无质量问题一次性无息支付。</w:t>
      </w:r>
    </w:p>
    <w:p w14:paraId="593239E6">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3.成交公示后，在合同签订前，乙方需向甲方支付合同总价2%的履约保证金或提供合同总价5%的银行保函。</w:t>
      </w:r>
    </w:p>
    <w:p w14:paraId="6EE82BA2">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2CCBA88F">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5.乙方应当向甲方提供符合甲方财务要求的国家税务局13%增值税专用发票，发票需要做到“三流一致”，也即“货物、劳务及应税服务流”、“资金流”、“发票流”必须都是同一受票方。</w:t>
      </w:r>
    </w:p>
    <w:p w14:paraId="1F3E2EDF">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双方特别约定：遵循“先开票、后付款”的原则，甲方付款前，乙方应按双方确认的应付金额向甲方提供增值税专用发票，并于发票开具后7日内提交给甲方。甲方收到乙方发票后，按合同约定向乙方付款，否则甲方有权迟延付款。</w:t>
      </w:r>
    </w:p>
    <w:p w14:paraId="58C23EC4">
      <w:pPr>
        <w:wordWrap w:val="0"/>
        <w:spacing w:line="560" w:lineRule="exact"/>
        <w:ind w:firstLine="560" w:firstLineChars="200"/>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7.如甲方出现资金困难，乙方同意给予1个月的付款宽限期，在此宽限期间内不视为甲方违约且不计息，乙方不得以此为由中断本项目的货物供应和安装。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8"/>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8"/>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7.乙方应按合同约定及时向甲方提供增值税专用发票，逾期提供的，每逾期一天，乙方应向甲方支付违约金</w:t>
      </w:r>
      <w:permStart w:id="8"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8"/>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7DF6374D">
      <w:pPr>
        <w:pStyle w:val="8"/>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13E2C6B5">
      <w:pPr>
        <w:pStyle w:val="8"/>
        <w:bidi w:val="0"/>
        <w:rPr>
          <w:rFonts w:hint="eastAsia"/>
          <w:color w:val="auto"/>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9"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8"/>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9"/>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0"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0"/>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4"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8"/>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CC96791">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6" w:edGrp="everyone"/>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
    <w:permEnd w:id="16"/>
    <w:p w14:paraId="61702EFC">
      <w:pPr>
        <w:rPr>
          <w:color w:val="auto"/>
        </w:rPr>
      </w:pPr>
    </w:p>
    <w:p w14:paraId="1A2DB473">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2A3C4900">
      <w:pPr>
        <w:pStyle w:val="33"/>
        <w:jc w:val="center"/>
        <w:rPr>
          <w:rFonts w:hint="eastAsia" w:ascii="宋体" w:hAnsi="宋体" w:eastAsia="宋体" w:cs="宋体"/>
          <w:b/>
          <w:bCs/>
          <w:color w:val="auto"/>
          <w:sz w:val="28"/>
          <w:szCs w:val="28"/>
          <w:highlight w:val="none"/>
          <w:lang w:val="en-US" w:eastAsia="zh-CN"/>
        </w:rPr>
      </w:pPr>
    </w:p>
    <w:p w14:paraId="1759D57E">
      <w:pPr>
        <w:pStyle w:val="33"/>
        <w:jc w:val="center"/>
        <w:rPr>
          <w:rFonts w:hint="eastAsia" w:ascii="宋体" w:hAnsi="宋体" w:eastAsia="宋体" w:cs="宋体"/>
          <w:b/>
          <w:bCs/>
          <w:color w:val="auto"/>
          <w:sz w:val="28"/>
          <w:szCs w:val="28"/>
          <w:highlight w:val="none"/>
          <w:lang w:val="en-US" w:eastAsia="zh-CN"/>
        </w:rPr>
      </w:pPr>
    </w:p>
    <w:p w14:paraId="4C149A90">
      <w:pPr>
        <w:pStyle w:val="33"/>
        <w:jc w:val="center"/>
        <w:rPr>
          <w:rFonts w:hint="eastAsia" w:ascii="宋体" w:hAnsi="宋体" w:eastAsia="宋体" w:cs="宋体"/>
          <w:b/>
          <w:bCs/>
          <w:color w:val="auto"/>
          <w:sz w:val="28"/>
          <w:szCs w:val="28"/>
          <w:highlight w:val="none"/>
          <w:lang w:val="en-US" w:eastAsia="zh-CN"/>
        </w:rPr>
      </w:pPr>
    </w:p>
    <w:p w14:paraId="1CB452E7">
      <w:pPr>
        <w:pStyle w:val="33"/>
        <w:jc w:val="center"/>
        <w:rPr>
          <w:rFonts w:hint="eastAsia" w:ascii="宋体" w:hAnsi="宋体" w:eastAsia="宋体" w:cs="宋体"/>
          <w:b/>
          <w:bCs/>
          <w:color w:val="auto"/>
          <w:sz w:val="28"/>
          <w:szCs w:val="28"/>
          <w:highlight w:val="none"/>
          <w:lang w:val="en-US" w:eastAsia="zh-CN"/>
        </w:rPr>
      </w:pPr>
    </w:p>
    <w:p w14:paraId="563846A0">
      <w:pPr>
        <w:pStyle w:val="33"/>
        <w:jc w:val="center"/>
        <w:rPr>
          <w:rFonts w:hint="eastAsia" w:ascii="宋体" w:hAnsi="宋体" w:eastAsia="宋体" w:cs="宋体"/>
          <w:b/>
          <w:bCs/>
          <w:color w:val="auto"/>
          <w:sz w:val="28"/>
          <w:szCs w:val="28"/>
          <w:highlight w:val="none"/>
          <w:lang w:val="en-US" w:eastAsia="zh-CN"/>
        </w:rPr>
      </w:pPr>
    </w:p>
    <w:p w14:paraId="22ED5897">
      <w:pPr>
        <w:pStyle w:val="33"/>
        <w:jc w:val="center"/>
        <w:rPr>
          <w:rFonts w:hint="eastAsia" w:ascii="宋体" w:hAnsi="宋体" w:eastAsia="宋体" w:cs="宋体"/>
          <w:b/>
          <w:bCs/>
          <w:color w:val="auto"/>
          <w:sz w:val="28"/>
          <w:szCs w:val="28"/>
          <w:highlight w:val="none"/>
          <w:lang w:val="en-US" w:eastAsia="zh-CN"/>
        </w:rPr>
      </w:pPr>
    </w:p>
    <w:p w14:paraId="118749DD">
      <w:pPr>
        <w:pStyle w:val="33"/>
        <w:jc w:val="center"/>
        <w:rPr>
          <w:rFonts w:hint="eastAsia" w:ascii="宋体" w:hAnsi="宋体" w:eastAsia="宋体" w:cs="宋体"/>
          <w:b/>
          <w:bCs/>
          <w:color w:val="auto"/>
          <w:sz w:val="28"/>
          <w:szCs w:val="28"/>
          <w:highlight w:val="none"/>
          <w:lang w:val="en-US" w:eastAsia="zh-CN"/>
        </w:rPr>
      </w:pPr>
    </w:p>
    <w:p w14:paraId="608E972F">
      <w:pPr>
        <w:pStyle w:val="33"/>
        <w:jc w:val="center"/>
        <w:rPr>
          <w:rFonts w:hint="eastAsia" w:ascii="宋体" w:hAnsi="宋体" w:eastAsia="宋体" w:cs="宋体"/>
          <w:b/>
          <w:bCs/>
          <w:color w:val="auto"/>
          <w:sz w:val="28"/>
          <w:szCs w:val="28"/>
          <w:highlight w:val="none"/>
          <w:lang w:val="en-US" w:eastAsia="zh-CN"/>
        </w:rPr>
      </w:pPr>
    </w:p>
    <w:p w14:paraId="3F970EF5">
      <w:pPr>
        <w:pStyle w:val="33"/>
        <w:jc w:val="center"/>
        <w:rPr>
          <w:rFonts w:hint="eastAsia" w:ascii="宋体" w:hAnsi="宋体" w:eastAsia="宋体" w:cs="宋体"/>
          <w:b/>
          <w:bCs/>
          <w:color w:val="auto"/>
          <w:sz w:val="28"/>
          <w:szCs w:val="28"/>
          <w:highlight w:val="none"/>
          <w:lang w:val="en-US" w:eastAsia="zh-CN"/>
        </w:rPr>
      </w:pPr>
    </w:p>
    <w:p w14:paraId="57B018B5">
      <w:pPr>
        <w:pStyle w:val="33"/>
        <w:jc w:val="center"/>
        <w:rPr>
          <w:rFonts w:hint="eastAsia" w:ascii="宋体" w:hAnsi="宋体" w:eastAsia="宋体" w:cs="宋体"/>
          <w:b/>
          <w:bCs/>
          <w:color w:val="auto"/>
          <w:sz w:val="28"/>
          <w:szCs w:val="28"/>
          <w:highlight w:val="none"/>
          <w:lang w:val="en-US" w:eastAsia="zh-CN"/>
        </w:rPr>
      </w:pPr>
    </w:p>
    <w:p w14:paraId="65A8F7E8">
      <w:pPr>
        <w:pStyle w:val="33"/>
        <w:jc w:val="center"/>
        <w:rPr>
          <w:rFonts w:hint="eastAsia" w:ascii="宋体" w:hAnsi="宋体" w:eastAsia="宋体" w:cs="宋体"/>
          <w:b/>
          <w:bCs/>
          <w:color w:val="auto"/>
          <w:sz w:val="28"/>
          <w:szCs w:val="28"/>
          <w:highlight w:val="none"/>
          <w:lang w:val="en-US" w:eastAsia="zh-CN"/>
        </w:rPr>
      </w:pPr>
    </w:p>
    <w:p w14:paraId="0E8C267E">
      <w:pPr>
        <w:pStyle w:val="33"/>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4" w:name="_Toc31295"/>
      <w:r>
        <w:rPr>
          <w:rFonts w:hint="eastAsia" w:ascii="Times New Roman" w:hAnsi="Times New Roman" w:eastAsia="宋体" w:cs="Times New Roman"/>
          <w:color w:val="auto"/>
          <w:highlight w:val="none"/>
          <w:lang w:val="en-US" w:eastAsia="zh-CN"/>
        </w:rPr>
        <w:t xml:space="preserve">第五章 </w:t>
      </w:r>
      <w:bookmarkStart w:id="65" w:name="_Toc25485"/>
      <w:bookmarkStart w:id="66" w:name="_Toc31285"/>
      <w:r>
        <w:rPr>
          <w:rFonts w:hint="eastAsia" w:ascii="Times New Roman" w:hAnsi="Times New Roman" w:eastAsia="宋体" w:cs="Times New Roman"/>
          <w:color w:val="auto"/>
          <w:highlight w:val="none"/>
          <w:lang w:val="en-US" w:eastAsia="zh-CN"/>
        </w:rPr>
        <w:t>采购需求及清单</w:t>
      </w:r>
      <w:bookmarkEnd w:id="64"/>
      <w:bookmarkEnd w:id="65"/>
      <w:bookmarkEnd w:id="66"/>
    </w:p>
    <w:p w14:paraId="59E52AAF">
      <w:pPr>
        <w:pStyle w:val="19"/>
        <w:numPr>
          <w:ilvl w:val="0"/>
          <w:numId w:val="0"/>
        </w:numPr>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一、供货要求</w:t>
      </w:r>
    </w:p>
    <w:p w14:paraId="1DF11D0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中标人应严格按照技术要求和国家、部(专业)有关标准生产和检验，确保产品质量。并且完全符合合同规定的质量、规格和性能的要求，并保证产品是全新的、未使用的。</w:t>
      </w:r>
    </w:p>
    <w:p w14:paraId="18A367B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中标人保证产品的性能和质量，并在其使用寿命内应具有满意的性能。</w:t>
      </w:r>
    </w:p>
    <w:p w14:paraId="043ED4D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中标人对产品的质量应按国家和部(专业)颁布的质量标准或验收规范进行验收。</w:t>
      </w:r>
    </w:p>
    <w:p w14:paraId="7D0A205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在产品使用期内，如因招标人使用不当和保管不善造成的问题，中标人应配合解决，但费用由招标人负担。</w:t>
      </w:r>
    </w:p>
    <w:p w14:paraId="739111B3">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质量保证期内如发生由于制造、工艺或材料缺陷而造成的质量问题，中标人在接到招标人书面通知 1日内(以发出日期为准)给予答复，如果中标人对招标人提出的索赔负有责任，中标人应负责修理、更换 或退货，并承担由此发生的一切损失和费用。如逾期不予答复和处理，则视为上述索赔已被接受，中标 人应承担由此发生的一切损失和费用。</w:t>
      </w:r>
    </w:p>
    <w:p w14:paraId="6EC98043">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售后服务要求：</w:t>
      </w:r>
    </w:p>
    <w:p w14:paraId="72B40E9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 卖方负责对招标人操作人员进行免费的培训(培训费均已包含在合同总价中);</w:t>
      </w:r>
    </w:p>
    <w:p w14:paraId="301CCB0D">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在质保期内，卖方对合同约定的质量标准、技术标准负责，在此期间非买方原因出现的货物问题，卖方对货物问题及时提供服务，免费维修、更换损坏部件，并承担由此产生的一切损失；出现问题，服务必须做到24小时服务，省内有维保点的6小时内赶到现场，省内无维保点的12小时内赶到现 场，并连续进行直至修复。在上述时限内卖方未赶到，买方可采取必要的补救措施，但其风险和费用由卖方全额承担，买方按合同规定，对卖方行使的其他权利不受影响在质保期外使用寿命内(请注明使用寿命)供方对设备提供终身服务，且对设备的维修只收取材料成本费。</w:t>
      </w:r>
    </w:p>
    <w:p w14:paraId="09FE0037">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中标人提交一份有关质保及售后服务承诺书，至少包括下列内容：</w:t>
      </w:r>
    </w:p>
    <w:p w14:paraId="644C8AE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(1)详细列明供应的货物保修、保养服务的内容、方法和提供的优惠条件。</w:t>
      </w:r>
    </w:p>
    <w:p w14:paraId="3B985E9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设备材料规格及具体质量要求</w:t>
      </w:r>
    </w:p>
    <w:p w14:paraId="6336658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详见采购及安装项目清单中材质、规格、尺寸等相关要求。</w:t>
      </w:r>
    </w:p>
    <w:p w14:paraId="39BB92C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投标人必须对招标文件中所提要求逐项做出实质性应答，任何差异必须列表说明。招标人只接受等同于或优于本技术规格书规定的技术指标和所使用的标准。</w:t>
      </w:r>
    </w:p>
    <w:p w14:paraId="215F556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提供的货物须包括以下工作服务但不仅限于以下内容：</w:t>
      </w:r>
    </w:p>
    <w:p w14:paraId="3F1183F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中标人按需方的需要完成货物的生产和细化及深化设计(制作详图)。供方须委派有三年以上专业经验的家具制作设计师，负责与室内设计师及供方进行协商。对细节及装配图作出深化和确定，深化设计(制作详图)需由需方和室内设计师签字确认；供方按需方和室内设计师签字确认的深化设计 (制造详图)生产前，所有家具的尺寸必须到现场复核，如现场尺寸、数量有较大变化时以现场实地测量为准，若供方未根据现场情况调整复核的尺寸造成的损失，责任由供方负责：深化设计图(制作详 图)经需方和室内设计师签字认可后，方可进行生产。</w:t>
      </w:r>
    </w:p>
    <w:p w14:paraId="6C134DF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供方须积极配合需方在所有家具正式生产前的样品打样工作，打样的货物由需方和室内设计师进行验收确认，如打样的货物不能满足需方要求或验收不合格，供方应重新打样，直至满足需方的要求为止，一切费用由供方负责。通过验收的打样样品作为最终验收的依据。</w:t>
      </w:r>
    </w:p>
    <w:p w14:paraId="383339DA">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(3)按需方认可的方案进行货物的</w:t>
      </w:r>
      <w:r>
        <w:rPr>
          <w:rFonts w:hint="eastAsia" w:ascii="宋体" w:hAnsi="宋体" w:cs="宋体"/>
          <w:color w:val="auto"/>
          <w:sz w:val="24"/>
          <w:szCs w:val="24"/>
          <w:highlight w:val="none"/>
          <w:lang w:val="en-US" w:eastAsia="zh-CN"/>
        </w:rPr>
        <w:t>打包</w:t>
      </w:r>
      <w:r>
        <w:rPr>
          <w:rFonts w:hint="eastAsia" w:ascii="宋体" w:hAnsi="宋体" w:cs="宋体"/>
          <w:color w:val="auto"/>
          <w:sz w:val="24"/>
          <w:szCs w:val="24"/>
          <w:highlight w:val="none"/>
        </w:rPr>
        <w:t>，运输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到货就位</w:t>
      </w:r>
      <w:r>
        <w:rPr>
          <w:rFonts w:hint="eastAsia" w:ascii="宋体" w:hAnsi="宋体" w:cs="宋体"/>
          <w:color w:val="auto"/>
          <w:sz w:val="24"/>
          <w:szCs w:val="24"/>
          <w:highlight w:val="none"/>
        </w:rPr>
        <w:t>。</w:t>
      </w:r>
    </w:p>
    <w:p w14:paraId="611D8A0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(4)运输：货物运输并卸至需方指定地点。</w:t>
      </w:r>
    </w:p>
    <w:p w14:paraId="27AD098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(5)按采购人指定位置和要求完成安装就位(安装所需的设备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工具、脚手架、水电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总包配合费等所有与完成采购有关的费用应包含在投标报价中)。</w:t>
      </w:r>
    </w:p>
    <w:p w14:paraId="70A3B95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(6)在货物就位、</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之前须提供详细的构造图</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使用操作说明书。</w:t>
      </w:r>
    </w:p>
    <w:p w14:paraId="249B855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中标后，供方提供深化设计方案时明确具体的款式及材质等，并经需方认可，按需方认可的设计方案供费，根据家具生产要求的物料清单，在采购前向需方及室内设计师呈相关样品并得到认可后，确保在材料上达到设计的意图及效果，且必须按照设计的要求选用材质及配件进行生产，但中标单价不予调整，此风险投标人在投标报价中自行考虑。</w:t>
      </w:r>
    </w:p>
    <w:p w14:paraId="75C27A2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(8)所供货物通过有关部门的检验和试验。并承担所需费用。</w:t>
      </w:r>
    </w:p>
    <w:p w14:paraId="685AF07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(9)需方如需做第三方检测，检测合格检测费由需方负责，但检测材料须由供方免费提供；如检测不合格，一切费用由供方负责。</w:t>
      </w:r>
    </w:p>
    <w:p w14:paraId="28F8D25C">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(10)供方必须负责所提供的产品通过相关部门组织的验收，直至取得验收证书。验收费用包含在投标总价中。</w:t>
      </w:r>
    </w:p>
    <w:p w14:paraId="318768E3">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上述标准、规范及规程仅是本工程的最基本依据，并未包括实施中所涉及的所有标准、规范和规程，且这些标准、规范和规程均应为合同签订之日为止时的最新版本，不限制投标人使用国家现行有效 的其他与本次比选货物有关的制造、安装的标准及规范。</w:t>
      </w:r>
    </w:p>
    <w:p w14:paraId="27F3BEE6">
      <w:pPr>
        <w:pStyle w:val="19"/>
        <w:numPr>
          <w:ilvl w:val="0"/>
          <w:numId w:val="0"/>
        </w:numPr>
        <w:jc w:val="both"/>
        <w:rPr>
          <w:rFonts w:hint="eastAsia" w:ascii="宋体" w:hAnsi="宋体" w:cs="宋体"/>
          <w:b/>
          <w:color w:val="auto"/>
          <w:sz w:val="21"/>
          <w:szCs w:val="21"/>
          <w:highlight w:val="none"/>
        </w:rPr>
      </w:pPr>
    </w:p>
    <w:p w14:paraId="4FA5350D">
      <w:pPr>
        <w:pStyle w:val="19"/>
        <w:numPr>
          <w:ilvl w:val="0"/>
          <w:numId w:val="0"/>
        </w:numPr>
        <w:jc w:val="both"/>
        <w:rPr>
          <w:rFonts w:hint="eastAsia" w:ascii="宋体" w:hAnsi="宋体" w:cs="宋体"/>
          <w:b/>
          <w:color w:val="auto"/>
          <w:sz w:val="21"/>
          <w:szCs w:val="21"/>
          <w:highlight w:val="none"/>
        </w:rPr>
      </w:pPr>
    </w:p>
    <w:p w14:paraId="45C5A6E3">
      <w:pPr>
        <w:pStyle w:val="19"/>
        <w:numPr>
          <w:ilvl w:val="0"/>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8"/>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保险、卸货叉车费（如有）、人工费、卸车费、利润、税费等相关费用。</w:t>
      </w:r>
    </w:p>
    <w:p w14:paraId="75C3E3C7">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3861E4F0">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4C3D331D">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442FF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41DC54C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68190187">
      <w:pPr>
        <w:snapToGrid w:val="0"/>
        <w:spacing w:line="400" w:lineRule="exact"/>
        <w:ind w:firstLine="480" w:firstLineChars="200"/>
        <w:jc w:val="left"/>
        <w:rPr>
          <w:rFonts w:hint="eastAsia" w:ascii="宋体" w:hAnsi="宋体" w:cs="宋体"/>
          <w:color w:val="auto"/>
          <w:sz w:val="24"/>
          <w:szCs w:val="24"/>
          <w:highlight w:val="none"/>
        </w:rPr>
      </w:pP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32999A66">
      <w:pPr>
        <w:bidi w:val="0"/>
        <w:rPr>
          <w:rFonts w:hint="eastAsia"/>
          <w:color w:val="auto"/>
          <w:highlight w:val="none"/>
          <w:lang w:val="en-US" w:eastAsia="zh-CN"/>
        </w:rPr>
      </w:pPr>
    </w:p>
    <w:p w14:paraId="6DE98ECD">
      <w:pPr>
        <w:bidi w:val="0"/>
        <w:rPr>
          <w:rFonts w:hint="eastAsia"/>
          <w:color w:val="auto"/>
          <w:highlight w:val="none"/>
          <w:lang w:val="en-US" w:eastAsia="zh-CN"/>
        </w:rPr>
      </w:pPr>
    </w:p>
    <w:p w14:paraId="6BA8E068">
      <w:pPr>
        <w:bidi w:val="0"/>
        <w:rPr>
          <w:rFonts w:hint="eastAsia"/>
          <w:color w:val="auto"/>
          <w:highlight w:val="none"/>
          <w:lang w:val="en-US" w:eastAsia="zh-CN"/>
        </w:rPr>
      </w:pPr>
    </w:p>
    <w:p w14:paraId="62C332DD">
      <w:pPr>
        <w:bidi w:val="0"/>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31359"/>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8"/>
        <w:rPr>
          <w:rFonts w:hint="eastAsia" w:ascii="方正小标宋简体" w:hAnsi="方正小标宋简体" w:eastAsia="方正小标宋简体" w:cs="方正小标宋简体"/>
          <w:color w:val="auto"/>
          <w:kern w:val="2"/>
          <w:sz w:val="44"/>
          <w:szCs w:val="44"/>
          <w:highlight w:val="none"/>
          <w:u w:val="single"/>
        </w:rPr>
      </w:pPr>
    </w:p>
    <w:p w14:paraId="3514E7CF">
      <w:pPr>
        <w:pStyle w:val="9"/>
        <w:rPr>
          <w:rFonts w:hint="eastAsia" w:ascii="方正小标宋简体" w:hAnsi="方正小标宋简体" w:eastAsia="方正小标宋简体" w:cs="方正小标宋简体"/>
          <w:color w:val="auto"/>
          <w:kern w:val="2"/>
          <w:sz w:val="44"/>
          <w:szCs w:val="44"/>
          <w:highlight w:val="none"/>
          <w:u w:val="single"/>
        </w:rPr>
      </w:pPr>
    </w:p>
    <w:p w14:paraId="367D7D36">
      <w:pPr>
        <w:pStyle w:val="10"/>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8"/>
        <w:rPr>
          <w:rFonts w:hint="eastAsia" w:ascii="方正小标宋简体" w:hAnsi="方正小标宋简体" w:eastAsia="方正小标宋简体" w:cs="方正小标宋简体"/>
          <w:color w:val="auto"/>
          <w:kern w:val="2"/>
          <w:sz w:val="44"/>
          <w:szCs w:val="44"/>
          <w:highlight w:val="none"/>
          <w:u w:val="single"/>
        </w:rPr>
      </w:pPr>
    </w:p>
    <w:p w14:paraId="01B234F1">
      <w:pPr>
        <w:pStyle w:val="9"/>
        <w:rPr>
          <w:rFonts w:hint="eastAsia" w:ascii="方正小标宋简体" w:hAnsi="方正小标宋简体" w:eastAsia="方正小标宋简体" w:cs="方正小标宋简体"/>
          <w:color w:val="auto"/>
          <w:kern w:val="2"/>
          <w:sz w:val="44"/>
          <w:szCs w:val="44"/>
          <w:highlight w:val="none"/>
          <w:u w:val="single"/>
        </w:rPr>
      </w:pPr>
    </w:p>
    <w:p w14:paraId="7646EDF7">
      <w:pPr>
        <w:pStyle w:val="10"/>
        <w:rPr>
          <w:rFonts w:hint="eastAsia" w:ascii="方正小标宋简体" w:hAnsi="方正小标宋简体" w:eastAsia="方正小标宋简体" w:cs="方正小标宋简体"/>
          <w:color w:val="auto"/>
          <w:kern w:val="2"/>
          <w:sz w:val="44"/>
          <w:szCs w:val="44"/>
          <w:highlight w:val="none"/>
          <w:u w:val="single"/>
        </w:rPr>
      </w:pPr>
    </w:p>
    <w:p w14:paraId="678919D1">
      <w:pPr>
        <w:jc w:val="both"/>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7083712D">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安徽省交通控股集团有限公司2025年度</w:t>
      </w:r>
    </w:p>
    <w:p w14:paraId="2477EB13">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新建改建路段服务区物业设施</w:t>
      </w:r>
    </w:p>
    <w:p w14:paraId="6FD6637F">
      <w:pPr>
        <w:jc w:val="center"/>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采购及安装项目</w:t>
      </w: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69" w:name="_Toc11988"/>
      <w:bookmarkStart w:id="70" w:name="_Toc4567"/>
      <w:bookmarkStart w:id="71" w:name="_Toc10074"/>
      <w:bookmarkStart w:id="72" w:name="_Toc11846"/>
      <w:bookmarkStart w:id="73" w:name="_Toc20091"/>
      <w:bookmarkStart w:id="74" w:name="_Toc2527"/>
      <w:bookmarkStart w:id="75" w:name="_Toc26098"/>
      <w:bookmarkStart w:id="76" w:name="_Toc6480"/>
      <w:bookmarkStart w:id="77" w:name="_Toc15601"/>
      <w:bookmarkStart w:id="78" w:name="_Toc3410"/>
      <w:r>
        <w:rPr>
          <w:rFonts w:ascii="Times New Roman" w:hAnsi="Times New Roman" w:eastAsia="黑体" w:cs="Times New Roman"/>
          <w:color w:val="auto"/>
          <w:sz w:val="50"/>
          <w:szCs w:val="50"/>
          <w:highlight w:val="none"/>
        </w:rPr>
        <w:t>响  应  文  件</w:t>
      </w:r>
      <w:bookmarkEnd w:id="69"/>
      <w:bookmarkEnd w:id="70"/>
      <w:bookmarkEnd w:id="71"/>
      <w:bookmarkEnd w:id="72"/>
      <w:bookmarkEnd w:id="73"/>
      <w:bookmarkEnd w:id="74"/>
      <w:bookmarkEnd w:id="75"/>
      <w:bookmarkEnd w:id="76"/>
      <w:bookmarkEnd w:id="77"/>
      <w:bookmarkEnd w:id="78"/>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9" w:name="_Toc25232_WPSOffice_Level2"/>
      <w:bookmarkStart w:id="80"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9"/>
      <w:bookmarkEnd w:id="80"/>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1" w:name="_Toc31577_WPSOffice_Level2"/>
      <w:bookmarkStart w:id="82"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1"/>
      <w:bookmarkEnd w:id="82"/>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83" w:name="_Toc24654"/>
      <w:bookmarkStart w:id="84" w:name="_Toc32504"/>
      <w:bookmarkStart w:id="85" w:name="_Toc21704"/>
      <w:bookmarkStart w:id="86" w:name="_Toc16210"/>
      <w:bookmarkStart w:id="87" w:name="_Toc1219"/>
      <w:bookmarkStart w:id="88" w:name="_Toc2795"/>
      <w:bookmarkStart w:id="89" w:name="_Toc888"/>
      <w:bookmarkStart w:id="90" w:name="_Toc7761"/>
      <w:bookmarkStart w:id="91" w:name="_Toc11330"/>
      <w:bookmarkStart w:id="92" w:name="_Toc25724"/>
      <w:r>
        <w:rPr>
          <w:rFonts w:hint="eastAsia" w:ascii="黑体" w:hAnsi="黑体" w:eastAsia="黑体" w:cs="黑体"/>
          <w:b/>
          <w:bCs/>
          <w:color w:val="auto"/>
          <w:sz w:val="28"/>
          <w:szCs w:val="28"/>
          <w:highlight w:val="none"/>
        </w:rPr>
        <w:t>一、响应函（不含报价）</w:t>
      </w:r>
      <w:bookmarkEnd w:id="68"/>
      <w:bookmarkEnd w:id="83"/>
      <w:bookmarkEnd w:id="84"/>
      <w:bookmarkEnd w:id="85"/>
      <w:bookmarkEnd w:id="86"/>
      <w:bookmarkEnd w:id="87"/>
      <w:bookmarkEnd w:id="88"/>
      <w:bookmarkEnd w:id="89"/>
      <w:bookmarkEnd w:id="90"/>
      <w:bookmarkEnd w:id="91"/>
      <w:bookmarkEnd w:id="92"/>
    </w:p>
    <w:p w14:paraId="49B3464C">
      <w:pPr>
        <w:pStyle w:val="8"/>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安徽省交通控股集团有限公司2025年度新建改建路段服务区</w:t>
      </w:r>
      <w:r>
        <w:rPr>
          <w:rFonts w:hint="eastAsia" w:ascii="宋体" w:hAnsi="宋体" w:cs="宋体"/>
          <w:color w:val="auto"/>
          <w:sz w:val="24"/>
          <w:szCs w:val="24"/>
          <w:highlight w:val="none"/>
          <w:u w:val="single"/>
          <w:lang w:eastAsia="zh-CN"/>
        </w:rPr>
        <w:t>物业设施</w:t>
      </w:r>
      <w:r>
        <w:rPr>
          <w:rFonts w:hint="eastAsia" w:ascii="宋体" w:hAnsi="宋体" w:cs="宋体"/>
          <w:color w:val="auto"/>
          <w:sz w:val="24"/>
          <w:szCs w:val="24"/>
          <w:highlight w:val="none"/>
          <w:u w:val="single"/>
        </w:rPr>
        <w:t>采购及安装项目</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3" w:name="_Hlk122530524"/>
      <w:r>
        <w:rPr>
          <w:rFonts w:hint="eastAsia" w:ascii="宋体" w:hAnsi="宋体" w:cs="宋体"/>
          <w:color w:val="auto"/>
          <w:sz w:val="24"/>
          <w:szCs w:val="24"/>
          <w:highlight w:val="none"/>
          <w:u w:val="single"/>
        </w:rPr>
        <w:t xml:space="preserve">                         </w:t>
      </w:r>
      <w:bookmarkEnd w:id="93"/>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9"/>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2"/>
        <w:numPr>
          <w:ilvl w:val="0"/>
          <w:numId w:val="0"/>
        </w:numPr>
        <w:rPr>
          <w:rFonts w:hint="default" w:ascii="黑体" w:hAnsi="黑体" w:eastAsia="黑体" w:cs="黑体"/>
          <w:b w:val="0"/>
          <w:bCs w:val="0"/>
          <w:color w:val="auto"/>
          <w:sz w:val="28"/>
          <w:szCs w:val="28"/>
          <w:highlight w:val="none"/>
        </w:rPr>
      </w:pPr>
      <w:bookmarkStart w:id="94" w:name="_Toc5068"/>
      <w:bookmarkStart w:id="95" w:name="_Toc16965"/>
      <w:bookmarkStart w:id="96" w:name="_Toc16993"/>
      <w:bookmarkStart w:id="97" w:name="_Toc28522"/>
      <w:bookmarkStart w:id="98" w:name="_Toc23511"/>
      <w:bookmarkStart w:id="99" w:name="_Toc10497"/>
      <w:bookmarkStart w:id="100" w:name="_Toc23378"/>
      <w:bookmarkStart w:id="101" w:name="_Toc28024"/>
      <w:bookmarkStart w:id="102" w:name="_Toc3721"/>
      <w:bookmarkStart w:id="103" w:name="_Toc21398"/>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4"/>
      <w:bookmarkEnd w:id="95"/>
      <w:bookmarkEnd w:id="96"/>
      <w:bookmarkEnd w:id="97"/>
      <w:bookmarkEnd w:id="98"/>
      <w:bookmarkEnd w:id="99"/>
      <w:bookmarkEnd w:id="100"/>
      <w:bookmarkEnd w:id="101"/>
      <w:bookmarkEnd w:id="102"/>
      <w:bookmarkEnd w:id="10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安徽省交通控股集团有限公司2025年度新建改建路段服务区</w:t>
      </w:r>
      <w:r>
        <w:rPr>
          <w:rFonts w:hint="eastAsia" w:ascii="Times New Roman" w:hAnsi="Times New Roman" w:eastAsia="宋体" w:cs="Times New Roman"/>
          <w:color w:val="auto"/>
          <w:kern w:val="2"/>
          <w:sz w:val="24"/>
          <w:szCs w:val="24"/>
          <w:highlight w:val="none"/>
          <w:u w:val="single"/>
          <w:lang w:val="en-US" w:eastAsia="zh-CN" w:bidi="ar"/>
        </w:rPr>
        <w:t>物业设施</w:t>
      </w:r>
      <w:r>
        <w:rPr>
          <w:rFonts w:hint="default" w:ascii="Times New Roman" w:hAnsi="Times New Roman" w:eastAsia="宋体" w:cs="Times New Roman"/>
          <w:color w:val="auto"/>
          <w:kern w:val="2"/>
          <w:sz w:val="24"/>
          <w:szCs w:val="24"/>
          <w:highlight w:val="none"/>
          <w:u w:val="single"/>
          <w:lang w:val="en-US" w:eastAsia="zh-CN" w:bidi="ar"/>
        </w:rPr>
        <w:t>采购及安装项目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4" w:name="_Toc24785"/>
      <w:bookmarkStart w:id="105" w:name="_Toc16245"/>
      <w:bookmarkStart w:id="106" w:name="_Toc30392"/>
      <w:bookmarkStart w:id="107" w:name="_Toc2224"/>
      <w:bookmarkStart w:id="108" w:name="_Toc23593"/>
      <w:bookmarkStart w:id="109" w:name="_Toc28296"/>
      <w:bookmarkStart w:id="110" w:name="_Toc21531"/>
      <w:bookmarkStart w:id="111" w:name="_Toc19890"/>
      <w:bookmarkStart w:id="112" w:name="_Toc30116"/>
      <w:bookmarkStart w:id="113" w:name="_Toc23112"/>
      <w:bookmarkStart w:id="114" w:name="_Toc26457"/>
      <w:r>
        <w:rPr>
          <w:rFonts w:hint="eastAsia" w:ascii="黑体" w:hAnsi="宋体" w:eastAsia="黑体" w:cs="黑体"/>
          <w:color w:val="auto"/>
          <w:kern w:val="2"/>
          <w:sz w:val="28"/>
          <w:szCs w:val="28"/>
          <w:highlight w:val="none"/>
          <w:lang w:val="en-US" w:eastAsia="zh-CN" w:bidi="ar"/>
        </w:rPr>
        <w:t>三、供应商基本情况</w:t>
      </w:r>
      <w:bookmarkEnd w:id="104"/>
      <w:bookmarkEnd w:id="105"/>
      <w:bookmarkEnd w:id="106"/>
      <w:bookmarkEnd w:id="107"/>
      <w:bookmarkEnd w:id="108"/>
      <w:bookmarkEnd w:id="109"/>
      <w:bookmarkEnd w:id="110"/>
      <w:bookmarkEnd w:id="111"/>
      <w:bookmarkEnd w:id="112"/>
      <w:bookmarkEnd w:id="113"/>
      <w:bookmarkEnd w:id="114"/>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15" w:name="_Toc17884"/>
      <w:bookmarkStart w:id="116" w:name="_Toc22364"/>
      <w:bookmarkStart w:id="117" w:name="_Toc22190"/>
      <w:bookmarkStart w:id="118" w:name="_Toc28901"/>
      <w:bookmarkStart w:id="119" w:name="_Toc7483"/>
      <w:bookmarkStart w:id="120" w:name="_Toc18191"/>
      <w:bookmarkStart w:id="121" w:name="_Toc9989"/>
      <w:bookmarkStart w:id="122" w:name="_Toc31541"/>
      <w:bookmarkStart w:id="123" w:name="_Toc5395"/>
      <w:bookmarkStart w:id="124" w:name="_Toc12834"/>
      <w:bookmarkStart w:id="125" w:name="_Toc31962"/>
      <w:r>
        <w:rPr>
          <w:rFonts w:hint="eastAsia" w:ascii="黑体" w:hAnsi="宋体" w:eastAsia="黑体" w:cs="黑体"/>
          <w:color w:val="auto"/>
          <w:kern w:val="2"/>
          <w:sz w:val="28"/>
          <w:szCs w:val="28"/>
          <w:highlight w:val="none"/>
          <w:lang w:val="en-US" w:eastAsia="zh-CN" w:bidi="ar"/>
        </w:rPr>
        <w:t>四、近年类似业绩情况</w:t>
      </w:r>
      <w:bookmarkEnd w:id="115"/>
      <w:bookmarkEnd w:id="116"/>
      <w:bookmarkEnd w:id="117"/>
      <w:bookmarkEnd w:id="118"/>
      <w:bookmarkEnd w:id="119"/>
      <w:bookmarkEnd w:id="120"/>
      <w:bookmarkEnd w:id="121"/>
      <w:bookmarkEnd w:id="122"/>
      <w:bookmarkEnd w:id="123"/>
      <w:bookmarkEnd w:id="124"/>
      <w:bookmarkEnd w:id="125"/>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26" w:name="_Toc22722"/>
      <w:bookmarkStart w:id="127" w:name="_Toc23165"/>
      <w:bookmarkStart w:id="128" w:name="_Toc24872"/>
      <w:bookmarkStart w:id="129" w:name="_Toc6439"/>
      <w:bookmarkStart w:id="130" w:name="_Toc21498"/>
      <w:bookmarkStart w:id="131" w:name="_Toc14517"/>
      <w:bookmarkStart w:id="132" w:name="_Toc27124"/>
      <w:bookmarkStart w:id="133" w:name="_Toc24647"/>
      <w:bookmarkStart w:id="134" w:name="_Toc29607"/>
      <w:bookmarkStart w:id="135" w:name="_Toc10791"/>
      <w:bookmarkStart w:id="136" w:name="_Toc165"/>
      <w:r>
        <w:rPr>
          <w:rFonts w:hint="eastAsia" w:ascii="黑体" w:hAnsi="宋体" w:eastAsia="黑体" w:cs="黑体"/>
          <w:color w:val="auto"/>
          <w:kern w:val="2"/>
          <w:sz w:val="28"/>
          <w:szCs w:val="28"/>
          <w:highlight w:val="none"/>
          <w:lang w:val="en-US" w:eastAsia="zh-CN" w:bidi="ar"/>
        </w:rPr>
        <w:t>五、信誉情况</w:t>
      </w:r>
      <w:bookmarkEnd w:id="126"/>
      <w:bookmarkEnd w:id="127"/>
      <w:bookmarkEnd w:id="128"/>
      <w:bookmarkEnd w:id="129"/>
      <w:bookmarkEnd w:id="130"/>
      <w:bookmarkEnd w:id="131"/>
      <w:bookmarkEnd w:id="132"/>
      <w:bookmarkEnd w:id="133"/>
      <w:bookmarkEnd w:id="134"/>
      <w:bookmarkEnd w:id="135"/>
      <w:bookmarkEnd w:id="136"/>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37" w:name="_Toc15048"/>
      <w:bookmarkStart w:id="138" w:name="_Toc22047"/>
      <w:bookmarkStart w:id="139" w:name="_Toc19834"/>
      <w:bookmarkStart w:id="140" w:name="_Toc29972"/>
      <w:bookmarkStart w:id="141" w:name="_Toc10389"/>
      <w:bookmarkStart w:id="142" w:name="_Toc24578"/>
      <w:bookmarkStart w:id="143" w:name="_Toc11349"/>
      <w:bookmarkStart w:id="144" w:name="_Toc22954"/>
      <w:bookmarkStart w:id="145" w:name="_Toc14319"/>
      <w:bookmarkStart w:id="146" w:name="_Toc28465"/>
      <w:bookmarkStart w:id="147" w:name="_Toc1569"/>
      <w:r>
        <w:rPr>
          <w:rFonts w:hint="eastAsia" w:ascii="黑体" w:hAnsi="宋体" w:eastAsia="黑体" w:cs="黑体"/>
          <w:color w:val="auto"/>
          <w:kern w:val="2"/>
          <w:sz w:val="28"/>
          <w:szCs w:val="28"/>
          <w:highlight w:val="none"/>
          <w:lang w:val="en-US" w:eastAsia="zh-CN" w:bidi="ar"/>
        </w:rPr>
        <w:t>六、企业实力</w:t>
      </w:r>
      <w:bookmarkEnd w:id="137"/>
      <w:bookmarkEnd w:id="138"/>
      <w:bookmarkEnd w:id="139"/>
      <w:bookmarkEnd w:id="140"/>
      <w:bookmarkEnd w:id="141"/>
      <w:bookmarkEnd w:id="142"/>
      <w:bookmarkEnd w:id="143"/>
      <w:bookmarkEnd w:id="144"/>
      <w:bookmarkEnd w:id="145"/>
      <w:bookmarkEnd w:id="146"/>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8"/>
        <w:rPr>
          <w:rFonts w:hint="eastAsia" w:ascii="黑体" w:hAnsi="宋体" w:eastAsia="黑体" w:cs="黑体"/>
          <w:color w:val="auto"/>
          <w:kern w:val="2"/>
          <w:sz w:val="28"/>
          <w:szCs w:val="28"/>
          <w:highlight w:val="none"/>
          <w:lang w:val="en-US" w:eastAsia="zh-CN" w:bidi="ar"/>
        </w:rPr>
      </w:pPr>
    </w:p>
    <w:p w14:paraId="6FF13152">
      <w:pPr>
        <w:pStyle w:val="9"/>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3FC4EDE">
      <w:pPr>
        <w:pStyle w:val="8"/>
        <w:rPr>
          <w:rFonts w:hint="eastAsia"/>
          <w:color w:val="auto"/>
          <w:lang w:val="en-US" w:eastAsia="zh-CN"/>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bookmarkEnd w:id="147"/>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r>
        <w:rPr>
          <w:rFonts w:hint="default" w:ascii="Times New Roman" w:hAnsi="Times New Roman" w:eastAsia="黑体" w:cs="Times New Roman"/>
          <w:color w:val="auto"/>
          <w:kern w:val="2"/>
          <w:sz w:val="28"/>
          <w:szCs w:val="28"/>
          <w:highlight w:val="none"/>
          <w:lang w:val="en-US" w:eastAsia="zh-CN" w:bidi="ar"/>
        </w:rPr>
        <w:t xml:space="preserve"> </w:t>
      </w:r>
      <w:bookmarkStart w:id="148" w:name="_Toc31378"/>
      <w:bookmarkStart w:id="149" w:name="_Toc15416"/>
      <w:bookmarkStart w:id="150" w:name="_Toc28805"/>
      <w:bookmarkStart w:id="151" w:name="_Toc5689"/>
      <w:bookmarkStart w:id="152" w:name="_Toc16215"/>
      <w:bookmarkStart w:id="153" w:name="_Toc12560"/>
      <w:bookmarkStart w:id="154" w:name="_Toc32620"/>
      <w:bookmarkStart w:id="155" w:name="_Toc22943"/>
      <w:bookmarkStart w:id="156" w:name="_Toc3549"/>
      <w:bookmarkStart w:id="157" w:name="_Toc27742"/>
      <w:bookmarkStart w:id="158" w:name="_Toc7941"/>
      <w:r>
        <w:rPr>
          <w:rFonts w:hint="eastAsia" w:ascii="Times New Roman" w:hAnsi="Times New Roman" w:eastAsia="黑体"/>
          <w:color w:val="auto"/>
          <w:sz w:val="28"/>
          <w:szCs w:val="28"/>
          <w:highlight w:val="none"/>
          <w:lang w:val="en-US" w:eastAsia="zh-CN"/>
        </w:rPr>
        <w:t>七</w:t>
      </w:r>
      <w:r>
        <w:rPr>
          <w:rFonts w:hint="eastAsia" w:ascii="Times New Roman" w:hAnsi="Times New Roman" w:eastAsia="黑体"/>
          <w:color w:val="auto"/>
          <w:sz w:val="28"/>
          <w:szCs w:val="28"/>
          <w:highlight w:val="none"/>
        </w:rPr>
        <w:t>、</w:t>
      </w:r>
      <w:bookmarkEnd w:id="148"/>
      <w:r>
        <w:rPr>
          <w:rFonts w:hint="eastAsia" w:ascii="Times New Roman" w:hAnsi="Times New Roman" w:eastAsia="黑体"/>
          <w:color w:val="auto"/>
          <w:sz w:val="28"/>
          <w:szCs w:val="28"/>
          <w:highlight w:val="none"/>
          <w:lang w:val="en-US" w:eastAsia="zh-CN"/>
        </w:rPr>
        <w:t>供货方案</w:t>
      </w:r>
      <w:bookmarkEnd w:id="149"/>
      <w:bookmarkEnd w:id="150"/>
      <w:bookmarkEnd w:id="151"/>
      <w:bookmarkEnd w:id="152"/>
      <w:bookmarkEnd w:id="153"/>
      <w:bookmarkEnd w:id="154"/>
      <w:bookmarkEnd w:id="155"/>
      <w:bookmarkEnd w:id="156"/>
      <w:bookmarkEnd w:id="157"/>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59" w:name="_Toc3565"/>
      <w:bookmarkStart w:id="160" w:name="_Toc18237"/>
      <w:bookmarkStart w:id="161" w:name="_Toc10923"/>
      <w:bookmarkStart w:id="162" w:name="_Toc15543"/>
      <w:bookmarkStart w:id="163" w:name="_Toc6951"/>
      <w:bookmarkStart w:id="164" w:name="_Toc7901"/>
      <w:bookmarkStart w:id="165" w:name="_Toc18620"/>
      <w:bookmarkStart w:id="166" w:name="_Toc27210"/>
      <w:bookmarkStart w:id="167" w:name="_Toc4217"/>
      <w:bookmarkStart w:id="168" w:name="_Toc16936"/>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59"/>
      <w:bookmarkEnd w:id="160"/>
      <w:bookmarkEnd w:id="161"/>
      <w:bookmarkEnd w:id="162"/>
      <w:bookmarkEnd w:id="163"/>
      <w:bookmarkEnd w:id="164"/>
      <w:bookmarkEnd w:id="165"/>
      <w:bookmarkEnd w:id="166"/>
      <w:bookmarkEnd w:id="167"/>
      <w:bookmarkEnd w:id="168"/>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8"/>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58"/>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69"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70" w:name="_Toc8048"/>
      <w:bookmarkStart w:id="171" w:name="_Toc26159"/>
      <w:bookmarkStart w:id="172" w:name="_Toc9183"/>
      <w:bookmarkStart w:id="173" w:name="_Toc9218"/>
      <w:bookmarkStart w:id="174" w:name="_Toc21050"/>
      <w:bookmarkStart w:id="175" w:name="_Toc15049"/>
      <w:bookmarkStart w:id="176" w:name="_Toc3896"/>
      <w:bookmarkStart w:id="177" w:name="_Toc28647"/>
      <w:bookmarkStart w:id="178" w:name="_Toc11806"/>
      <w:bookmarkStart w:id="179" w:name="_Toc31164"/>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170"/>
      <w:r>
        <w:rPr>
          <w:rFonts w:hint="eastAsia" w:ascii="Times New Roman" w:hAnsi="Times New Roman" w:eastAsia="黑体"/>
          <w:color w:val="auto"/>
          <w:sz w:val="28"/>
          <w:szCs w:val="28"/>
          <w:highlight w:val="none"/>
          <w:lang w:val="en-US" w:eastAsia="zh-CN"/>
        </w:rPr>
        <w:t>售后服务方案</w:t>
      </w:r>
      <w:bookmarkEnd w:id="171"/>
      <w:bookmarkEnd w:id="172"/>
      <w:bookmarkEnd w:id="173"/>
      <w:bookmarkEnd w:id="174"/>
      <w:bookmarkEnd w:id="175"/>
      <w:bookmarkEnd w:id="176"/>
      <w:bookmarkEnd w:id="177"/>
      <w:bookmarkEnd w:id="178"/>
      <w:bookmarkEnd w:id="179"/>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80" w:name="_Toc11461"/>
      <w:bookmarkStart w:id="181" w:name="_Toc9931"/>
      <w:bookmarkStart w:id="182" w:name="_Toc6095"/>
      <w:bookmarkStart w:id="183" w:name="_Toc29460"/>
      <w:bookmarkStart w:id="184" w:name="_Toc30922"/>
      <w:bookmarkStart w:id="185" w:name="_Toc4649"/>
      <w:bookmarkStart w:id="186" w:name="_Toc7980"/>
      <w:bookmarkStart w:id="187" w:name="_Toc25621"/>
      <w:bookmarkStart w:id="188" w:name="_Toc7405"/>
      <w:bookmarkStart w:id="189" w:name="_Toc21429"/>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80"/>
      <w:bookmarkEnd w:id="181"/>
      <w:bookmarkEnd w:id="182"/>
      <w:bookmarkEnd w:id="183"/>
      <w:bookmarkEnd w:id="184"/>
      <w:bookmarkEnd w:id="185"/>
      <w:bookmarkEnd w:id="186"/>
      <w:bookmarkEnd w:id="187"/>
      <w:bookmarkEnd w:id="188"/>
      <w:bookmarkEnd w:id="189"/>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90" w:name="_Toc4956"/>
      <w:bookmarkStart w:id="191" w:name="_Toc22621"/>
      <w:bookmarkStart w:id="192" w:name="_Toc15284"/>
      <w:bookmarkStart w:id="193" w:name="_Toc11900"/>
      <w:bookmarkStart w:id="194" w:name="_Toc16480"/>
      <w:bookmarkStart w:id="195" w:name="_Toc14186"/>
      <w:bookmarkStart w:id="196" w:name="_Toc30373"/>
      <w:bookmarkStart w:id="197" w:name="_Toc29067"/>
      <w:bookmarkStart w:id="198" w:name="_Toc24671"/>
      <w:bookmarkStart w:id="199" w:name="_Toc31636"/>
      <w:r>
        <w:rPr>
          <w:rFonts w:hint="eastAsia" w:ascii="黑体" w:hAnsi="宋体" w:eastAsia="黑体" w:cs="黑体"/>
          <w:color w:val="auto"/>
          <w:kern w:val="2"/>
          <w:sz w:val="28"/>
          <w:szCs w:val="28"/>
          <w:highlight w:val="none"/>
          <w:lang w:val="en-US" w:eastAsia="zh-CN" w:bidi="ar"/>
        </w:rPr>
        <w:t>九、承诺书</w:t>
      </w:r>
      <w:bookmarkEnd w:id="169"/>
      <w:bookmarkEnd w:id="190"/>
      <w:bookmarkEnd w:id="191"/>
      <w:bookmarkEnd w:id="192"/>
      <w:bookmarkEnd w:id="193"/>
      <w:bookmarkEnd w:id="194"/>
      <w:bookmarkEnd w:id="195"/>
      <w:bookmarkEnd w:id="196"/>
      <w:bookmarkEnd w:id="197"/>
      <w:bookmarkEnd w:id="198"/>
      <w:bookmarkEnd w:id="199"/>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安徽省交通控股集团有限公司2025年度新建改建路段服务区物业设施采购及安装项目</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200" w:name="_Toc31058"/>
      <w:bookmarkStart w:id="201" w:name="_Toc18523"/>
      <w:bookmarkStart w:id="202" w:name="_Toc11711"/>
      <w:bookmarkStart w:id="203" w:name="_Toc10121"/>
      <w:bookmarkStart w:id="204" w:name="_Toc2975"/>
      <w:bookmarkStart w:id="205" w:name="_Toc30427"/>
      <w:bookmarkStart w:id="206" w:name="_Toc25008"/>
      <w:bookmarkStart w:id="207" w:name="_Toc30685"/>
      <w:bookmarkStart w:id="208" w:name="_Toc24044"/>
      <w:bookmarkStart w:id="209" w:name="_Toc3055"/>
      <w:bookmarkStart w:id="210" w:name="_Toc10955"/>
      <w:r>
        <w:rPr>
          <w:rFonts w:hint="eastAsia" w:ascii="黑体" w:hAnsi="宋体" w:eastAsia="黑体" w:cs="黑体"/>
          <w:color w:val="auto"/>
          <w:kern w:val="2"/>
          <w:sz w:val="28"/>
          <w:szCs w:val="28"/>
          <w:highlight w:val="none"/>
          <w:lang w:val="en-US" w:eastAsia="zh-CN" w:bidi="ar"/>
        </w:rPr>
        <w:t>十、其他材料</w:t>
      </w:r>
      <w:bookmarkEnd w:id="200"/>
      <w:bookmarkEnd w:id="201"/>
      <w:bookmarkEnd w:id="202"/>
      <w:bookmarkEnd w:id="203"/>
      <w:bookmarkEnd w:id="204"/>
      <w:bookmarkEnd w:id="205"/>
      <w:bookmarkEnd w:id="206"/>
      <w:bookmarkEnd w:id="207"/>
      <w:bookmarkEnd w:id="208"/>
      <w:bookmarkEnd w:id="209"/>
      <w:bookmarkEnd w:id="210"/>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0B1A2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安徽省交通控股集团有限公司2025年度</w:t>
      </w:r>
    </w:p>
    <w:p w14:paraId="2DF83A6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新建改建路段服务区物业设施</w:t>
      </w:r>
    </w:p>
    <w:p w14:paraId="1C48DF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采购及安装项目</w:t>
      </w: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211" w:name="_Toc10029"/>
      <w:bookmarkStart w:id="212" w:name="_Toc10608"/>
      <w:bookmarkStart w:id="213" w:name="_Toc16771"/>
      <w:bookmarkStart w:id="214" w:name="_Toc4837"/>
      <w:bookmarkStart w:id="215" w:name="_Toc23972"/>
      <w:bookmarkStart w:id="216" w:name="_Toc538"/>
      <w:bookmarkStart w:id="217" w:name="_Toc24213"/>
      <w:bookmarkStart w:id="218" w:name="_Toc28949"/>
      <w:bookmarkStart w:id="219" w:name="_Toc21076"/>
      <w:bookmarkStart w:id="220" w:name="_Toc977"/>
      <w:bookmarkStart w:id="221" w:name="_Toc2786"/>
      <w:r>
        <w:rPr>
          <w:rFonts w:ascii="Times New Roman" w:hAnsi="Times New Roman" w:eastAsia="黑体" w:cs="Times New Roman"/>
          <w:color w:val="auto"/>
          <w:sz w:val="50"/>
          <w:szCs w:val="50"/>
          <w:highlight w:val="none"/>
        </w:rPr>
        <w:t>响  应  文  件</w:t>
      </w:r>
      <w:bookmarkEnd w:id="211"/>
      <w:bookmarkEnd w:id="212"/>
      <w:bookmarkEnd w:id="213"/>
      <w:bookmarkEnd w:id="214"/>
      <w:bookmarkEnd w:id="215"/>
      <w:bookmarkEnd w:id="216"/>
      <w:bookmarkEnd w:id="217"/>
      <w:bookmarkEnd w:id="218"/>
      <w:bookmarkEnd w:id="219"/>
      <w:bookmarkEnd w:id="220"/>
      <w:bookmarkEnd w:id="221"/>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222" w:name="_Toc1687_WPSOffice_Level1"/>
      <w:bookmarkStart w:id="223" w:name="_Toc29968"/>
      <w:bookmarkStart w:id="224" w:name="_Toc29399_WPSOffice_Level1"/>
      <w:bookmarkStart w:id="225" w:name="_Toc23583"/>
      <w:bookmarkStart w:id="226" w:name="_Toc15092"/>
      <w:bookmarkStart w:id="227" w:name="_Toc11805_WPSOffice_Level1"/>
      <w:bookmarkStart w:id="228" w:name="_Toc1924"/>
      <w:bookmarkStart w:id="229" w:name="_Toc30031_WPSOffice_Level1"/>
      <w:bookmarkStart w:id="230" w:name="_Toc18312_WPSOffice_Level1"/>
      <w:bookmarkStart w:id="231" w:name="_Toc2765_WPSOffice_Level1"/>
      <w:bookmarkStart w:id="232" w:name="_Toc8703"/>
      <w:bookmarkStart w:id="233" w:name="_Toc24269_WPSOffice_Level1"/>
      <w:r>
        <w:rPr>
          <w:rFonts w:hint="eastAsia" w:ascii="黑体" w:hAnsi="黑体" w:eastAsia="黑体" w:cs="黑体"/>
          <w:b w:val="0"/>
          <w:bCs/>
          <w:color w:val="auto"/>
          <w:sz w:val="28"/>
          <w:szCs w:val="28"/>
          <w:highlight w:val="none"/>
        </w:rPr>
        <w:t>一、</w:t>
      </w:r>
      <w:bookmarkEnd w:id="222"/>
      <w:bookmarkEnd w:id="223"/>
      <w:bookmarkEnd w:id="224"/>
      <w:bookmarkEnd w:id="225"/>
      <w:bookmarkEnd w:id="226"/>
      <w:bookmarkEnd w:id="227"/>
      <w:bookmarkEnd w:id="228"/>
      <w:bookmarkEnd w:id="229"/>
      <w:bookmarkEnd w:id="230"/>
      <w:bookmarkEnd w:id="231"/>
      <w:bookmarkEnd w:id="232"/>
      <w:bookmarkEnd w:id="233"/>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rPr>
        <w:t>安徽省交通控股集团有限公司2025年度新建改建路段服务区</w:t>
      </w:r>
      <w:r>
        <w:rPr>
          <w:rFonts w:hint="eastAsia" w:ascii="Times New Roman" w:hAnsi="Times New Roman" w:cs="Times New Roman"/>
          <w:color w:val="auto"/>
          <w:sz w:val="24"/>
          <w:highlight w:val="none"/>
          <w:u w:val="single"/>
          <w:lang w:eastAsia="zh-CN"/>
        </w:rPr>
        <w:t>物业设施</w:t>
      </w:r>
      <w:r>
        <w:rPr>
          <w:rFonts w:hint="eastAsia" w:ascii="Times New Roman" w:hAnsi="Times New Roman" w:cs="Times New Roman"/>
          <w:color w:val="auto"/>
          <w:sz w:val="24"/>
          <w:highlight w:val="none"/>
          <w:u w:val="single"/>
        </w:rPr>
        <w:t>采购及安装项目</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8"/>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9"/>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34" w:name="_Toc272486050"/>
      <w:bookmarkStart w:id="235" w:name="_Toc162490440"/>
      <w:bookmarkStart w:id="236" w:name="_Toc153421230"/>
      <w:r>
        <w:rPr>
          <w:rFonts w:hint="eastAsia" w:ascii="黑体" w:hAnsi="黑体" w:eastAsia="黑体" w:cs="黑体"/>
          <w:b w:val="0"/>
          <w:bCs/>
          <w:color w:val="auto"/>
          <w:sz w:val="28"/>
          <w:szCs w:val="28"/>
          <w:highlight w:val="none"/>
        </w:rPr>
        <w:t>二、</w:t>
      </w:r>
      <w:bookmarkEnd w:id="234"/>
      <w:bookmarkEnd w:id="235"/>
      <w:bookmarkEnd w:id="236"/>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26BE700A">
      <w:pPr>
        <w:pStyle w:val="8"/>
        <w:rPr>
          <w:rFonts w:hint="eastAsia"/>
          <w:color w:val="auto"/>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11"/>
        <w:gridCol w:w="367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311"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3672"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311"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672"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092"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5791"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71D1A16A">
      <w:pPr>
        <w:pStyle w:val="19"/>
        <w:rPr>
          <w:rFonts w:hint="eastAsia"/>
          <w:color w:val="auto"/>
          <w:highlight w:val="none"/>
          <w:lang w:val="en-US" w:eastAsia="zh-CN"/>
        </w:rPr>
      </w:pPr>
    </w:p>
    <w:p w14:paraId="4BB2DBFD">
      <w:pPr>
        <w:pStyle w:val="19"/>
        <w:rPr>
          <w:rFonts w:hint="eastAsia"/>
          <w:color w:val="auto"/>
          <w:highlight w:val="none"/>
          <w:lang w:val="en-US" w:eastAsia="zh-CN"/>
        </w:rPr>
      </w:pPr>
    </w:p>
    <w:p w14:paraId="6579A0A6">
      <w:pPr>
        <w:pStyle w:val="19"/>
        <w:rPr>
          <w:rFonts w:hint="eastAsia"/>
          <w:color w:val="auto"/>
          <w:highlight w:val="none"/>
          <w:lang w:val="en-US" w:eastAsia="zh-CN"/>
        </w:rPr>
      </w:pPr>
    </w:p>
    <w:p w14:paraId="39FF482F">
      <w:pPr>
        <w:pStyle w:val="19"/>
        <w:rPr>
          <w:rFonts w:hint="eastAsia"/>
          <w:color w:val="auto"/>
          <w:highlight w:val="none"/>
          <w:lang w:val="en-US" w:eastAsia="zh-CN"/>
        </w:rPr>
      </w:pPr>
    </w:p>
    <w:p w14:paraId="1222E17D">
      <w:pPr>
        <w:pStyle w:val="19"/>
        <w:rPr>
          <w:rFonts w:hint="eastAsia"/>
          <w:color w:val="auto"/>
          <w:highlight w:val="none"/>
          <w:lang w:val="en-US" w:eastAsia="zh-CN"/>
        </w:rPr>
      </w:pPr>
    </w:p>
    <w:p w14:paraId="36C08017">
      <w:pPr>
        <w:pStyle w:val="19"/>
        <w:rPr>
          <w:rFonts w:hint="eastAsia"/>
          <w:color w:val="auto"/>
          <w:highlight w:val="none"/>
          <w:lang w:val="en-US" w:eastAsia="zh-CN"/>
        </w:rPr>
      </w:pPr>
    </w:p>
    <w:p w14:paraId="06788BEC">
      <w:pPr>
        <w:pStyle w:val="19"/>
        <w:rPr>
          <w:rFonts w:hint="eastAsia"/>
          <w:color w:val="auto"/>
          <w:highlight w:val="none"/>
          <w:lang w:val="en-US" w:eastAsia="zh-CN"/>
        </w:rPr>
      </w:pPr>
    </w:p>
    <w:p w14:paraId="580C0859">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1.上述费用包括货物的原材料、生产、包装、运输、安装、保险、卸货叉车费（如有）、人工费、卸车费、利润、税费等相关费用。</w:t>
      </w:r>
    </w:p>
    <w:p w14:paraId="033682D5">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3BCEB11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7FCF4E6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07511D3A">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6B55C20">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4D6E4DEF">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4AF4607-F25D-475A-B0A1-873CF613DF5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320FB13-FDB0-489C-9974-300EB17A0C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69FC97F-0CB2-451A-B9F1-A835EE051F2B}"/>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4870A14D-59DA-4D9E-909D-4821C8B99A6C}"/>
  </w:font>
  <w:font w:name="方正小标宋简体">
    <w:panose1 w:val="02000000000000000000"/>
    <w:charset w:val="86"/>
    <w:family w:val="auto"/>
    <w:pitch w:val="default"/>
    <w:sig w:usb0="00000001" w:usb1="08000000" w:usb2="00000000" w:usb3="00000000" w:csb0="00040000" w:csb1="00000000"/>
    <w:embedRegular r:id="rId5" w:fontKey="{B30AF966-E96E-4A2E-83A8-8D44D52E53F1}"/>
  </w:font>
  <w:font w:name="Wingdings 2">
    <w:panose1 w:val="05020102010507070707"/>
    <w:charset w:val="02"/>
    <w:family w:val="roman"/>
    <w:pitch w:val="default"/>
    <w:sig w:usb0="00000000" w:usb1="00000000" w:usb2="00000000" w:usb3="00000000" w:csb0="80000000" w:csb1="00000000"/>
    <w:embedRegular r:id="rId6" w:fontKey="{B17D0D20-50B1-476E-A7C5-DBB1AA219A13}"/>
  </w:font>
  <w:font w:name="华文楷体">
    <w:panose1 w:val="02010600040101010101"/>
    <w:charset w:val="86"/>
    <w:family w:val="auto"/>
    <w:pitch w:val="default"/>
    <w:sig w:usb0="00000287" w:usb1="080F0000" w:usb2="00000000" w:usb3="00000000" w:csb0="0004009F" w:csb1="DFD70000"/>
    <w:embedRegular r:id="rId7" w:fontKey="{266B19F8-EBBD-426B-AE0D-0E97692CA5F4}"/>
  </w:font>
  <w:font w:name="仿宋_GB2312">
    <w:altName w:val="仿宋"/>
    <w:panose1 w:val="02010609030101010101"/>
    <w:charset w:val="86"/>
    <w:family w:val="modern"/>
    <w:pitch w:val="default"/>
    <w:sig w:usb0="00000000" w:usb1="00000000" w:usb2="00000000" w:usb3="00000000" w:csb0="00040000" w:csb1="00000000"/>
    <w:embedRegular r:id="rId8" w:fontKey="{7344BEF6-95BE-4378-86BC-6E85EF928AD8}"/>
  </w:font>
  <w:font w:name="仿宋">
    <w:panose1 w:val="02010609060101010101"/>
    <w:charset w:val="86"/>
    <w:family w:val="auto"/>
    <w:pitch w:val="default"/>
    <w:sig w:usb0="800002BF" w:usb1="38CF7CFA" w:usb2="00000016" w:usb3="00000000" w:csb0="00040001" w:csb1="00000000"/>
    <w:embedRegular r:id="rId9" w:fontKey="{A0007F18-9457-4B20-A9F6-38EE7A4ABEA3}"/>
  </w:font>
  <w:font w:name="楷体">
    <w:panose1 w:val="02010609060101010101"/>
    <w:charset w:val="86"/>
    <w:family w:val="auto"/>
    <w:pitch w:val="default"/>
    <w:sig w:usb0="800002BF" w:usb1="38CF7CFA" w:usb2="00000016" w:usb3="00000000" w:csb0="00040001" w:csb1="00000000"/>
    <w:embedRegular r:id="rId10" w:fontKey="{0C6363EE-ACA5-4ABF-AE28-3F2CFE9F8F36}"/>
  </w:font>
  <w:font w:name="华文中宋">
    <w:panose1 w:val="02010600040101010101"/>
    <w:charset w:val="50"/>
    <w:family w:val="auto"/>
    <w:pitch w:val="default"/>
    <w:sig w:usb0="00000287" w:usb1="080F0000" w:usb2="00000000" w:usb3="00000000" w:csb0="0004009F" w:csb1="DFD70000"/>
    <w:embedRegular r:id="rId11" w:fontKey="{34E40ECF-C390-426C-A302-A4D1BFEEA5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9"/>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9"/>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9"/>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1D905B1"/>
    <w:rsid w:val="01FD42EF"/>
    <w:rsid w:val="0211370D"/>
    <w:rsid w:val="0215764D"/>
    <w:rsid w:val="022655F4"/>
    <w:rsid w:val="023E3C6A"/>
    <w:rsid w:val="02777BFD"/>
    <w:rsid w:val="0286092F"/>
    <w:rsid w:val="028D5673"/>
    <w:rsid w:val="02932C1B"/>
    <w:rsid w:val="02B159B4"/>
    <w:rsid w:val="02C26D91"/>
    <w:rsid w:val="02D346A3"/>
    <w:rsid w:val="02DE7C7D"/>
    <w:rsid w:val="02DF3606"/>
    <w:rsid w:val="02F05C02"/>
    <w:rsid w:val="036118B1"/>
    <w:rsid w:val="0371289F"/>
    <w:rsid w:val="038863C7"/>
    <w:rsid w:val="0389136D"/>
    <w:rsid w:val="03A9557F"/>
    <w:rsid w:val="03B86BA8"/>
    <w:rsid w:val="03F914B2"/>
    <w:rsid w:val="04230E30"/>
    <w:rsid w:val="042516B9"/>
    <w:rsid w:val="042F2C67"/>
    <w:rsid w:val="04461F7D"/>
    <w:rsid w:val="045E338A"/>
    <w:rsid w:val="046E6DDE"/>
    <w:rsid w:val="047010F6"/>
    <w:rsid w:val="04701D1E"/>
    <w:rsid w:val="047A1C27"/>
    <w:rsid w:val="049D76C3"/>
    <w:rsid w:val="04C16A73"/>
    <w:rsid w:val="04E034BC"/>
    <w:rsid w:val="05085F79"/>
    <w:rsid w:val="051C4A8C"/>
    <w:rsid w:val="052851DF"/>
    <w:rsid w:val="0535195E"/>
    <w:rsid w:val="054416D2"/>
    <w:rsid w:val="05AF29EE"/>
    <w:rsid w:val="05D2339D"/>
    <w:rsid w:val="05F62696"/>
    <w:rsid w:val="05F94BA8"/>
    <w:rsid w:val="060774EA"/>
    <w:rsid w:val="061816F7"/>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5787"/>
    <w:rsid w:val="091A677A"/>
    <w:rsid w:val="09210464"/>
    <w:rsid w:val="09590A88"/>
    <w:rsid w:val="095E1B17"/>
    <w:rsid w:val="096867B1"/>
    <w:rsid w:val="09B13FF7"/>
    <w:rsid w:val="09FE454A"/>
    <w:rsid w:val="0A2E7496"/>
    <w:rsid w:val="0A407D2C"/>
    <w:rsid w:val="0A466107"/>
    <w:rsid w:val="0A64315D"/>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57A5D"/>
    <w:rsid w:val="0CA667B4"/>
    <w:rsid w:val="0CB62B1E"/>
    <w:rsid w:val="0CD81BE1"/>
    <w:rsid w:val="0D604989"/>
    <w:rsid w:val="0D676CED"/>
    <w:rsid w:val="0DBD0BDC"/>
    <w:rsid w:val="0DC42165"/>
    <w:rsid w:val="0DD26630"/>
    <w:rsid w:val="0DE02F17"/>
    <w:rsid w:val="0E1E3623"/>
    <w:rsid w:val="0E436CA2"/>
    <w:rsid w:val="0E541DD8"/>
    <w:rsid w:val="0E8764D6"/>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0FFD54BA"/>
    <w:rsid w:val="101902A4"/>
    <w:rsid w:val="101A751A"/>
    <w:rsid w:val="103E486A"/>
    <w:rsid w:val="106D5B52"/>
    <w:rsid w:val="1090350E"/>
    <w:rsid w:val="10944070"/>
    <w:rsid w:val="10A6372F"/>
    <w:rsid w:val="10A97373"/>
    <w:rsid w:val="10CF32FA"/>
    <w:rsid w:val="10DA535D"/>
    <w:rsid w:val="10F20D97"/>
    <w:rsid w:val="10F863AD"/>
    <w:rsid w:val="110D2AFF"/>
    <w:rsid w:val="112131E2"/>
    <w:rsid w:val="11681ED6"/>
    <w:rsid w:val="119C482A"/>
    <w:rsid w:val="11B06C88"/>
    <w:rsid w:val="11C6025A"/>
    <w:rsid w:val="11DF30C9"/>
    <w:rsid w:val="11E46EAE"/>
    <w:rsid w:val="11F528ED"/>
    <w:rsid w:val="11FD4CD5"/>
    <w:rsid w:val="122B7BD8"/>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832749"/>
    <w:rsid w:val="17CF3BE0"/>
    <w:rsid w:val="182746B0"/>
    <w:rsid w:val="186C7681"/>
    <w:rsid w:val="18786026"/>
    <w:rsid w:val="188C4113"/>
    <w:rsid w:val="189E5E26"/>
    <w:rsid w:val="18D04606"/>
    <w:rsid w:val="18D70F9E"/>
    <w:rsid w:val="18FA5B52"/>
    <w:rsid w:val="19001DBB"/>
    <w:rsid w:val="19053D5D"/>
    <w:rsid w:val="190D676E"/>
    <w:rsid w:val="191A46EE"/>
    <w:rsid w:val="191B49CA"/>
    <w:rsid w:val="193D5CAC"/>
    <w:rsid w:val="19600F94"/>
    <w:rsid w:val="19647370"/>
    <w:rsid w:val="19C83B53"/>
    <w:rsid w:val="19DE1C05"/>
    <w:rsid w:val="19EB0A7A"/>
    <w:rsid w:val="1A185E2C"/>
    <w:rsid w:val="1A3C6E09"/>
    <w:rsid w:val="1A657CD8"/>
    <w:rsid w:val="1A741F99"/>
    <w:rsid w:val="1AA97D25"/>
    <w:rsid w:val="1AAC1FB7"/>
    <w:rsid w:val="1B1F49AA"/>
    <w:rsid w:val="1B3A2998"/>
    <w:rsid w:val="1B416BA3"/>
    <w:rsid w:val="1B610FF3"/>
    <w:rsid w:val="1B87260E"/>
    <w:rsid w:val="1B9916E8"/>
    <w:rsid w:val="1BF956CF"/>
    <w:rsid w:val="1BFD0D5D"/>
    <w:rsid w:val="1C0C5403"/>
    <w:rsid w:val="1C0E117B"/>
    <w:rsid w:val="1C511068"/>
    <w:rsid w:val="1C7D1E5D"/>
    <w:rsid w:val="1C9D0478"/>
    <w:rsid w:val="1CA464D8"/>
    <w:rsid w:val="1CB03FE0"/>
    <w:rsid w:val="1CB20DCC"/>
    <w:rsid w:val="1CB304A3"/>
    <w:rsid w:val="1CCE26B8"/>
    <w:rsid w:val="1CD07137"/>
    <w:rsid w:val="1CE76D4F"/>
    <w:rsid w:val="1CF12CD2"/>
    <w:rsid w:val="1D3320C5"/>
    <w:rsid w:val="1D3772E3"/>
    <w:rsid w:val="1D3F5364"/>
    <w:rsid w:val="1D990F18"/>
    <w:rsid w:val="1D9C6C71"/>
    <w:rsid w:val="1DBF4066"/>
    <w:rsid w:val="1DC0096E"/>
    <w:rsid w:val="1DD02C25"/>
    <w:rsid w:val="1DFB32CC"/>
    <w:rsid w:val="1E085F02"/>
    <w:rsid w:val="1E2F53D8"/>
    <w:rsid w:val="1E304C77"/>
    <w:rsid w:val="1E605592"/>
    <w:rsid w:val="1E703168"/>
    <w:rsid w:val="1E764DB5"/>
    <w:rsid w:val="1E7E7378"/>
    <w:rsid w:val="1EEE0DF0"/>
    <w:rsid w:val="1F026649"/>
    <w:rsid w:val="1F0529C7"/>
    <w:rsid w:val="1F091FF2"/>
    <w:rsid w:val="1F172B9E"/>
    <w:rsid w:val="1F291E28"/>
    <w:rsid w:val="1F6B68E4"/>
    <w:rsid w:val="1F8615BF"/>
    <w:rsid w:val="1F93095F"/>
    <w:rsid w:val="1FB449F5"/>
    <w:rsid w:val="1FC01B05"/>
    <w:rsid w:val="1FD06747"/>
    <w:rsid w:val="1FE64151"/>
    <w:rsid w:val="1FEA7927"/>
    <w:rsid w:val="1FFE5062"/>
    <w:rsid w:val="201C373B"/>
    <w:rsid w:val="20220D88"/>
    <w:rsid w:val="202D724A"/>
    <w:rsid w:val="20432E03"/>
    <w:rsid w:val="20556493"/>
    <w:rsid w:val="20703AC9"/>
    <w:rsid w:val="20A774A8"/>
    <w:rsid w:val="20CE5700"/>
    <w:rsid w:val="20CE712B"/>
    <w:rsid w:val="20E701EC"/>
    <w:rsid w:val="21366A7E"/>
    <w:rsid w:val="216C51F8"/>
    <w:rsid w:val="21705735"/>
    <w:rsid w:val="218872DA"/>
    <w:rsid w:val="21A659B2"/>
    <w:rsid w:val="21EC1864"/>
    <w:rsid w:val="21F52495"/>
    <w:rsid w:val="2211172D"/>
    <w:rsid w:val="222F5C4D"/>
    <w:rsid w:val="22456F98"/>
    <w:rsid w:val="22694276"/>
    <w:rsid w:val="22853AE2"/>
    <w:rsid w:val="22870E4F"/>
    <w:rsid w:val="22886585"/>
    <w:rsid w:val="22A243CB"/>
    <w:rsid w:val="233E4325"/>
    <w:rsid w:val="23610B8C"/>
    <w:rsid w:val="23623B5A"/>
    <w:rsid w:val="23767E36"/>
    <w:rsid w:val="23DC390D"/>
    <w:rsid w:val="23DC56BB"/>
    <w:rsid w:val="23E812A0"/>
    <w:rsid w:val="241155A9"/>
    <w:rsid w:val="241D716E"/>
    <w:rsid w:val="244412FB"/>
    <w:rsid w:val="2472524B"/>
    <w:rsid w:val="24822706"/>
    <w:rsid w:val="24AD2EBF"/>
    <w:rsid w:val="24BB5C18"/>
    <w:rsid w:val="253902A6"/>
    <w:rsid w:val="253F05F7"/>
    <w:rsid w:val="25494FD2"/>
    <w:rsid w:val="254A0D4A"/>
    <w:rsid w:val="254B358D"/>
    <w:rsid w:val="25517C49"/>
    <w:rsid w:val="256E6DFD"/>
    <w:rsid w:val="257F09F3"/>
    <w:rsid w:val="25891872"/>
    <w:rsid w:val="25A641D2"/>
    <w:rsid w:val="25B60EA7"/>
    <w:rsid w:val="25B678EC"/>
    <w:rsid w:val="25B736EC"/>
    <w:rsid w:val="25CC7C14"/>
    <w:rsid w:val="25F767DC"/>
    <w:rsid w:val="25F80363"/>
    <w:rsid w:val="2613091A"/>
    <w:rsid w:val="26153106"/>
    <w:rsid w:val="262D48F3"/>
    <w:rsid w:val="264D0AF2"/>
    <w:rsid w:val="265909F3"/>
    <w:rsid w:val="26B33519"/>
    <w:rsid w:val="26BB5A5B"/>
    <w:rsid w:val="26DC3C24"/>
    <w:rsid w:val="26E0066E"/>
    <w:rsid w:val="26E541C8"/>
    <w:rsid w:val="26E81DCB"/>
    <w:rsid w:val="26FE3B9A"/>
    <w:rsid w:val="273571C2"/>
    <w:rsid w:val="275A75F4"/>
    <w:rsid w:val="275E50DA"/>
    <w:rsid w:val="27621A0B"/>
    <w:rsid w:val="279E7B84"/>
    <w:rsid w:val="27B103DE"/>
    <w:rsid w:val="27CE17BE"/>
    <w:rsid w:val="27DC4161"/>
    <w:rsid w:val="28302479"/>
    <w:rsid w:val="285445B2"/>
    <w:rsid w:val="286A6C87"/>
    <w:rsid w:val="28D24D9C"/>
    <w:rsid w:val="28F25980"/>
    <w:rsid w:val="28FE7045"/>
    <w:rsid w:val="2941798C"/>
    <w:rsid w:val="294C5129"/>
    <w:rsid w:val="295C70D0"/>
    <w:rsid w:val="295E4EA3"/>
    <w:rsid w:val="296E3259"/>
    <w:rsid w:val="296F6FD1"/>
    <w:rsid w:val="29C70BBB"/>
    <w:rsid w:val="29CD4E78"/>
    <w:rsid w:val="29E4351B"/>
    <w:rsid w:val="2A1A0CEB"/>
    <w:rsid w:val="2A24600D"/>
    <w:rsid w:val="2A305480"/>
    <w:rsid w:val="2A331DAD"/>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B0516"/>
    <w:rsid w:val="2DBE22D5"/>
    <w:rsid w:val="2E0A4375"/>
    <w:rsid w:val="2E0C3040"/>
    <w:rsid w:val="2E0D52BF"/>
    <w:rsid w:val="2E35623B"/>
    <w:rsid w:val="2E4E3659"/>
    <w:rsid w:val="2E505623"/>
    <w:rsid w:val="2E6740D2"/>
    <w:rsid w:val="2E6A7D67"/>
    <w:rsid w:val="2E754C17"/>
    <w:rsid w:val="2E960B5C"/>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342FDA"/>
    <w:rsid w:val="313C59EB"/>
    <w:rsid w:val="316D40D3"/>
    <w:rsid w:val="316E7428"/>
    <w:rsid w:val="3175714F"/>
    <w:rsid w:val="319B3695"/>
    <w:rsid w:val="31BF0E0A"/>
    <w:rsid w:val="31D976DD"/>
    <w:rsid w:val="31F14A27"/>
    <w:rsid w:val="32164205"/>
    <w:rsid w:val="322546D1"/>
    <w:rsid w:val="32332253"/>
    <w:rsid w:val="324271A8"/>
    <w:rsid w:val="327A0EC0"/>
    <w:rsid w:val="329D4BAF"/>
    <w:rsid w:val="32D10F12"/>
    <w:rsid w:val="331D35FA"/>
    <w:rsid w:val="332C1A8F"/>
    <w:rsid w:val="333B777A"/>
    <w:rsid w:val="333F226C"/>
    <w:rsid w:val="33895977"/>
    <w:rsid w:val="339A2E9C"/>
    <w:rsid w:val="33A51F6D"/>
    <w:rsid w:val="33C26030"/>
    <w:rsid w:val="33C547A5"/>
    <w:rsid w:val="33FB393B"/>
    <w:rsid w:val="34526CBA"/>
    <w:rsid w:val="345A580A"/>
    <w:rsid w:val="34B22DB1"/>
    <w:rsid w:val="34CC52D7"/>
    <w:rsid w:val="34E42564"/>
    <w:rsid w:val="34EA61B8"/>
    <w:rsid w:val="34F12F90"/>
    <w:rsid w:val="34F82570"/>
    <w:rsid w:val="3518676F"/>
    <w:rsid w:val="35201A23"/>
    <w:rsid w:val="352E500F"/>
    <w:rsid w:val="355434F9"/>
    <w:rsid w:val="35690D78"/>
    <w:rsid w:val="35727A6C"/>
    <w:rsid w:val="35843E04"/>
    <w:rsid w:val="35B540D6"/>
    <w:rsid w:val="35BE0BED"/>
    <w:rsid w:val="35C66E2C"/>
    <w:rsid w:val="35CA2312"/>
    <w:rsid w:val="35F76384"/>
    <w:rsid w:val="360F1920"/>
    <w:rsid w:val="361938E0"/>
    <w:rsid w:val="362F5E73"/>
    <w:rsid w:val="36413AA3"/>
    <w:rsid w:val="364C6C07"/>
    <w:rsid w:val="366A124C"/>
    <w:rsid w:val="366A4DA8"/>
    <w:rsid w:val="36B129D7"/>
    <w:rsid w:val="36C144C3"/>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20CFA"/>
    <w:rsid w:val="3B3377A5"/>
    <w:rsid w:val="3B361C73"/>
    <w:rsid w:val="3B414529"/>
    <w:rsid w:val="3B47240E"/>
    <w:rsid w:val="3B5A188F"/>
    <w:rsid w:val="3B7C2F21"/>
    <w:rsid w:val="3B895CD0"/>
    <w:rsid w:val="3B8A41D3"/>
    <w:rsid w:val="3BC00DC4"/>
    <w:rsid w:val="3BD57167"/>
    <w:rsid w:val="3BE72071"/>
    <w:rsid w:val="3C243C4B"/>
    <w:rsid w:val="3C4D6CFE"/>
    <w:rsid w:val="3C651D50"/>
    <w:rsid w:val="3C8666FD"/>
    <w:rsid w:val="3CA523B3"/>
    <w:rsid w:val="3CAF79B9"/>
    <w:rsid w:val="3CF7310E"/>
    <w:rsid w:val="3CFD709B"/>
    <w:rsid w:val="3D0870C9"/>
    <w:rsid w:val="3D3103CE"/>
    <w:rsid w:val="3D4041F2"/>
    <w:rsid w:val="3D5A25B5"/>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4E7C4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8C2076"/>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414A5"/>
    <w:rsid w:val="42ED38B0"/>
    <w:rsid w:val="430239C6"/>
    <w:rsid w:val="430C466C"/>
    <w:rsid w:val="434D77D9"/>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4FA19ED"/>
    <w:rsid w:val="45014B29"/>
    <w:rsid w:val="45260A34"/>
    <w:rsid w:val="452D3B70"/>
    <w:rsid w:val="45303661"/>
    <w:rsid w:val="4551727C"/>
    <w:rsid w:val="45653B06"/>
    <w:rsid w:val="45675307"/>
    <w:rsid w:val="4574425A"/>
    <w:rsid w:val="457C0654"/>
    <w:rsid w:val="458B0897"/>
    <w:rsid w:val="458D6DA1"/>
    <w:rsid w:val="458F2670"/>
    <w:rsid w:val="45B002FD"/>
    <w:rsid w:val="45E82159"/>
    <w:rsid w:val="45ED0F61"/>
    <w:rsid w:val="45FB77CB"/>
    <w:rsid w:val="460C19D8"/>
    <w:rsid w:val="465A0995"/>
    <w:rsid w:val="46767799"/>
    <w:rsid w:val="46B5206F"/>
    <w:rsid w:val="46CA0775"/>
    <w:rsid w:val="46D53D73"/>
    <w:rsid w:val="470B7EE1"/>
    <w:rsid w:val="471825FE"/>
    <w:rsid w:val="4727514F"/>
    <w:rsid w:val="47451645"/>
    <w:rsid w:val="475036EC"/>
    <w:rsid w:val="476304E5"/>
    <w:rsid w:val="48221986"/>
    <w:rsid w:val="482E0AEB"/>
    <w:rsid w:val="483D1893"/>
    <w:rsid w:val="4840005F"/>
    <w:rsid w:val="48407E8B"/>
    <w:rsid w:val="48492B5E"/>
    <w:rsid w:val="485633DE"/>
    <w:rsid w:val="486A70F8"/>
    <w:rsid w:val="48941C0A"/>
    <w:rsid w:val="48D016B1"/>
    <w:rsid w:val="48EB621C"/>
    <w:rsid w:val="48EF63BC"/>
    <w:rsid w:val="48F03833"/>
    <w:rsid w:val="49143FE3"/>
    <w:rsid w:val="493A2D00"/>
    <w:rsid w:val="49410045"/>
    <w:rsid w:val="497B5EAF"/>
    <w:rsid w:val="49BB5BEF"/>
    <w:rsid w:val="49E550B8"/>
    <w:rsid w:val="4A0F1D6B"/>
    <w:rsid w:val="4A304D72"/>
    <w:rsid w:val="4ABD50B2"/>
    <w:rsid w:val="4ADA08DD"/>
    <w:rsid w:val="4AEE5B50"/>
    <w:rsid w:val="4AF53CDA"/>
    <w:rsid w:val="4AF7005D"/>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245859"/>
    <w:rsid w:val="4D4C4DB0"/>
    <w:rsid w:val="4D567F0A"/>
    <w:rsid w:val="4D6B792C"/>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8263F6"/>
    <w:rsid w:val="4EF15C0F"/>
    <w:rsid w:val="4F0478A8"/>
    <w:rsid w:val="4F0E4A13"/>
    <w:rsid w:val="4F245FE4"/>
    <w:rsid w:val="4F5616DF"/>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A0CCA"/>
    <w:rsid w:val="508D7BB9"/>
    <w:rsid w:val="50932863"/>
    <w:rsid w:val="50A92418"/>
    <w:rsid w:val="50C64757"/>
    <w:rsid w:val="50E04186"/>
    <w:rsid w:val="50E36302"/>
    <w:rsid w:val="50FD6AED"/>
    <w:rsid w:val="51145BE4"/>
    <w:rsid w:val="511A7AB0"/>
    <w:rsid w:val="512E2388"/>
    <w:rsid w:val="516C77CE"/>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210CEF"/>
    <w:rsid w:val="552E67F6"/>
    <w:rsid w:val="557F5C64"/>
    <w:rsid w:val="55BD4A9D"/>
    <w:rsid w:val="55CE5FAF"/>
    <w:rsid w:val="55D65B5E"/>
    <w:rsid w:val="55FF50B5"/>
    <w:rsid w:val="56026953"/>
    <w:rsid w:val="561641AD"/>
    <w:rsid w:val="563E671E"/>
    <w:rsid w:val="5647080A"/>
    <w:rsid w:val="56695122"/>
    <w:rsid w:val="566B44F9"/>
    <w:rsid w:val="567C6706"/>
    <w:rsid w:val="568D4A8B"/>
    <w:rsid w:val="568E01E7"/>
    <w:rsid w:val="56AD68BF"/>
    <w:rsid w:val="56E322E1"/>
    <w:rsid w:val="56F72C39"/>
    <w:rsid w:val="57265724"/>
    <w:rsid w:val="572A7F8A"/>
    <w:rsid w:val="5741059C"/>
    <w:rsid w:val="57821C5F"/>
    <w:rsid w:val="5787376C"/>
    <w:rsid w:val="57A1017F"/>
    <w:rsid w:val="57AF445C"/>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821E11"/>
    <w:rsid w:val="5AB0697E"/>
    <w:rsid w:val="5AB51CCA"/>
    <w:rsid w:val="5AB57322"/>
    <w:rsid w:val="5AB86B82"/>
    <w:rsid w:val="5ABC62B9"/>
    <w:rsid w:val="5ADF7263"/>
    <w:rsid w:val="5AED4C1B"/>
    <w:rsid w:val="5B2D4472"/>
    <w:rsid w:val="5B922527"/>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CF36FF6"/>
    <w:rsid w:val="5D047455"/>
    <w:rsid w:val="5D656145"/>
    <w:rsid w:val="5D804893"/>
    <w:rsid w:val="5DA53F1B"/>
    <w:rsid w:val="5DA54794"/>
    <w:rsid w:val="5DC63FF9"/>
    <w:rsid w:val="5E96232F"/>
    <w:rsid w:val="5F13397F"/>
    <w:rsid w:val="5F4571B2"/>
    <w:rsid w:val="5F4F2373"/>
    <w:rsid w:val="5F6A078D"/>
    <w:rsid w:val="5F93061C"/>
    <w:rsid w:val="5F9A7BFD"/>
    <w:rsid w:val="5FA23A48"/>
    <w:rsid w:val="5FB36CBE"/>
    <w:rsid w:val="5FC627A0"/>
    <w:rsid w:val="5FD076A0"/>
    <w:rsid w:val="5FD07ABA"/>
    <w:rsid w:val="5FDE7373"/>
    <w:rsid w:val="5FED36FB"/>
    <w:rsid w:val="60561D75"/>
    <w:rsid w:val="606F72DB"/>
    <w:rsid w:val="60873932"/>
    <w:rsid w:val="60A32AE1"/>
    <w:rsid w:val="60B834A6"/>
    <w:rsid w:val="60BC5E8F"/>
    <w:rsid w:val="60C170FF"/>
    <w:rsid w:val="60CC0666"/>
    <w:rsid w:val="60E17F6F"/>
    <w:rsid w:val="60F0363D"/>
    <w:rsid w:val="610E27AB"/>
    <w:rsid w:val="611511C3"/>
    <w:rsid w:val="61393910"/>
    <w:rsid w:val="614F1476"/>
    <w:rsid w:val="61710A64"/>
    <w:rsid w:val="61750921"/>
    <w:rsid w:val="61A15272"/>
    <w:rsid w:val="61C111BB"/>
    <w:rsid w:val="61D84352"/>
    <w:rsid w:val="61DA4AD9"/>
    <w:rsid w:val="61F335F4"/>
    <w:rsid w:val="62031A89"/>
    <w:rsid w:val="622F0AD0"/>
    <w:rsid w:val="623D3E1F"/>
    <w:rsid w:val="62626313"/>
    <w:rsid w:val="629D4803"/>
    <w:rsid w:val="62AE498D"/>
    <w:rsid w:val="62ED1A72"/>
    <w:rsid w:val="633F4D43"/>
    <w:rsid w:val="637F5A87"/>
    <w:rsid w:val="638048A2"/>
    <w:rsid w:val="638A2399"/>
    <w:rsid w:val="63C86BF3"/>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31F0E"/>
    <w:rsid w:val="658C2053"/>
    <w:rsid w:val="65EB11B2"/>
    <w:rsid w:val="65F75DA9"/>
    <w:rsid w:val="66576847"/>
    <w:rsid w:val="66672543"/>
    <w:rsid w:val="6683497C"/>
    <w:rsid w:val="669B2BD8"/>
    <w:rsid w:val="66B21CD0"/>
    <w:rsid w:val="66CD13E8"/>
    <w:rsid w:val="66D734E4"/>
    <w:rsid w:val="66E872A7"/>
    <w:rsid w:val="676E5CC7"/>
    <w:rsid w:val="67E14BAB"/>
    <w:rsid w:val="67EE0AE5"/>
    <w:rsid w:val="67F71E56"/>
    <w:rsid w:val="683A3D2B"/>
    <w:rsid w:val="684C44B3"/>
    <w:rsid w:val="68506E3A"/>
    <w:rsid w:val="686A0AB4"/>
    <w:rsid w:val="68880F3A"/>
    <w:rsid w:val="690F1726"/>
    <w:rsid w:val="691922CA"/>
    <w:rsid w:val="693C3AD3"/>
    <w:rsid w:val="6942765C"/>
    <w:rsid w:val="696E0130"/>
    <w:rsid w:val="69D8608D"/>
    <w:rsid w:val="69EC54F9"/>
    <w:rsid w:val="6A260A0B"/>
    <w:rsid w:val="6A2D5CB0"/>
    <w:rsid w:val="6A4D2110"/>
    <w:rsid w:val="6A663992"/>
    <w:rsid w:val="6A7D0A56"/>
    <w:rsid w:val="6A922385"/>
    <w:rsid w:val="6AB10CF8"/>
    <w:rsid w:val="6ABA6C3B"/>
    <w:rsid w:val="6ABE50E7"/>
    <w:rsid w:val="6AFC5C0F"/>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C12D11"/>
    <w:rsid w:val="6CFE27E3"/>
    <w:rsid w:val="6D274D94"/>
    <w:rsid w:val="6D6655C2"/>
    <w:rsid w:val="6D7B2E1B"/>
    <w:rsid w:val="6D8C026B"/>
    <w:rsid w:val="6D955447"/>
    <w:rsid w:val="6D9E0D2D"/>
    <w:rsid w:val="6D9E2EF6"/>
    <w:rsid w:val="6DA87988"/>
    <w:rsid w:val="6DAD3879"/>
    <w:rsid w:val="6DD01AB0"/>
    <w:rsid w:val="6DD16EDF"/>
    <w:rsid w:val="6DD857F0"/>
    <w:rsid w:val="6DE5298B"/>
    <w:rsid w:val="6DE94229"/>
    <w:rsid w:val="6DEB139F"/>
    <w:rsid w:val="6DF350A8"/>
    <w:rsid w:val="6E160D96"/>
    <w:rsid w:val="6E494CC8"/>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4F630E"/>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0EC5DDE"/>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3B7903"/>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E735F"/>
    <w:rsid w:val="7AC1208A"/>
    <w:rsid w:val="7AC3206E"/>
    <w:rsid w:val="7AC51215"/>
    <w:rsid w:val="7AE446F6"/>
    <w:rsid w:val="7AFF6ACD"/>
    <w:rsid w:val="7B0326A2"/>
    <w:rsid w:val="7B0F54EB"/>
    <w:rsid w:val="7B436E21"/>
    <w:rsid w:val="7B54666E"/>
    <w:rsid w:val="7B5B0429"/>
    <w:rsid w:val="7B615E02"/>
    <w:rsid w:val="7B6B795B"/>
    <w:rsid w:val="7B8B7A9C"/>
    <w:rsid w:val="7BBC6B0F"/>
    <w:rsid w:val="7BEC1388"/>
    <w:rsid w:val="7BF00E78"/>
    <w:rsid w:val="7BF1357F"/>
    <w:rsid w:val="7C4A2065"/>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4E1E86"/>
    <w:rsid w:val="7E5043EB"/>
    <w:rsid w:val="7E604231"/>
    <w:rsid w:val="7EA61CC2"/>
    <w:rsid w:val="7EB34E00"/>
    <w:rsid w:val="7ECB34D7"/>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5690</Words>
  <Characters>6201</Characters>
  <Lines>1</Lines>
  <Paragraphs>1</Paragraphs>
  <TotalTime>266</TotalTime>
  <ScaleCrop>false</ScaleCrop>
  <LinksUpToDate>false</LinksUpToDate>
  <CharactersWithSpaces>6396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2025-07-29T09:12:00Z</cp:lastPrinted>
  <dcterms:modified xsi:type="dcterms:W3CDTF">2025-10-21T08:32:05Z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84301ADF2A4D46D8B96C1B734FC5EAA5_13</vt:lpwstr>
  </property>
  <property fmtid="{D5CDD505-2E9C-101B-9397-08002B2CF9AE}" pid="4" name="KSOTemplateDocerSaveRecord">
    <vt:lpwstr>eyJoZGlkIjoiNGRiN2FjM2IwNjUxZWRiZTZhMTg1YTdmYzFhZWExNzgiLCJ1c2VySWQiOiI0MDU4NDYwODgifQ==</vt:lpwstr>
  </property>
</Properties>
</file>